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hint="eastAsia" w:ascii="Times New Roman" w:hAnsi="Times New Roman" w:eastAsia="黑体" w:cs="Times New Roman"/>
          <w:sz w:val="30"/>
          <w:szCs w:val="30"/>
        </w:rPr>
      </w:pPr>
    </w:p>
    <w:p>
      <w:pPr>
        <w:spacing w:line="360" w:lineRule="auto"/>
        <w:jc w:val="center"/>
        <w:rPr>
          <w:rFonts w:ascii="Times New Roman" w:hAnsi="Times New Roman" w:eastAsia="黑体" w:cs="Times New Roman"/>
          <w:sz w:val="30"/>
          <w:szCs w:val="30"/>
        </w:rPr>
      </w:pPr>
      <w:bookmarkStart w:id="0" w:name="_GoBack"/>
      <w:bookmarkEnd w:id="0"/>
      <w:r>
        <w:rPr>
          <w:rFonts w:hint="eastAsia" w:ascii="Times New Roman" w:hAnsi="Times New Roman" w:eastAsia="黑体" w:cs="Times New Roman"/>
          <w:sz w:val="30"/>
          <w:szCs w:val="30"/>
        </w:rPr>
        <w:t>国家外汇管理局江苏省分局辖内现行有效规范性文件目录</w:t>
      </w:r>
    </w:p>
    <w:p>
      <w:pPr>
        <w:spacing w:line="560"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（截至202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12</w:t>
      </w:r>
      <w:r>
        <w:rPr>
          <w:rFonts w:ascii="Times New Roman" w:hAnsi="Times New Roman" w:eastAsia="仿宋_GB2312" w:cs="Times New Roman"/>
          <w:sz w:val="30"/>
          <w:szCs w:val="30"/>
        </w:rPr>
        <w:t>月3</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日）</w:t>
      </w:r>
    </w:p>
    <w:p>
      <w:pPr>
        <w:widowControl/>
        <w:spacing w:line="360" w:lineRule="auto"/>
        <w:jc w:val="center"/>
        <w:rPr>
          <w:rFonts w:ascii="Times New Roman" w:hAnsi="Times New Roman" w:eastAsia="黑体" w:cs="Times New Roman"/>
          <w:b/>
          <w:bCs/>
          <w:kern w:val="0"/>
          <w:sz w:val="30"/>
          <w:szCs w:val="30"/>
        </w:rPr>
      </w:pPr>
    </w:p>
    <w:p>
      <w:pPr>
        <w:pStyle w:val="11"/>
        <w:widowControl/>
        <w:numPr>
          <w:ilvl w:val="0"/>
          <w:numId w:val="1"/>
        </w:numPr>
        <w:spacing w:line="360" w:lineRule="auto"/>
        <w:ind w:firstLineChars="0"/>
        <w:rPr>
          <w:rFonts w:hint="eastAsia" w:ascii="Times New Roman" w:hAnsi="Times New Roman" w:eastAsia="仿宋_GB2312"/>
          <w:kern w:val="0"/>
          <w:sz w:val="30"/>
          <w:szCs w:val="30"/>
        </w:rPr>
      </w:pPr>
      <w:r>
        <w:rPr>
          <w:rFonts w:hint="eastAsia" w:ascii="Times New Roman" w:hAnsi="Times New Roman" w:eastAsia="仿宋_GB2312"/>
          <w:kern w:val="0"/>
          <w:sz w:val="30"/>
          <w:szCs w:val="30"/>
        </w:rPr>
        <w:t>关于印发《国家外汇管理局江苏省分局“不申报、不解付”特殊处理措施实施办法（试行）》的通知（苏汇发〔2011〕44 号）</w:t>
      </w:r>
    </w:p>
    <w:p>
      <w:pPr>
        <w:pStyle w:val="11"/>
        <w:widowControl/>
        <w:numPr>
          <w:ilvl w:val="0"/>
          <w:numId w:val="1"/>
        </w:numPr>
        <w:spacing w:line="360" w:lineRule="auto"/>
        <w:ind w:firstLineChars="0"/>
        <w:rPr>
          <w:rFonts w:hint="eastAsia" w:ascii="Times New Roman" w:hAnsi="Times New Roman" w:eastAsia="仿宋_GB2312"/>
          <w:kern w:val="0"/>
          <w:sz w:val="30"/>
          <w:szCs w:val="30"/>
        </w:rPr>
      </w:pPr>
      <w:r>
        <w:rPr>
          <w:rFonts w:hint="eastAsia" w:ascii="Times New Roman" w:hAnsi="Times New Roman" w:eastAsia="仿宋_GB2312"/>
          <w:kern w:val="0"/>
          <w:sz w:val="30"/>
          <w:szCs w:val="30"/>
        </w:rPr>
        <w:t>国家外汇管理局江苏省分局关于转发《国家外汇管理局关于新台币兑换管理有关问题的通知》的通知（苏汇发〔2013〕22 号）</w:t>
      </w:r>
    </w:p>
    <w:p>
      <w:pPr>
        <w:pStyle w:val="11"/>
        <w:widowControl/>
        <w:numPr>
          <w:ilvl w:val="0"/>
          <w:numId w:val="1"/>
        </w:numPr>
        <w:spacing w:line="360" w:lineRule="auto"/>
        <w:ind w:firstLineChars="0"/>
        <w:rPr>
          <w:rFonts w:hint="eastAsia" w:ascii="Times New Roman" w:hAnsi="Times New Roman" w:eastAsia="仿宋_GB2312"/>
          <w:kern w:val="0"/>
          <w:sz w:val="30"/>
          <w:szCs w:val="30"/>
        </w:rPr>
      </w:pPr>
      <w:r>
        <w:rPr>
          <w:rFonts w:hint="eastAsia" w:ascii="Times New Roman" w:hAnsi="Times New Roman" w:eastAsia="仿宋_GB2312"/>
          <w:kern w:val="0"/>
          <w:sz w:val="30"/>
          <w:szCs w:val="30"/>
        </w:rPr>
        <w:t>国家外汇管理局江苏省分局关于继续开展银行贸易融资业务调查的通知（苏汇发〔2016〕4 号）</w:t>
      </w:r>
    </w:p>
    <w:p>
      <w:pPr>
        <w:pStyle w:val="11"/>
        <w:widowControl/>
        <w:numPr>
          <w:ilvl w:val="0"/>
          <w:numId w:val="1"/>
        </w:numPr>
        <w:spacing w:line="360" w:lineRule="auto"/>
        <w:ind w:firstLineChars="0"/>
        <w:rPr>
          <w:rFonts w:hint="eastAsia" w:ascii="Times New Roman" w:hAnsi="Times New Roman" w:eastAsia="仿宋_GB2312"/>
          <w:kern w:val="0"/>
          <w:sz w:val="30"/>
          <w:szCs w:val="30"/>
        </w:rPr>
      </w:pPr>
      <w:r>
        <w:rPr>
          <w:rFonts w:hint="eastAsia" w:ascii="Times New Roman" w:hAnsi="Times New Roman" w:eastAsia="仿宋_GB2312"/>
          <w:kern w:val="0"/>
          <w:sz w:val="30"/>
          <w:szCs w:val="30"/>
        </w:rPr>
        <w:t>国家外汇管理局江苏省分局关于印发《进一步推进中国（江苏）自由贸易试验区外汇管理改革试点实施细则》的通知（苏汇发〔2020〕3 号）</w:t>
      </w:r>
    </w:p>
    <w:p>
      <w:pPr>
        <w:pStyle w:val="11"/>
        <w:widowControl/>
        <w:numPr>
          <w:ilvl w:val="0"/>
          <w:numId w:val="1"/>
        </w:numPr>
        <w:spacing w:line="360" w:lineRule="auto"/>
        <w:ind w:firstLineChars="0"/>
        <w:rPr>
          <w:rFonts w:ascii="Times New Roman" w:hAnsi="Times New Roman" w:eastAsia="仿宋_GB2312"/>
          <w:kern w:val="0"/>
          <w:sz w:val="30"/>
          <w:szCs w:val="30"/>
        </w:rPr>
      </w:pPr>
      <w:r>
        <w:rPr>
          <w:rFonts w:hint="eastAsia" w:ascii="Times New Roman" w:hAnsi="Times New Roman" w:eastAsia="仿宋_GB2312"/>
          <w:kern w:val="0"/>
          <w:sz w:val="30"/>
          <w:szCs w:val="30"/>
        </w:rPr>
        <w:t>国家外汇管理局江苏省分局关于印发《苏州工业园区、昆山市建设金融支持深化两岸产业合作改革创新试验区开展资本项目外汇业务创新试点实施细则》的通知（苏汇发〔2021〕47 号）</w:t>
      </w:r>
    </w:p>
    <w:p>
      <w:pPr>
        <w:pStyle w:val="11"/>
        <w:widowControl/>
        <w:numPr>
          <w:ilvl w:val="0"/>
          <w:numId w:val="1"/>
        </w:numPr>
        <w:spacing w:line="360" w:lineRule="auto"/>
        <w:ind w:firstLineChars="0"/>
        <w:rPr>
          <w:rFonts w:ascii="仿宋_GB2312" w:eastAsia="仿宋_GB2312"/>
          <w:sz w:val="30"/>
          <w:szCs w:val="30"/>
        </w:rPr>
      </w:pPr>
      <w:r>
        <w:rPr>
          <w:rFonts w:hint="eastAsia" w:ascii="Times New Roman" w:hAnsi="Times New Roman" w:eastAsia="仿宋_GB2312"/>
          <w:kern w:val="0"/>
          <w:sz w:val="30"/>
          <w:szCs w:val="30"/>
        </w:rPr>
        <w:t>《国家外汇管理局江苏省分局关于开展优质企业贸易外汇收支便利化试点的指导意见》（苏汇发〔2022〕27）（已于2024年2月废止，但截止2023年12月31日仍有效）</w:t>
      </w:r>
    </w:p>
    <w:sectPr>
      <w:footerReference r:id="rId4" w:type="default"/>
      <w:pgSz w:w="11906" w:h="16838"/>
      <w:pgMar w:top="1440"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2</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3">
    <w:nsid w:val="00000035"/>
    <w:multiLevelType w:val="multilevel"/>
    <w:tmpl w:val="00000035"/>
    <w:lvl w:ilvl="0" w:tentative="1">
      <w:start w:val="1"/>
      <w:numFmt w:val="decimal"/>
      <w:lvlText w:val="%1"/>
      <w:lvlJc w:val="left"/>
      <w:pPr>
        <w:ind w:left="360" w:hanging="360"/>
      </w:pPr>
      <w:rPr>
        <w:rFonts w:hint="default"/>
        <w:b w:val="0"/>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7005A"/>
    <w:rsid w:val="000009CE"/>
    <w:rsid w:val="00001C8D"/>
    <w:rsid w:val="000044C2"/>
    <w:rsid w:val="000320CB"/>
    <w:rsid w:val="00032C99"/>
    <w:rsid w:val="00035685"/>
    <w:rsid w:val="00042521"/>
    <w:rsid w:val="0004271A"/>
    <w:rsid w:val="0005212D"/>
    <w:rsid w:val="0006738B"/>
    <w:rsid w:val="0007374A"/>
    <w:rsid w:val="000802A5"/>
    <w:rsid w:val="000875E7"/>
    <w:rsid w:val="00087B6D"/>
    <w:rsid w:val="0009406E"/>
    <w:rsid w:val="00094570"/>
    <w:rsid w:val="000A09FC"/>
    <w:rsid w:val="000A0B2B"/>
    <w:rsid w:val="000A7723"/>
    <w:rsid w:val="000B2102"/>
    <w:rsid w:val="000B643E"/>
    <w:rsid w:val="000B7571"/>
    <w:rsid w:val="000C53B9"/>
    <w:rsid w:val="000D1F2E"/>
    <w:rsid w:val="00100E74"/>
    <w:rsid w:val="00101D53"/>
    <w:rsid w:val="00105ADE"/>
    <w:rsid w:val="00113701"/>
    <w:rsid w:val="00114688"/>
    <w:rsid w:val="001274FF"/>
    <w:rsid w:val="001316CE"/>
    <w:rsid w:val="00131795"/>
    <w:rsid w:val="0013673E"/>
    <w:rsid w:val="00143A03"/>
    <w:rsid w:val="00153FC0"/>
    <w:rsid w:val="00160A4D"/>
    <w:rsid w:val="00162F27"/>
    <w:rsid w:val="0016377A"/>
    <w:rsid w:val="00165A88"/>
    <w:rsid w:val="00171C10"/>
    <w:rsid w:val="001736D6"/>
    <w:rsid w:val="00180EAE"/>
    <w:rsid w:val="00183E46"/>
    <w:rsid w:val="00184FB7"/>
    <w:rsid w:val="001920B6"/>
    <w:rsid w:val="0019431A"/>
    <w:rsid w:val="001A24AD"/>
    <w:rsid w:val="001B1526"/>
    <w:rsid w:val="001B6446"/>
    <w:rsid w:val="001C6CB2"/>
    <w:rsid w:val="001C752E"/>
    <w:rsid w:val="001D0AAB"/>
    <w:rsid w:val="001D27CD"/>
    <w:rsid w:val="001E349A"/>
    <w:rsid w:val="001E3DAF"/>
    <w:rsid w:val="001F3542"/>
    <w:rsid w:val="001F4613"/>
    <w:rsid w:val="001F4926"/>
    <w:rsid w:val="002001DA"/>
    <w:rsid w:val="002061F9"/>
    <w:rsid w:val="0021239F"/>
    <w:rsid w:val="00217339"/>
    <w:rsid w:val="00231993"/>
    <w:rsid w:val="00233A34"/>
    <w:rsid w:val="00236C87"/>
    <w:rsid w:val="00246D51"/>
    <w:rsid w:val="002573EC"/>
    <w:rsid w:val="0027695C"/>
    <w:rsid w:val="00282E75"/>
    <w:rsid w:val="00285CD4"/>
    <w:rsid w:val="00293E21"/>
    <w:rsid w:val="00295D70"/>
    <w:rsid w:val="002A0DBF"/>
    <w:rsid w:val="002A1499"/>
    <w:rsid w:val="002A2477"/>
    <w:rsid w:val="002C51CE"/>
    <w:rsid w:val="002D3D5C"/>
    <w:rsid w:val="002F15B2"/>
    <w:rsid w:val="002F7A18"/>
    <w:rsid w:val="002F7D6C"/>
    <w:rsid w:val="00302D95"/>
    <w:rsid w:val="0031078D"/>
    <w:rsid w:val="003203A3"/>
    <w:rsid w:val="003242C6"/>
    <w:rsid w:val="003242D8"/>
    <w:rsid w:val="00332D88"/>
    <w:rsid w:val="00345FB6"/>
    <w:rsid w:val="0035053F"/>
    <w:rsid w:val="003522A8"/>
    <w:rsid w:val="00366A5F"/>
    <w:rsid w:val="00367E01"/>
    <w:rsid w:val="0038067F"/>
    <w:rsid w:val="00390642"/>
    <w:rsid w:val="00397058"/>
    <w:rsid w:val="003A16D5"/>
    <w:rsid w:val="003A4561"/>
    <w:rsid w:val="003A5EB6"/>
    <w:rsid w:val="003B13ED"/>
    <w:rsid w:val="003B2D8B"/>
    <w:rsid w:val="003B4E75"/>
    <w:rsid w:val="003B509D"/>
    <w:rsid w:val="003C20BE"/>
    <w:rsid w:val="003D1E31"/>
    <w:rsid w:val="003E096E"/>
    <w:rsid w:val="003E175D"/>
    <w:rsid w:val="003E297C"/>
    <w:rsid w:val="003F111B"/>
    <w:rsid w:val="00401F0F"/>
    <w:rsid w:val="004102F0"/>
    <w:rsid w:val="004141AA"/>
    <w:rsid w:val="00417985"/>
    <w:rsid w:val="004208B1"/>
    <w:rsid w:val="00421E23"/>
    <w:rsid w:val="00434083"/>
    <w:rsid w:val="00446CD8"/>
    <w:rsid w:val="004476CB"/>
    <w:rsid w:val="00451B2C"/>
    <w:rsid w:val="00460B19"/>
    <w:rsid w:val="00464085"/>
    <w:rsid w:val="00475D74"/>
    <w:rsid w:val="00475EAA"/>
    <w:rsid w:val="00475FF6"/>
    <w:rsid w:val="004775D9"/>
    <w:rsid w:val="00482178"/>
    <w:rsid w:val="004823B8"/>
    <w:rsid w:val="004835AA"/>
    <w:rsid w:val="00495CF7"/>
    <w:rsid w:val="0049649A"/>
    <w:rsid w:val="004A4603"/>
    <w:rsid w:val="004A6CAF"/>
    <w:rsid w:val="004B5ED2"/>
    <w:rsid w:val="004C6CDD"/>
    <w:rsid w:val="004E1698"/>
    <w:rsid w:val="004F7B60"/>
    <w:rsid w:val="00501371"/>
    <w:rsid w:val="005028C7"/>
    <w:rsid w:val="00505E4D"/>
    <w:rsid w:val="00511414"/>
    <w:rsid w:val="005135D0"/>
    <w:rsid w:val="00514AAC"/>
    <w:rsid w:val="0051563E"/>
    <w:rsid w:val="00535FFA"/>
    <w:rsid w:val="00545A19"/>
    <w:rsid w:val="00546C27"/>
    <w:rsid w:val="005472EB"/>
    <w:rsid w:val="00553E16"/>
    <w:rsid w:val="00561E84"/>
    <w:rsid w:val="005662F6"/>
    <w:rsid w:val="005715DD"/>
    <w:rsid w:val="0058362B"/>
    <w:rsid w:val="00586B71"/>
    <w:rsid w:val="00586E52"/>
    <w:rsid w:val="005902C7"/>
    <w:rsid w:val="005A06F2"/>
    <w:rsid w:val="005A1552"/>
    <w:rsid w:val="005B0B41"/>
    <w:rsid w:val="005C075E"/>
    <w:rsid w:val="005D4453"/>
    <w:rsid w:val="005D776F"/>
    <w:rsid w:val="005E65E3"/>
    <w:rsid w:val="005F1633"/>
    <w:rsid w:val="005F1BE9"/>
    <w:rsid w:val="005F45C8"/>
    <w:rsid w:val="006034CA"/>
    <w:rsid w:val="00603662"/>
    <w:rsid w:val="00605A42"/>
    <w:rsid w:val="00611146"/>
    <w:rsid w:val="00611D7B"/>
    <w:rsid w:val="00616AD0"/>
    <w:rsid w:val="00630A69"/>
    <w:rsid w:val="00644728"/>
    <w:rsid w:val="0065266F"/>
    <w:rsid w:val="006602A2"/>
    <w:rsid w:val="006603F6"/>
    <w:rsid w:val="006618B9"/>
    <w:rsid w:val="00663C27"/>
    <w:rsid w:val="006670CF"/>
    <w:rsid w:val="006672BD"/>
    <w:rsid w:val="00686CFB"/>
    <w:rsid w:val="00687F18"/>
    <w:rsid w:val="00687FF5"/>
    <w:rsid w:val="006930BC"/>
    <w:rsid w:val="006A5DAE"/>
    <w:rsid w:val="006A6F8F"/>
    <w:rsid w:val="006B598F"/>
    <w:rsid w:val="006C1AD8"/>
    <w:rsid w:val="006C2348"/>
    <w:rsid w:val="006E5450"/>
    <w:rsid w:val="006F4375"/>
    <w:rsid w:val="006F5A06"/>
    <w:rsid w:val="006F6540"/>
    <w:rsid w:val="00701F54"/>
    <w:rsid w:val="007046BB"/>
    <w:rsid w:val="007106BE"/>
    <w:rsid w:val="007136D2"/>
    <w:rsid w:val="007165C2"/>
    <w:rsid w:val="0072709B"/>
    <w:rsid w:val="00740724"/>
    <w:rsid w:val="007430C9"/>
    <w:rsid w:val="00743398"/>
    <w:rsid w:val="00746DAB"/>
    <w:rsid w:val="00764CA3"/>
    <w:rsid w:val="007740E9"/>
    <w:rsid w:val="00786348"/>
    <w:rsid w:val="007950A1"/>
    <w:rsid w:val="00795DC6"/>
    <w:rsid w:val="00796E89"/>
    <w:rsid w:val="007A33F9"/>
    <w:rsid w:val="007A5B69"/>
    <w:rsid w:val="007A627B"/>
    <w:rsid w:val="007B2A33"/>
    <w:rsid w:val="007B6DAD"/>
    <w:rsid w:val="007B7C19"/>
    <w:rsid w:val="007C0758"/>
    <w:rsid w:val="007C7BE1"/>
    <w:rsid w:val="007D063A"/>
    <w:rsid w:val="007D385B"/>
    <w:rsid w:val="007F20CF"/>
    <w:rsid w:val="007F3A09"/>
    <w:rsid w:val="007F40EE"/>
    <w:rsid w:val="007F4F5F"/>
    <w:rsid w:val="00801312"/>
    <w:rsid w:val="00806882"/>
    <w:rsid w:val="00815DF6"/>
    <w:rsid w:val="008172D5"/>
    <w:rsid w:val="00826CCB"/>
    <w:rsid w:val="00827E15"/>
    <w:rsid w:val="0084146D"/>
    <w:rsid w:val="00841509"/>
    <w:rsid w:val="00851097"/>
    <w:rsid w:val="008614FB"/>
    <w:rsid w:val="008628D5"/>
    <w:rsid w:val="0087720E"/>
    <w:rsid w:val="00883B47"/>
    <w:rsid w:val="008840A5"/>
    <w:rsid w:val="00886E3F"/>
    <w:rsid w:val="008870FD"/>
    <w:rsid w:val="00887778"/>
    <w:rsid w:val="008879AF"/>
    <w:rsid w:val="00887E1C"/>
    <w:rsid w:val="00891AAB"/>
    <w:rsid w:val="0089620D"/>
    <w:rsid w:val="008A1137"/>
    <w:rsid w:val="008A2978"/>
    <w:rsid w:val="008B3F3F"/>
    <w:rsid w:val="008B6D43"/>
    <w:rsid w:val="008C1A59"/>
    <w:rsid w:val="008C1DAE"/>
    <w:rsid w:val="008C6E08"/>
    <w:rsid w:val="008E2CF0"/>
    <w:rsid w:val="008E4A59"/>
    <w:rsid w:val="009001DC"/>
    <w:rsid w:val="00901673"/>
    <w:rsid w:val="00901A08"/>
    <w:rsid w:val="00902321"/>
    <w:rsid w:val="0092422E"/>
    <w:rsid w:val="009244AB"/>
    <w:rsid w:val="00925FBC"/>
    <w:rsid w:val="009273B9"/>
    <w:rsid w:val="0094378E"/>
    <w:rsid w:val="00943EB9"/>
    <w:rsid w:val="009477CD"/>
    <w:rsid w:val="00947C23"/>
    <w:rsid w:val="0095190A"/>
    <w:rsid w:val="00975D70"/>
    <w:rsid w:val="00990727"/>
    <w:rsid w:val="009A3CEF"/>
    <w:rsid w:val="009B2856"/>
    <w:rsid w:val="009B43BD"/>
    <w:rsid w:val="009C6968"/>
    <w:rsid w:val="009E5CA9"/>
    <w:rsid w:val="00A00A45"/>
    <w:rsid w:val="00A02072"/>
    <w:rsid w:val="00A21CDA"/>
    <w:rsid w:val="00A235F4"/>
    <w:rsid w:val="00A3182D"/>
    <w:rsid w:val="00A320A4"/>
    <w:rsid w:val="00A34EA1"/>
    <w:rsid w:val="00A369B0"/>
    <w:rsid w:val="00A479EB"/>
    <w:rsid w:val="00A61D97"/>
    <w:rsid w:val="00A63BCA"/>
    <w:rsid w:val="00A66B4B"/>
    <w:rsid w:val="00A66B63"/>
    <w:rsid w:val="00A66EBA"/>
    <w:rsid w:val="00A80B51"/>
    <w:rsid w:val="00A81398"/>
    <w:rsid w:val="00A81B92"/>
    <w:rsid w:val="00A82E1F"/>
    <w:rsid w:val="00A837A3"/>
    <w:rsid w:val="00A92E48"/>
    <w:rsid w:val="00A93CE4"/>
    <w:rsid w:val="00AB2226"/>
    <w:rsid w:val="00AB41A0"/>
    <w:rsid w:val="00AC2B79"/>
    <w:rsid w:val="00AC43A1"/>
    <w:rsid w:val="00AD3742"/>
    <w:rsid w:val="00AD5C6C"/>
    <w:rsid w:val="00AE794D"/>
    <w:rsid w:val="00AF48D1"/>
    <w:rsid w:val="00B026BE"/>
    <w:rsid w:val="00B0772A"/>
    <w:rsid w:val="00B11A22"/>
    <w:rsid w:val="00B12F11"/>
    <w:rsid w:val="00B16C24"/>
    <w:rsid w:val="00B17353"/>
    <w:rsid w:val="00B258B2"/>
    <w:rsid w:val="00B4166A"/>
    <w:rsid w:val="00B44258"/>
    <w:rsid w:val="00B44EE6"/>
    <w:rsid w:val="00B467CE"/>
    <w:rsid w:val="00B50A09"/>
    <w:rsid w:val="00B54329"/>
    <w:rsid w:val="00B571DA"/>
    <w:rsid w:val="00B607EA"/>
    <w:rsid w:val="00B64DED"/>
    <w:rsid w:val="00B661B0"/>
    <w:rsid w:val="00B755A2"/>
    <w:rsid w:val="00B76A3F"/>
    <w:rsid w:val="00B83D27"/>
    <w:rsid w:val="00B87418"/>
    <w:rsid w:val="00B97624"/>
    <w:rsid w:val="00BA6EA9"/>
    <w:rsid w:val="00BB0B1B"/>
    <w:rsid w:val="00BB636B"/>
    <w:rsid w:val="00BB63CC"/>
    <w:rsid w:val="00BD753E"/>
    <w:rsid w:val="00BE0F26"/>
    <w:rsid w:val="00BE1C1B"/>
    <w:rsid w:val="00BE7262"/>
    <w:rsid w:val="00BF711A"/>
    <w:rsid w:val="00BF7957"/>
    <w:rsid w:val="00C03547"/>
    <w:rsid w:val="00C14EAB"/>
    <w:rsid w:val="00C245D3"/>
    <w:rsid w:val="00C2644B"/>
    <w:rsid w:val="00C269AB"/>
    <w:rsid w:val="00C2793B"/>
    <w:rsid w:val="00C27FAD"/>
    <w:rsid w:val="00C3538D"/>
    <w:rsid w:val="00C35F7A"/>
    <w:rsid w:val="00C40E03"/>
    <w:rsid w:val="00C41A4E"/>
    <w:rsid w:val="00C55185"/>
    <w:rsid w:val="00C60801"/>
    <w:rsid w:val="00C7005A"/>
    <w:rsid w:val="00C76064"/>
    <w:rsid w:val="00C8318C"/>
    <w:rsid w:val="00C928B8"/>
    <w:rsid w:val="00CA0A76"/>
    <w:rsid w:val="00CA12A4"/>
    <w:rsid w:val="00CA3347"/>
    <w:rsid w:val="00CA36EB"/>
    <w:rsid w:val="00CA5003"/>
    <w:rsid w:val="00CB2CD7"/>
    <w:rsid w:val="00CB76E1"/>
    <w:rsid w:val="00CB777C"/>
    <w:rsid w:val="00CC4D50"/>
    <w:rsid w:val="00CD4393"/>
    <w:rsid w:val="00CD607C"/>
    <w:rsid w:val="00CE0A1A"/>
    <w:rsid w:val="00CF0755"/>
    <w:rsid w:val="00CF3971"/>
    <w:rsid w:val="00CF6615"/>
    <w:rsid w:val="00D0089E"/>
    <w:rsid w:val="00D145C6"/>
    <w:rsid w:val="00D17BF1"/>
    <w:rsid w:val="00D20220"/>
    <w:rsid w:val="00D25196"/>
    <w:rsid w:val="00D46D9C"/>
    <w:rsid w:val="00D62A7F"/>
    <w:rsid w:val="00D67126"/>
    <w:rsid w:val="00D93CEF"/>
    <w:rsid w:val="00D97D43"/>
    <w:rsid w:val="00DA586F"/>
    <w:rsid w:val="00DD2F98"/>
    <w:rsid w:val="00DE0F3B"/>
    <w:rsid w:val="00DE13BA"/>
    <w:rsid w:val="00DE1620"/>
    <w:rsid w:val="00DE5557"/>
    <w:rsid w:val="00DF088C"/>
    <w:rsid w:val="00DF4498"/>
    <w:rsid w:val="00E04B84"/>
    <w:rsid w:val="00E055F2"/>
    <w:rsid w:val="00E10FB1"/>
    <w:rsid w:val="00E15CEC"/>
    <w:rsid w:val="00E25363"/>
    <w:rsid w:val="00E33F4F"/>
    <w:rsid w:val="00E46B14"/>
    <w:rsid w:val="00E54140"/>
    <w:rsid w:val="00E577E5"/>
    <w:rsid w:val="00E74A9A"/>
    <w:rsid w:val="00E76D67"/>
    <w:rsid w:val="00E86AEA"/>
    <w:rsid w:val="00E87588"/>
    <w:rsid w:val="00E93848"/>
    <w:rsid w:val="00E9442D"/>
    <w:rsid w:val="00E94B2A"/>
    <w:rsid w:val="00E958B8"/>
    <w:rsid w:val="00E96C0C"/>
    <w:rsid w:val="00EA4DAC"/>
    <w:rsid w:val="00EC0CA3"/>
    <w:rsid w:val="00EC6AAD"/>
    <w:rsid w:val="00EC6C1F"/>
    <w:rsid w:val="00ED5706"/>
    <w:rsid w:val="00ED63FB"/>
    <w:rsid w:val="00EE2141"/>
    <w:rsid w:val="00EE3DC4"/>
    <w:rsid w:val="00EE5A95"/>
    <w:rsid w:val="00EF07A0"/>
    <w:rsid w:val="00EF1A0C"/>
    <w:rsid w:val="00EF6312"/>
    <w:rsid w:val="00F06B62"/>
    <w:rsid w:val="00F07F9C"/>
    <w:rsid w:val="00F11DE5"/>
    <w:rsid w:val="00F3111D"/>
    <w:rsid w:val="00F44957"/>
    <w:rsid w:val="00F449B5"/>
    <w:rsid w:val="00F51B46"/>
    <w:rsid w:val="00F7134B"/>
    <w:rsid w:val="00F7246E"/>
    <w:rsid w:val="00F75D82"/>
    <w:rsid w:val="00F7667E"/>
    <w:rsid w:val="00F911B9"/>
    <w:rsid w:val="00F948A4"/>
    <w:rsid w:val="00FB1694"/>
    <w:rsid w:val="00FC7E68"/>
    <w:rsid w:val="00FD249F"/>
    <w:rsid w:val="00FD41CC"/>
    <w:rsid w:val="00FD4C25"/>
    <w:rsid w:val="00FF31D6"/>
    <w:rsid w:val="10722DCB"/>
    <w:rsid w:val="3B8730FA"/>
    <w:rsid w:val="3F9E17EF"/>
    <w:rsid w:val="79593ACA"/>
    <w:rsid w:val="7BBB51D0"/>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99" w:semiHidden="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99"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15"/>
    <w:unhideWhenUsed/>
    <w:uiPriority w:val="99"/>
    <w:rPr>
      <w:sz w:val="18"/>
      <w:szCs w:val="18"/>
    </w:rPr>
  </w:style>
  <w:style w:type="paragraph" w:styleId="3">
    <w:name w:val="footer"/>
    <w:basedOn w:val="1"/>
    <w:link w:val="14"/>
    <w:unhideWhenUsed/>
    <w:uiPriority w:val="99"/>
    <w:pPr>
      <w:tabs>
        <w:tab w:val="center" w:pos="4153"/>
        <w:tab w:val="right" w:pos="8306"/>
      </w:tabs>
      <w:snapToGrid w:val="0"/>
      <w:jc w:val="left"/>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6"/>
    <w:unhideWhenUsed/>
    <w:uiPriority w:val="99"/>
    <w:pPr>
      <w:snapToGrid w:val="0"/>
      <w:jc w:val="left"/>
    </w:pPr>
    <w:rPr>
      <w:rFonts w:ascii="Calibri" w:hAnsi="Calibri" w:eastAsia="宋体" w:cs="Times New Roman"/>
      <w:sz w:val="18"/>
      <w:szCs w:val="18"/>
    </w:rPr>
  </w:style>
  <w:style w:type="character" w:styleId="7">
    <w:name w:val="footnote reference"/>
    <w:basedOn w:val="6"/>
    <w:unhideWhenUsed/>
    <w:uiPriority w:val="99"/>
    <w:rPr>
      <w:vertAlign w:val="superscript"/>
    </w:rPr>
  </w:style>
  <w:style w:type="table" w:styleId="9">
    <w:name w:val="Table Grid"/>
    <w:basedOn w:val="8"/>
    <w:uiPriority w:val="59"/>
    <w:pPr/>
    <w:tblPr>
      <w:tblStyle w:val="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0">
    <w:name w:val="List Paragraph"/>
    <w:basedOn w:val="1"/>
    <w:qFormat/>
    <w:uiPriority w:val="34"/>
    <w:pPr>
      <w:ind w:firstLine="420" w:firstLineChars="200"/>
    </w:pPr>
  </w:style>
  <w:style w:type="paragraph" w:customStyle="1" w:styleId="11">
    <w:name w:val="列出段落1"/>
    <w:basedOn w:val="1"/>
    <w:uiPriority w:val="0"/>
    <w:pPr>
      <w:ind w:firstLine="420" w:firstLineChars="200"/>
    </w:pPr>
    <w:rPr>
      <w:rFonts w:ascii="Calibri" w:hAnsi="Calibri" w:eastAsia="宋体" w:cs="Times New Roman"/>
    </w:rPr>
  </w:style>
  <w:style w:type="paragraph" w:customStyle="1" w:styleId="12">
    <w:name w:val="p0"/>
    <w:basedOn w:val="1"/>
    <w:uiPriority w:val="0"/>
    <w:pPr>
      <w:widowControl/>
    </w:pPr>
    <w:rPr>
      <w:rFonts w:ascii="Times New Roman" w:hAnsi="Times New Roman" w:eastAsia="宋体" w:cs="Times New Roman"/>
      <w:kern w:val="0"/>
      <w:sz w:val="32"/>
      <w:szCs w:val="32"/>
    </w:rPr>
  </w:style>
  <w:style w:type="character" w:customStyle="1" w:styleId="13">
    <w:name w:val="页眉 Char"/>
    <w:basedOn w:val="6"/>
    <w:link w:val="4"/>
    <w:uiPriority w:val="99"/>
    <w:rPr>
      <w:sz w:val="18"/>
      <w:szCs w:val="18"/>
    </w:rPr>
  </w:style>
  <w:style w:type="character" w:customStyle="1" w:styleId="14">
    <w:name w:val="页脚 Char"/>
    <w:basedOn w:val="6"/>
    <w:link w:val="3"/>
    <w:uiPriority w:val="99"/>
    <w:rPr>
      <w:sz w:val="18"/>
      <w:szCs w:val="18"/>
    </w:rPr>
  </w:style>
  <w:style w:type="character" w:customStyle="1" w:styleId="15">
    <w:name w:val="批注框文本 Char"/>
    <w:basedOn w:val="6"/>
    <w:link w:val="2"/>
    <w:semiHidden/>
    <w:uiPriority w:val="99"/>
    <w:rPr>
      <w:sz w:val="18"/>
      <w:szCs w:val="18"/>
    </w:rPr>
  </w:style>
  <w:style w:type="character" w:customStyle="1" w:styleId="16">
    <w:name w:val="脚注文本 Char"/>
    <w:basedOn w:val="6"/>
    <w:link w:val="5"/>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142</Words>
  <Characters>810</Characters>
  <Lines>6</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2021-03-09T01:52:00Z</dcterms:created>
  <dc:creator>user</dc:creator>
  <cp:lastModifiedBy>刘珺</cp:lastModifiedBy>
  <cp:lastPrinted>2019-04-18T00:49:00Z</cp:lastPrinted>
  <dcterms:modified xsi:type="dcterms:W3CDTF">2024-04-11T07:44:48Z</dcterms:modified>
  <dc:title>附件2：国家外汇管理局江苏省分局辖内废止、新增规范性文件目录（自2019年12月31日以来，截至2021年12月31日）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