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0" w:firstLineChars="0"/>
        <w:jc w:val="right"/>
        <w:rPr>
          <w:rFonts w:eastAsia="方正小标宋_GBK"/>
          <w:sz w:val="40"/>
          <w:szCs w:val="40"/>
        </w:rPr>
      </w:pP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Picture 1" o:spid="_x0000_s1026" type="#_x0000_t75" style="height:69.75pt;width:87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 w:firstLine="0" w:firstLineChars="0"/>
        <w:jc w:val="left"/>
        <w:rPr>
          <w:rFonts w:eastAsia="黑体"/>
          <w:sz w:val="48"/>
          <w:szCs w:val="48"/>
        </w:rPr>
      </w:pPr>
      <w:r>
        <w:rPr>
          <w:rFonts w:hint="eastAsia" w:eastAsia="黑体"/>
          <w:sz w:val="48"/>
          <w:szCs w:val="48"/>
        </w:rPr>
        <w:t>编号：</w:t>
      </w:r>
      <w:r>
        <w:rPr>
          <w:rFonts w:eastAsia="黑体"/>
          <w:sz w:val="48"/>
          <w:szCs w:val="48"/>
        </w:rPr>
        <w:t>000171102004</w:t>
      </w: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right="300" w:firstLine="0" w:firstLineChars="0"/>
        <w:jc w:val="center"/>
        <w:rPr>
          <w:rFonts w:eastAsia="黑体"/>
          <w:sz w:val="52"/>
          <w:szCs w:val="52"/>
        </w:rPr>
      </w:pPr>
      <w:r>
        <w:rPr>
          <w:rFonts w:hint="eastAsia" w:eastAsia="黑体"/>
          <w:sz w:val="52"/>
          <w:szCs w:val="52"/>
        </w:rPr>
        <w:t>“省分局</w:t>
      </w:r>
      <w:r>
        <w:rPr>
          <w:rFonts w:eastAsia="黑体"/>
          <w:sz w:val="52"/>
          <w:szCs w:val="52"/>
        </w:rPr>
        <w:t>办理的企业经常项目资金集中和轧差结算收支业务登记</w:t>
      </w:r>
      <w:r>
        <w:rPr>
          <w:rFonts w:hint="eastAsia" w:eastAsia="黑体"/>
          <w:sz w:val="52"/>
          <w:szCs w:val="52"/>
        </w:rPr>
        <w:t>”</w:t>
      </w:r>
      <w:r>
        <w:rPr>
          <w:rFonts w:eastAsia="黑体"/>
          <w:sz w:val="52"/>
          <w:szCs w:val="52"/>
        </w:rPr>
        <w:t>行政审批服务指南</w:t>
      </w: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发布日期：20</w:t>
      </w:r>
      <w:r>
        <w:rPr>
          <w:rFonts w:hint="eastAsia" w:eastAsia="仿宋_GB2312"/>
          <w:sz w:val="30"/>
          <w:szCs w:val="30"/>
        </w:rPr>
        <w:t>23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  <w:lang w:val="en-US" w:eastAsia="zh-CN"/>
        </w:rPr>
        <w:t>9</w:t>
      </w:r>
      <w:r>
        <w:rPr>
          <w:rFonts w:eastAsia="仿宋_GB2312"/>
          <w:sz w:val="30"/>
          <w:szCs w:val="30"/>
        </w:rPr>
        <w:t>月</w:t>
      </w:r>
      <w:r>
        <w:rPr>
          <w:rFonts w:hint="eastAsia" w:eastAsia="仿宋_GB2312"/>
          <w:sz w:val="30"/>
          <w:szCs w:val="30"/>
          <w:lang w:val="en-US" w:eastAsia="zh-CN"/>
        </w:rPr>
        <w:t>28</w:t>
      </w:r>
      <w:r>
        <w:rPr>
          <w:rFonts w:eastAsia="仿宋_GB2312"/>
          <w:sz w:val="30"/>
          <w:szCs w:val="30"/>
        </w:rPr>
        <w:t>日</w:t>
      </w: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实施日期：20</w:t>
      </w:r>
      <w:r>
        <w:rPr>
          <w:rFonts w:hint="eastAsia" w:eastAsia="仿宋_GB2312"/>
          <w:sz w:val="30"/>
          <w:szCs w:val="30"/>
        </w:rPr>
        <w:t>23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  <w:lang w:val="en-US" w:eastAsia="zh-CN"/>
        </w:rPr>
        <w:t>9</w:t>
      </w:r>
      <w:r>
        <w:rPr>
          <w:rFonts w:eastAsia="仿宋_GB2312"/>
          <w:sz w:val="30"/>
          <w:szCs w:val="30"/>
        </w:rPr>
        <w:t>月</w:t>
      </w:r>
      <w:r>
        <w:rPr>
          <w:rFonts w:hint="eastAsia" w:eastAsia="仿宋_GB2312"/>
          <w:sz w:val="30"/>
          <w:szCs w:val="30"/>
          <w:lang w:val="en-US" w:eastAsia="zh-CN"/>
        </w:rPr>
        <w:t>29</w:t>
      </w:r>
      <w:bookmarkStart w:id="11" w:name="_GoBack"/>
      <w:bookmarkEnd w:id="11"/>
      <w:r>
        <w:rPr>
          <w:rFonts w:eastAsia="仿宋_GB2312"/>
          <w:sz w:val="30"/>
          <w:szCs w:val="30"/>
        </w:rPr>
        <w:t>日</w:t>
      </w: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发布机构：国家外汇管理局</w:t>
      </w:r>
      <w:r>
        <w:rPr>
          <w:rFonts w:hint="eastAsia" w:eastAsia="仿宋_GB2312"/>
          <w:sz w:val="30"/>
          <w:szCs w:val="30"/>
        </w:rPr>
        <w:t>江苏省分局</w:t>
      </w: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adjustRightInd w:val="0"/>
        <w:snapToGrid w:val="0"/>
        <w:spacing w:line="360" w:lineRule="auto"/>
        <w:ind w:firstLine="600"/>
        <w:jc w:val="left"/>
        <w:rPr>
          <w:rFonts w:eastAsia="黑体"/>
          <w:sz w:val="30"/>
          <w:szCs w:val="30"/>
        </w:rPr>
      </w:pPr>
      <w:bookmarkStart w:id="0" w:name="_Toc230209183"/>
      <w:r>
        <w:rPr>
          <w:rFonts w:eastAsia="黑体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1.行政许可事项名称及编码</w:t>
      </w:r>
      <w:bookmarkEnd w:id="0"/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bookmarkStart w:id="1" w:name="_Toc2089527096"/>
      <w:r>
        <w:rPr>
          <w:rFonts w:eastAsia="仿宋_GB2312"/>
          <w:sz w:val="30"/>
          <w:szCs w:val="30"/>
        </w:rPr>
        <w:t>经常项目特定收支业务核准【00017110200Y】</w:t>
      </w:r>
      <w:bookmarkEnd w:id="1"/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bookmarkStart w:id="2" w:name="_Toc1525380920"/>
      <w:r>
        <w:rPr>
          <w:rFonts w:eastAsia="仿宋_GB2312"/>
          <w:sz w:val="30"/>
          <w:szCs w:val="30"/>
        </w:rPr>
        <w:t>2.行政许可事项子项名称及编码</w:t>
      </w:r>
      <w:bookmarkEnd w:id="2"/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省分局</w:t>
      </w:r>
      <w:r>
        <w:rPr>
          <w:rFonts w:eastAsia="仿宋_GB2312"/>
          <w:sz w:val="30"/>
          <w:szCs w:val="30"/>
        </w:rPr>
        <w:t>办理的企业经常项目资金集中和轧差结算收支业务登记【000171102004】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bookmarkStart w:id="3" w:name="_Toc2063580263"/>
      <w:r>
        <w:rPr>
          <w:rFonts w:eastAsia="仿宋_GB2312"/>
          <w:sz w:val="30"/>
          <w:szCs w:val="30"/>
        </w:rPr>
        <w:t>3.行政许可事项业务办理项名称及编码</w:t>
      </w:r>
      <w:bookmarkEnd w:id="3"/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bookmarkStart w:id="4" w:name="_Toc643850346"/>
      <w:r>
        <w:rPr>
          <w:rFonts w:hint="eastAsia" w:eastAsia="仿宋_GB2312"/>
          <w:sz w:val="30"/>
          <w:szCs w:val="30"/>
        </w:rPr>
        <w:t>省分局</w:t>
      </w:r>
      <w:r>
        <w:rPr>
          <w:rFonts w:eastAsia="仿宋_GB2312"/>
          <w:sz w:val="30"/>
          <w:szCs w:val="30"/>
        </w:rPr>
        <w:t>办理的经常项目资金集中收付和轧差结算收支业务</w:t>
      </w:r>
      <w:r>
        <w:rPr>
          <w:rFonts w:hint="eastAsia" w:eastAsia="仿宋_GB2312"/>
          <w:sz w:val="30"/>
          <w:szCs w:val="30"/>
        </w:rPr>
        <w:t>新办</w:t>
      </w:r>
      <w:r>
        <w:rPr>
          <w:rFonts w:eastAsia="仿宋_GB2312"/>
          <w:sz w:val="30"/>
          <w:szCs w:val="30"/>
        </w:rPr>
        <w:t>（00017110200401）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省分局</w:t>
      </w:r>
      <w:r>
        <w:rPr>
          <w:rFonts w:eastAsia="仿宋_GB2312"/>
          <w:sz w:val="30"/>
          <w:szCs w:val="30"/>
        </w:rPr>
        <w:t>办理的经常项目资金集中收付和轧差结算收支业务</w:t>
      </w:r>
      <w:r>
        <w:rPr>
          <w:rFonts w:hint="eastAsia" w:eastAsia="仿宋_GB2312"/>
          <w:sz w:val="30"/>
          <w:szCs w:val="30"/>
        </w:rPr>
        <w:t>变更</w:t>
      </w:r>
      <w:r>
        <w:rPr>
          <w:rFonts w:eastAsia="仿宋_GB2312"/>
          <w:sz w:val="30"/>
          <w:szCs w:val="30"/>
        </w:rPr>
        <w:t>（00017110200402）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本指南适用于</w:t>
      </w:r>
      <w:r>
        <w:rPr>
          <w:rFonts w:hint="eastAsia" w:eastAsia="仿宋_GB2312"/>
          <w:sz w:val="30"/>
          <w:szCs w:val="30"/>
        </w:rPr>
        <w:t>“省分局</w:t>
      </w:r>
      <w:r>
        <w:rPr>
          <w:rFonts w:eastAsia="仿宋_GB2312"/>
          <w:sz w:val="30"/>
          <w:szCs w:val="30"/>
        </w:rPr>
        <w:t>办理的企业经常项目资金集中和轧差结算收支业务登记</w:t>
      </w:r>
      <w:r>
        <w:rPr>
          <w:rFonts w:hint="eastAsia"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的申请和办理。</w:t>
      </w:r>
    </w:p>
    <w:bookmarkEnd w:id="4"/>
    <w:p>
      <w:pPr>
        <w:tabs>
          <w:tab w:val="left" w:pos="3718"/>
        </w:tabs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bookmarkStart w:id="5" w:name="_Toc1192412590"/>
      <w:r>
        <w:rPr>
          <w:rFonts w:eastAsia="黑体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《国务院对确需保留的行政审批项目设定行政许可的决定》</w:t>
      </w:r>
      <w:bookmarkEnd w:id="5"/>
    </w:p>
    <w:p>
      <w:pPr>
        <w:tabs>
          <w:tab w:val="left" w:pos="3718"/>
        </w:tabs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bookmarkStart w:id="6" w:name="_Toc1882534944"/>
      <w:r>
        <w:rPr>
          <w:rFonts w:hint="eastAsia" w:eastAsia="黑体"/>
          <w:sz w:val="30"/>
          <w:szCs w:val="30"/>
        </w:rPr>
        <w:t>四、办理</w:t>
      </w:r>
      <w:r>
        <w:rPr>
          <w:rFonts w:eastAsia="黑体"/>
          <w:sz w:val="30"/>
          <w:szCs w:val="30"/>
        </w:rPr>
        <w:t>依据</w:t>
      </w:r>
      <w:bookmarkEnd w:id="6"/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bookmarkStart w:id="7" w:name="_Toc54488669"/>
      <w:r>
        <w:rPr>
          <w:rFonts w:eastAsia="仿宋_GB2312"/>
          <w:sz w:val="30"/>
          <w:szCs w:val="30"/>
        </w:rPr>
        <w:t>（1）</w:t>
      </w:r>
      <w:bookmarkEnd w:id="7"/>
      <w:r>
        <w:rPr>
          <w:rFonts w:eastAsia="仿宋_GB2312"/>
          <w:sz w:val="30"/>
          <w:szCs w:val="30"/>
        </w:rPr>
        <w:t>《经常项目外汇业务指引（2020年版）》（汇发〔2020〕14号文印发）第一百四十三条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（2）《跨国公司跨境资金集中运营管理规定》（汇发〔2019〕7号文印发）（汇发〔2019〕7号文印发）第五条、第七条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bookmarkStart w:id="8" w:name="_Toc1882612011"/>
      <w:r>
        <w:rPr>
          <w:rFonts w:eastAsia="仿宋_GB2312"/>
          <w:sz w:val="30"/>
          <w:szCs w:val="30"/>
        </w:rPr>
        <w:t>（</w:t>
      </w:r>
      <w:r>
        <w:rPr>
          <w:rFonts w:hint="eastAsia" w:eastAsia="仿宋_GB2312"/>
          <w:sz w:val="30"/>
          <w:szCs w:val="30"/>
        </w:rPr>
        <w:t>3</w:t>
      </w:r>
      <w:r>
        <w:rPr>
          <w:rFonts w:eastAsia="仿宋_GB2312"/>
          <w:sz w:val="30"/>
          <w:szCs w:val="30"/>
        </w:rPr>
        <w:t>）《国家外汇管理局行政许可实施办法》（国家外汇管理局公告2021年第1号）</w:t>
      </w:r>
      <w:bookmarkEnd w:id="8"/>
      <w:r>
        <w:rPr>
          <w:rFonts w:eastAsia="仿宋_GB2312"/>
          <w:sz w:val="30"/>
          <w:szCs w:val="30"/>
        </w:rPr>
        <w:t>全文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五、</w:t>
      </w:r>
      <w:r>
        <w:rPr>
          <w:rFonts w:eastAsia="黑体"/>
          <w:sz w:val="30"/>
          <w:szCs w:val="30"/>
        </w:rPr>
        <w:t>受理机构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申请人</w:t>
      </w:r>
      <w:r>
        <w:rPr>
          <w:rFonts w:eastAsia="仿宋_GB2312"/>
          <w:sz w:val="30"/>
          <w:szCs w:val="30"/>
        </w:rPr>
        <w:t>所在地</w:t>
      </w:r>
      <w:r>
        <w:rPr>
          <w:rFonts w:hint="eastAsia" w:eastAsia="仿宋_GB2312"/>
          <w:sz w:val="30"/>
          <w:szCs w:val="30"/>
        </w:rPr>
        <w:t>国家外汇管理局省分局</w:t>
      </w:r>
      <w:r>
        <w:rPr>
          <w:rFonts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六、</w:t>
      </w:r>
      <w:r>
        <w:rPr>
          <w:rFonts w:eastAsia="黑体"/>
          <w:sz w:val="30"/>
          <w:szCs w:val="30"/>
        </w:rPr>
        <w:t>决定机构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申请人</w:t>
      </w:r>
      <w:r>
        <w:rPr>
          <w:rFonts w:eastAsia="仿宋_GB2312"/>
          <w:sz w:val="30"/>
          <w:szCs w:val="30"/>
        </w:rPr>
        <w:t>所在地</w:t>
      </w:r>
      <w:r>
        <w:rPr>
          <w:rFonts w:hint="eastAsia" w:eastAsia="仿宋_GB2312"/>
          <w:sz w:val="30"/>
          <w:szCs w:val="30"/>
        </w:rPr>
        <w:t>国家外汇管理局省分局</w:t>
      </w:r>
      <w:r>
        <w:rPr>
          <w:rFonts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七、</w:t>
      </w:r>
      <w:r>
        <w:rPr>
          <w:rFonts w:eastAsia="黑体"/>
          <w:sz w:val="30"/>
          <w:szCs w:val="30"/>
        </w:rPr>
        <w:t>审批数量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无数量限制</w:t>
      </w:r>
      <w:r>
        <w:rPr>
          <w:rFonts w:hint="eastAsia"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bookmarkStart w:id="9" w:name="_Toc1971317738"/>
      <w:r>
        <w:rPr>
          <w:rFonts w:hint="eastAsia" w:eastAsia="黑体"/>
          <w:sz w:val="30"/>
          <w:szCs w:val="30"/>
        </w:rPr>
        <w:t>八、</w:t>
      </w:r>
      <w:r>
        <w:rPr>
          <w:rFonts w:eastAsia="黑体"/>
          <w:sz w:val="30"/>
          <w:szCs w:val="30"/>
        </w:rPr>
        <w:t>办事条件</w:t>
      </w:r>
    </w:p>
    <w:bookmarkEnd w:id="9"/>
    <w:p>
      <w:pPr>
        <w:adjustRightInd w:val="0"/>
        <w:snapToGrid w:val="0"/>
        <w:spacing w:line="360" w:lineRule="auto"/>
        <w:ind w:firstLine="602"/>
        <w:rPr>
          <w:rFonts w:eastAsia="仿宋_GB2312"/>
          <w:sz w:val="30"/>
          <w:szCs w:val="30"/>
        </w:rPr>
      </w:pPr>
      <w:r>
        <w:rPr>
          <w:rFonts w:hint="eastAsia" w:eastAsia="仿宋_GB2312"/>
          <w:b/>
          <w:bCs/>
          <w:sz w:val="30"/>
          <w:szCs w:val="30"/>
        </w:rPr>
        <w:t>省分局</w:t>
      </w:r>
      <w:r>
        <w:rPr>
          <w:rFonts w:eastAsia="仿宋_GB2312"/>
          <w:b/>
          <w:bCs/>
          <w:sz w:val="30"/>
          <w:szCs w:val="30"/>
        </w:rPr>
        <w:t>办理的经常项目资金集中收付和轧差结算收支业务新办</w:t>
      </w:r>
      <w:r>
        <w:rPr>
          <w:rFonts w:hint="eastAsia" w:eastAsia="仿宋_GB2312"/>
          <w:b/>
          <w:bCs/>
          <w:sz w:val="30"/>
          <w:szCs w:val="30"/>
        </w:rPr>
        <w:t>：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申请</w:t>
      </w:r>
      <w:r>
        <w:rPr>
          <w:rFonts w:hint="eastAsia" w:eastAsia="仿宋_GB2312"/>
          <w:sz w:val="30"/>
          <w:szCs w:val="30"/>
        </w:rPr>
        <w:t>人</w:t>
      </w:r>
      <w:r>
        <w:rPr>
          <w:rFonts w:eastAsia="仿宋_GB2312"/>
          <w:sz w:val="30"/>
          <w:szCs w:val="30"/>
        </w:rPr>
        <w:t>为跨国公司主办企业，</w:t>
      </w:r>
      <w:r>
        <w:rPr>
          <w:rFonts w:hint="eastAsia" w:eastAsia="仿宋_GB2312"/>
          <w:sz w:val="30"/>
          <w:szCs w:val="30"/>
        </w:rPr>
        <w:t>并应</w:t>
      </w:r>
      <w:r>
        <w:rPr>
          <w:rFonts w:eastAsia="仿宋_GB2312"/>
          <w:sz w:val="30"/>
          <w:szCs w:val="30"/>
        </w:rPr>
        <w:t>满足以下</w:t>
      </w:r>
      <w:r>
        <w:rPr>
          <w:rFonts w:hint="eastAsia" w:eastAsia="仿宋_GB2312"/>
          <w:sz w:val="30"/>
          <w:szCs w:val="30"/>
        </w:rPr>
        <w:t>条件</w:t>
      </w:r>
      <w:r>
        <w:rPr>
          <w:rFonts w:eastAsia="仿宋_GB2312"/>
          <w:sz w:val="30"/>
          <w:szCs w:val="30"/>
        </w:rPr>
        <w:t>：具备真实业务需求；具有完善的跨境资金管理架构、内控制度；建立相应的内部管理电子系统；企业上年度本外币国际收支规模超过1亿美元，自由贸易试验区企业上年度本外币国际收支规模超过5000万美元（参加跨境资金集中运营业务的境内成员企业合并计算）；近三年无重大外汇违法违规行为（成立不满三年的企业，自成立之日起无重大外汇违规行为）；主办企业和境内成员企业如为贸易外汇收支名录内企业，货物贸易分类结果应为A类。</w:t>
      </w:r>
    </w:p>
    <w:p>
      <w:pPr>
        <w:adjustRightInd w:val="0"/>
        <w:snapToGrid w:val="0"/>
        <w:spacing w:line="360" w:lineRule="auto"/>
        <w:ind w:firstLine="602"/>
        <w:rPr>
          <w:rFonts w:eastAsia="仿宋_GB2312"/>
          <w:b/>
          <w:bCs/>
          <w:sz w:val="30"/>
          <w:szCs w:val="30"/>
        </w:rPr>
      </w:pPr>
      <w:r>
        <w:rPr>
          <w:rFonts w:hint="eastAsia" w:eastAsia="仿宋_GB2312"/>
          <w:b/>
          <w:bCs/>
          <w:sz w:val="30"/>
          <w:szCs w:val="30"/>
        </w:rPr>
        <w:t>省分局</w:t>
      </w:r>
      <w:r>
        <w:rPr>
          <w:rFonts w:eastAsia="仿宋_GB2312"/>
          <w:b/>
          <w:bCs/>
          <w:sz w:val="30"/>
          <w:szCs w:val="30"/>
        </w:rPr>
        <w:t>办理的经常项目资金集中收付和轧差结算收支业务变更</w:t>
      </w:r>
      <w:r>
        <w:rPr>
          <w:rFonts w:hint="eastAsia" w:eastAsia="仿宋_GB2312"/>
          <w:b/>
          <w:bCs/>
          <w:sz w:val="30"/>
          <w:szCs w:val="30"/>
        </w:rPr>
        <w:t>：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申请人为</w:t>
      </w:r>
      <w:r>
        <w:rPr>
          <w:rFonts w:eastAsia="仿宋_GB2312"/>
          <w:sz w:val="30"/>
          <w:szCs w:val="30"/>
        </w:rPr>
        <w:t>跨国公司主办企业</w:t>
      </w:r>
      <w:r>
        <w:rPr>
          <w:rFonts w:hint="eastAsia" w:eastAsia="仿宋_GB2312"/>
          <w:sz w:val="30"/>
          <w:szCs w:val="30"/>
        </w:rPr>
        <w:t>，其</w:t>
      </w:r>
      <w:r>
        <w:rPr>
          <w:rFonts w:eastAsia="仿宋_GB2312"/>
          <w:sz w:val="30"/>
          <w:szCs w:val="30"/>
        </w:rPr>
        <w:t>跨国公司</w:t>
      </w:r>
      <w:r>
        <w:rPr>
          <w:rFonts w:hint="eastAsia" w:eastAsia="仿宋_GB2312"/>
          <w:sz w:val="30"/>
          <w:szCs w:val="30"/>
        </w:rPr>
        <w:t>在</w:t>
      </w:r>
      <w:r>
        <w:rPr>
          <w:rFonts w:eastAsia="仿宋_GB2312"/>
          <w:sz w:val="30"/>
          <w:szCs w:val="30"/>
        </w:rPr>
        <w:t>跨境资金集中运营业务办理期间，合作银行、主办企业、成员企业、业务种类等发生变更</w:t>
      </w:r>
      <w:r>
        <w:rPr>
          <w:rFonts w:hint="eastAsia" w:eastAsia="仿宋_GB2312"/>
          <w:sz w:val="30"/>
          <w:szCs w:val="30"/>
        </w:rPr>
        <w:t>，且</w:t>
      </w:r>
      <w:r>
        <w:rPr>
          <w:rFonts w:eastAsia="仿宋_GB2312"/>
          <w:sz w:val="30"/>
          <w:szCs w:val="30"/>
        </w:rPr>
        <w:t>交易真实合规</w:t>
      </w:r>
      <w:r>
        <w:rPr>
          <w:rFonts w:hint="eastAsia"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bookmarkStart w:id="10" w:name="_Toc1748493208"/>
      <w:r>
        <w:rPr>
          <w:rFonts w:hint="eastAsia" w:eastAsia="黑体"/>
          <w:sz w:val="30"/>
          <w:szCs w:val="30"/>
        </w:rPr>
        <w:t>九</w:t>
      </w:r>
      <w:r>
        <w:rPr>
          <w:rFonts w:eastAsia="黑体"/>
          <w:sz w:val="30"/>
          <w:szCs w:val="30"/>
        </w:rPr>
        <w:t>、申请材料</w:t>
      </w:r>
      <w:bookmarkEnd w:id="10"/>
    </w:p>
    <w:p>
      <w:pPr>
        <w:adjustRightInd w:val="0"/>
        <w:snapToGrid w:val="0"/>
        <w:spacing w:line="360" w:lineRule="auto"/>
        <w:ind w:firstLine="602"/>
        <w:rPr>
          <w:rFonts w:eastAsia="仿宋_GB2312"/>
          <w:b/>
          <w:bCs/>
          <w:sz w:val="30"/>
          <w:szCs w:val="30"/>
        </w:rPr>
      </w:pPr>
      <w:r>
        <w:rPr>
          <w:rFonts w:hint="eastAsia" w:eastAsia="仿宋_GB2312"/>
          <w:b/>
          <w:bCs/>
          <w:sz w:val="30"/>
          <w:szCs w:val="30"/>
        </w:rPr>
        <w:t>省分局</w:t>
      </w:r>
      <w:r>
        <w:rPr>
          <w:rFonts w:eastAsia="仿宋_GB2312"/>
          <w:b/>
          <w:bCs/>
          <w:sz w:val="30"/>
          <w:szCs w:val="30"/>
        </w:rPr>
        <w:t>办理的经常项目资金集中收付和轧差结算收支业务新办</w:t>
      </w:r>
      <w:r>
        <w:rPr>
          <w:rFonts w:hint="eastAsia" w:eastAsia="仿宋_GB2312"/>
          <w:b/>
          <w:bCs/>
          <w:sz w:val="30"/>
          <w:szCs w:val="30"/>
        </w:rPr>
        <w:t>：</w:t>
      </w:r>
    </w:p>
    <w:tbl>
      <w:tblPr>
        <w:tblStyle w:val="6"/>
        <w:tblW w:w="85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74"/>
        <w:gridCol w:w="2370"/>
        <w:gridCol w:w="1560"/>
        <w:gridCol w:w="765"/>
        <w:gridCol w:w="1320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237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提交材料名称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原件/复印件</w:t>
            </w: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份数</w:t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纸质/电子</w:t>
            </w:r>
          </w:p>
        </w:tc>
        <w:tc>
          <w:tcPr>
            <w:tcW w:w="1731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2370" w:type="dxa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加盖公章的备案申请书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</w:t>
            </w: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1731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2370" w:type="dxa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跨国公司对主办企业开展跨境资金集中运营业务的授权书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</w:t>
            </w: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1731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应加盖跨国公司公章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</w:p>
        </w:tc>
        <w:tc>
          <w:tcPr>
            <w:tcW w:w="2370" w:type="dxa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主办企业与合作银行共同签署的《跨国公司跨境资金集中运营业务办理确认书》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原件或加盖公章的复印件</w:t>
            </w: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1731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</w:t>
            </w:r>
          </w:p>
        </w:tc>
        <w:tc>
          <w:tcPr>
            <w:tcW w:w="2370" w:type="dxa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加盖公章的主办企业及境内成员企业营业执照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复印件</w:t>
            </w: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1731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</w:t>
            </w:r>
          </w:p>
        </w:tc>
        <w:tc>
          <w:tcPr>
            <w:tcW w:w="2370" w:type="dxa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境外成员企业注册文件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原件或加盖公章的复印件</w:t>
            </w: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1731" w:type="dxa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非中文的同时提供中文翻译件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</w:t>
            </w:r>
          </w:p>
        </w:tc>
        <w:tc>
          <w:tcPr>
            <w:tcW w:w="2370" w:type="dxa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金融业务许可证及经营范围批准文件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原件或加盖公章的复印件</w:t>
            </w: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1731" w:type="dxa"/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仅主办企业为财务公司的提供</w:t>
            </w:r>
          </w:p>
        </w:tc>
      </w:tr>
    </w:tbl>
    <w:p>
      <w:pPr>
        <w:adjustRightInd w:val="0"/>
        <w:snapToGrid w:val="0"/>
        <w:spacing w:line="360" w:lineRule="auto"/>
        <w:ind w:firstLine="602"/>
        <w:rPr>
          <w:rFonts w:eastAsia="仿宋_GB2312"/>
          <w:b/>
          <w:bCs/>
          <w:sz w:val="30"/>
          <w:szCs w:val="30"/>
        </w:rPr>
      </w:pPr>
      <w:r>
        <w:rPr>
          <w:rFonts w:hint="eastAsia" w:eastAsia="仿宋_GB2312"/>
          <w:b/>
          <w:bCs/>
          <w:sz w:val="30"/>
          <w:szCs w:val="30"/>
        </w:rPr>
        <w:t>省分局</w:t>
      </w:r>
      <w:r>
        <w:rPr>
          <w:rFonts w:eastAsia="仿宋_GB2312"/>
          <w:b/>
          <w:bCs/>
          <w:sz w:val="30"/>
          <w:szCs w:val="30"/>
        </w:rPr>
        <w:t>办理的经常项目资金集中收付和轧差结算收支业务变更</w:t>
      </w:r>
      <w:r>
        <w:rPr>
          <w:rFonts w:hint="eastAsia" w:eastAsia="仿宋_GB2312"/>
          <w:b/>
          <w:bCs/>
          <w:sz w:val="30"/>
          <w:szCs w:val="30"/>
        </w:rPr>
        <w:t>：</w:t>
      </w:r>
    </w:p>
    <w:tbl>
      <w:tblPr>
        <w:tblStyle w:val="6"/>
        <w:tblW w:w="85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29"/>
        <w:gridCol w:w="2400"/>
        <w:gridCol w:w="1545"/>
        <w:gridCol w:w="810"/>
        <w:gridCol w:w="975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提交材料名称</w:t>
            </w: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原件/复印件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份数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纸质/电子</w:t>
            </w:r>
          </w:p>
        </w:tc>
        <w:tc>
          <w:tcPr>
            <w:tcW w:w="206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240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加盖公章的申请书</w:t>
            </w:r>
          </w:p>
        </w:tc>
        <w:tc>
          <w:tcPr>
            <w:tcW w:w="154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</w:t>
            </w: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2060" w:type="dxa"/>
            <w:vAlign w:val="center"/>
          </w:tcPr>
          <w:p>
            <w:pPr>
              <w:spacing w:line="32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需列明变更事项和相关内容。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240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加盖银行业务公章的原账户余额对账单</w:t>
            </w:r>
          </w:p>
        </w:tc>
        <w:tc>
          <w:tcPr>
            <w:tcW w:w="154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原件或加盖公章的复印件</w:t>
            </w: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2060" w:type="dxa"/>
            <w:vAlign w:val="center"/>
          </w:tcPr>
          <w:p>
            <w:pPr>
              <w:spacing w:line="32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合作银行变更时提供。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</w:p>
        </w:tc>
        <w:tc>
          <w:tcPr>
            <w:tcW w:w="240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主办企业与变更后合作银行签署的《跨国公司跨境资金集中运营业务办理确认书》</w:t>
            </w:r>
          </w:p>
        </w:tc>
        <w:tc>
          <w:tcPr>
            <w:tcW w:w="154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原件或加盖公章的复印件</w:t>
            </w: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2060" w:type="dxa"/>
            <w:vAlign w:val="center"/>
          </w:tcPr>
          <w:p>
            <w:pPr>
              <w:spacing w:line="32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合作银行变更时提供。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</w:t>
            </w:r>
          </w:p>
        </w:tc>
        <w:tc>
          <w:tcPr>
            <w:tcW w:w="240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跨国公司对主办企业开展跨境资金集中运营业务的授权书</w:t>
            </w:r>
          </w:p>
        </w:tc>
        <w:tc>
          <w:tcPr>
            <w:tcW w:w="154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原件或加盖公章的复印件</w:t>
            </w: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2060" w:type="dxa"/>
            <w:vAlign w:val="center"/>
          </w:tcPr>
          <w:p>
            <w:pPr>
              <w:spacing w:line="32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主办企业变更、成员企业新增或退出、业务种类变更时提供。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</w:t>
            </w:r>
          </w:p>
        </w:tc>
        <w:tc>
          <w:tcPr>
            <w:tcW w:w="240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主办企业与合作银行共同签署的《跨国公司跨境资金集中运营业务办理确认书》</w:t>
            </w:r>
          </w:p>
        </w:tc>
        <w:tc>
          <w:tcPr>
            <w:tcW w:w="154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原件或加盖公章的复印件</w:t>
            </w: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2060" w:type="dxa"/>
            <w:vAlign w:val="center"/>
          </w:tcPr>
          <w:p>
            <w:pPr>
              <w:spacing w:line="32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主办企业变更、成员企业新增或退出、业务种类变更时提供。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</w:t>
            </w:r>
          </w:p>
        </w:tc>
        <w:tc>
          <w:tcPr>
            <w:tcW w:w="240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主办企业及境内成员企业营业执照</w:t>
            </w:r>
          </w:p>
        </w:tc>
        <w:tc>
          <w:tcPr>
            <w:tcW w:w="154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原件或加盖公章的复印件</w:t>
            </w: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2060" w:type="dxa"/>
            <w:vAlign w:val="center"/>
          </w:tcPr>
          <w:p>
            <w:pPr>
              <w:spacing w:line="32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主办企业变更、成员企业新增或退出、业务种类变更时提供。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</w:t>
            </w:r>
          </w:p>
        </w:tc>
        <w:tc>
          <w:tcPr>
            <w:tcW w:w="240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境外成员企业注册文件</w:t>
            </w:r>
          </w:p>
        </w:tc>
        <w:tc>
          <w:tcPr>
            <w:tcW w:w="154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原件或加盖公章的复印件</w:t>
            </w: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2060" w:type="dxa"/>
            <w:vAlign w:val="center"/>
          </w:tcPr>
          <w:p>
            <w:pPr>
              <w:spacing w:line="32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主办企业变更、成员企业新增或退出、业务种类变更时提供；非中文的同时提供中文翻译件。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</w:t>
            </w:r>
          </w:p>
        </w:tc>
        <w:tc>
          <w:tcPr>
            <w:tcW w:w="240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金融业务许可证及经营范围批准文件</w:t>
            </w:r>
          </w:p>
        </w:tc>
        <w:tc>
          <w:tcPr>
            <w:tcW w:w="154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原件或加盖公章的复印件</w:t>
            </w: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2060" w:type="dxa"/>
            <w:vAlign w:val="center"/>
          </w:tcPr>
          <w:p>
            <w:pPr>
              <w:spacing w:line="32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主办企业变更、成员企业新增或退出、业务种类变更时提供；仅主办企业为财务公司的需提供。</w:t>
            </w:r>
          </w:p>
        </w:tc>
      </w:tr>
    </w:tbl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十、申请接受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申请人可通过窗口</w:t>
      </w:r>
      <w:r>
        <w:rPr>
          <w:rFonts w:hint="eastAsia" w:eastAsia="仿宋_GB2312"/>
          <w:sz w:val="30"/>
          <w:szCs w:val="30"/>
        </w:rPr>
        <w:t>、邮寄等</w:t>
      </w:r>
      <w:r>
        <w:rPr>
          <w:rFonts w:eastAsia="仿宋_GB2312"/>
          <w:sz w:val="30"/>
          <w:szCs w:val="30"/>
        </w:rPr>
        <w:t>方式提交材料。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十一、</w:t>
      </w:r>
      <w:r>
        <w:rPr>
          <w:rFonts w:eastAsia="黑体"/>
          <w:sz w:val="30"/>
          <w:szCs w:val="30"/>
        </w:rPr>
        <w:t>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3.不予受理的，出具不予受理通知书；受理的，出具受理通知书，进行审查报批；</w:t>
      </w:r>
    </w:p>
    <w:p>
      <w:pPr>
        <w:adjustRightInd w:val="0"/>
        <w:snapToGrid w:val="0"/>
        <w:spacing w:line="360" w:lineRule="auto"/>
        <w:ind w:firstLine="600"/>
        <w:contextualSpacing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4.不予许可的，出具不予许可</w:t>
      </w:r>
      <w:r>
        <w:rPr>
          <w:rFonts w:hint="eastAsia" w:eastAsia="仿宋_GB2312"/>
          <w:sz w:val="30"/>
          <w:szCs w:val="30"/>
        </w:rPr>
        <w:t>决定</w:t>
      </w:r>
      <w:r>
        <w:rPr>
          <w:rFonts w:eastAsia="仿宋_GB2312"/>
          <w:sz w:val="30"/>
          <w:szCs w:val="30"/>
        </w:rPr>
        <w:t>书。许可的，向申请人出具《备案通知书》。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5.材料不全或不符合法定形式的，一次性告知补正材料，并出具《行政许可补正通知书》。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十二、</w:t>
      </w:r>
      <w:r>
        <w:rPr>
          <w:rFonts w:eastAsia="黑体"/>
          <w:sz w:val="30"/>
          <w:szCs w:val="30"/>
        </w:rPr>
        <w:t>办理方式</w:t>
      </w:r>
    </w:p>
    <w:p>
      <w:pPr>
        <w:adjustRightInd w:val="0"/>
        <w:snapToGrid w:val="0"/>
        <w:spacing w:line="360" w:lineRule="auto"/>
        <w:ind w:firstLine="600"/>
        <w:contextualSpacing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一般程序：申请、受理、审查、出具《备案通知书》。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十三、</w:t>
      </w:r>
      <w:r>
        <w:rPr>
          <w:rFonts w:eastAsia="黑体"/>
          <w:sz w:val="30"/>
          <w:szCs w:val="30"/>
        </w:rPr>
        <w:t>审批时限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十四、</w:t>
      </w:r>
      <w:r>
        <w:rPr>
          <w:rFonts w:eastAsia="黑体"/>
          <w:sz w:val="30"/>
          <w:szCs w:val="30"/>
        </w:rPr>
        <w:t>审批收费依据及标准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十五、</w:t>
      </w:r>
      <w:r>
        <w:rPr>
          <w:rFonts w:eastAsia="黑体"/>
          <w:sz w:val="30"/>
          <w:szCs w:val="30"/>
        </w:rPr>
        <w:t>审批结果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《备案通知书》。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十六、</w:t>
      </w:r>
      <w:r>
        <w:rPr>
          <w:rFonts w:eastAsia="黑体"/>
          <w:sz w:val="30"/>
          <w:szCs w:val="30"/>
        </w:rPr>
        <w:t>结果送达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十七、</w:t>
      </w:r>
      <w:r>
        <w:rPr>
          <w:rFonts w:eastAsia="黑体"/>
          <w:sz w:val="30"/>
          <w:szCs w:val="30"/>
        </w:rPr>
        <w:t>申请人权利和义务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十八、</w:t>
      </w:r>
      <w:r>
        <w:rPr>
          <w:rFonts w:eastAsia="黑体"/>
          <w:sz w:val="30"/>
          <w:szCs w:val="30"/>
        </w:rPr>
        <w:t>事项审查类型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前审后批</w:t>
      </w:r>
      <w:r>
        <w:rPr>
          <w:rFonts w:hint="eastAsia"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十九、咨询途径、监督和投诉、办公地址和时间、公开查询方式等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向申请人注册所在地外汇局进行咨询、办理进程查询、监督和投诉等，可通过国家外汇管理局官方互联网站www.safe.gov.cn链接至江苏分局“业务指南”栏目中公布的电话进行。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二十、</w:t>
      </w:r>
      <w:r>
        <w:rPr>
          <w:rFonts w:eastAsia="黑体"/>
          <w:sz w:val="30"/>
          <w:szCs w:val="30"/>
        </w:rPr>
        <w:t>禁止性要求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如符合上述条件，不存在不予许可的情况。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二十一、</w:t>
      </w:r>
      <w:r>
        <w:rPr>
          <w:rFonts w:eastAsia="黑体"/>
          <w:sz w:val="30"/>
          <w:szCs w:val="30"/>
        </w:rPr>
        <w:t>申请材料示范文本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无固定格式，</w:t>
      </w:r>
      <w:r>
        <w:rPr>
          <w:rFonts w:hint="eastAsia" w:eastAsia="仿宋_GB2312"/>
          <w:sz w:val="30"/>
          <w:szCs w:val="30"/>
        </w:rPr>
        <w:t>有关内容要求详见“九、申请材料”。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二十二、</w:t>
      </w:r>
      <w:r>
        <w:rPr>
          <w:rFonts w:eastAsia="黑体"/>
          <w:sz w:val="30"/>
          <w:szCs w:val="30"/>
        </w:rPr>
        <w:t>常见问题解答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审批时限在20个工作日以内。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二十三、</w:t>
      </w:r>
      <w:r>
        <w:rPr>
          <w:rFonts w:eastAsia="黑体"/>
          <w:sz w:val="30"/>
          <w:szCs w:val="30"/>
        </w:rPr>
        <w:t>常见错误示例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申请材料不完全符合规定，例如</w:t>
      </w:r>
      <w:r>
        <w:rPr>
          <w:rFonts w:hint="eastAsia" w:eastAsia="仿宋_GB2312"/>
          <w:sz w:val="30"/>
          <w:szCs w:val="30"/>
        </w:rPr>
        <w:t>申请书原件</w:t>
      </w:r>
      <w:r>
        <w:rPr>
          <w:rFonts w:eastAsia="仿宋_GB2312"/>
          <w:sz w:val="30"/>
          <w:szCs w:val="30"/>
        </w:rPr>
        <w:t>未加盖公章等。</w:t>
      </w:r>
    </w:p>
    <w:p>
      <w:pPr>
        <w:ind w:right="300" w:firstLine="0" w:firstLineChars="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br w:type="page"/>
      </w:r>
      <w:r>
        <w:rPr>
          <w:rFonts w:eastAsia="仿宋_GB2312"/>
          <w:sz w:val="30"/>
          <w:szCs w:val="30"/>
        </w:rPr>
        <w:t>附</w:t>
      </w:r>
      <w:r>
        <w:rPr>
          <w:rFonts w:hint="eastAsia" w:eastAsia="仿宋_GB2312"/>
          <w:sz w:val="30"/>
          <w:szCs w:val="30"/>
        </w:rPr>
        <w:t>录</w:t>
      </w:r>
    </w:p>
    <w:p>
      <w:pPr>
        <w:ind w:right="300" w:firstLine="600"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基本流程图</w:t>
      </w:r>
    </w:p>
    <w:p>
      <w:pPr>
        <w:ind w:right="300" w:firstLine="600"/>
        <w:jc w:val="center"/>
        <w:rPr>
          <w:rFonts w:eastAsia="黑体"/>
          <w:sz w:val="30"/>
          <w:szCs w:val="30"/>
        </w:rPr>
      </w:pP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399" o:spid="_x0000_s1027" style="position:absolute;left:0;margin-left:-1.45pt;margin-top:10.6pt;height:58.45pt;width:148.4pt;rotation:0f;z-index:25167462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before="34"/>
                    <w:ind w:firstLine="0" w:firstLineChars="0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申请主体以现场、邮寄等方式提出书面申请，并提交材料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394" o:spid="_x0000_s1028" style="position:absolute;left:0;margin-left:273.6pt;margin-top:26.7pt;height:39.8pt;width:104.7pt;rotation:0f;z-index:25166950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申请人补全材料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7" o:spid="_x0000_s1029" type="#_x0000_t32" style="position:absolute;left:0;flip:x;margin-left:41.45pt;margin-top:21.05pt;height:0.05pt;width:232.15pt;rotation:0f;z-index:25166233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3" o:spid="_x0000_s1030" type="#_x0000_t32" style="position:absolute;left:0;margin-left:40.6pt;margin-top:6.65pt;height:73.4pt;width:0.85pt;rotation:0f;z-index:25165824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 w:firstLine="600"/>
        <w:jc w:val="left"/>
        <w:rPr>
          <w:rFonts w:eastAsia="仿宋_GB2312"/>
          <w:sz w:val="30"/>
          <w:szCs w:val="30"/>
        </w:rPr>
        <w:sectPr>
          <w:footerReference r:id="rId7" w:type="first"/>
          <w:headerReference r:id="rId4" w:type="default"/>
          <w:footerReference r:id="rId5" w:type="default"/>
          <w:footerReference r:id="rId6" w:type="even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2" o:spid="_x0000_s1031" type="#_x0000_t32" style="position:absolute;left:0;margin-left:40.6pt;margin-top:182.85pt;height:0.05pt;width:41.1pt;rotation:0f;z-index:25166745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1" o:spid="_x0000_s1032" type="#_x0000_t32" style="position:absolute;left:0;margin-left:40.6pt;margin-top:113.3pt;height:69.55pt;width:0.05pt;rotation:0f;z-index:25166643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5" o:spid="_x0000_s1033" type="#_x0000_t32" style="position:absolute;left:0;margin-left:93.35pt;margin-top:101.65pt;height:0.05pt;width:58.6pt;rotation:0f;z-index:25166028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9" o:spid="_x0000_s1034" type="#_x0000_t32" style="position:absolute;left:0;margin-left:237.35pt;margin-top:253.15pt;height:45.25pt;width:0.85pt;rotation:0f;z-index:25166438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0" o:spid="_x0000_s1035" type="#_x0000_t32" style="position:absolute;left:0;margin-left:131.6pt;margin-top:253.15pt;height:45.25pt;width:0.05pt;rotation:0f;z-index:25166540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8" o:spid="_x0000_s1036" type="#_x0000_t32" style="position:absolute;left:0;margin-left:179.6pt;margin-top:204.6pt;height:21.85pt;width:0.05pt;rotation:0f;z-index:25166336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 w:firstLine="960"/>
        <w:rPr>
          <w:rFonts w:eastAsia="仿宋_GB2312"/>
          <w:sz w:val="30"/>
          <w:szCs w:val="30"/>
        </w:rPr>
      </w:pP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400" o:spid="_x0000_s1037" style="position:absolute;left:0;margin-left:81.7pt;margin-top:298.4pt;height:59.4pt;width:87.35pt;rotation:0f;z-index:25167564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予以许可，向申请人出具《备案通知书》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4" o:spid="_x0000_s1038" type="#_x0000_t32" style="position:absolute;left:0;margin-left:89.25pt;margin-top:61.45pt;height:0.05pt;width:62.7pt;rotation:0f;z-index:25165926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401" o:spid="_x0000_s1039" style="position:absolute;left:0;margin-left:199.5pt;margin-top:298.4pt;height:69.85pt;width:87.35pt;rotation:0f;z-index:25167667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依法作出不予许可决定，并送达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8" o:spid="_x0000_s1040" style="position:absolute;left:0;margin-left:81.7pt;margin-top:226.45pt;height:26.7pt;width:212.6pt;rotation:0f;z-index:25167360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jc w:val="center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审查报批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7" o:spid="_x0000_s1041" style="position:absolute;left:0;margin-left:81.65pt;margin-top:174.45pt;height:30.15pt;width:205.2pt;rotation:0f;z-index:25167257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jc w:val="center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依法应予受理，出具受理单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6" o:spid="_x0000_s1042" type="#_x0000_t32" style="position:absolute;left:0;flip:y;margin-left:319.55pt;margin-top:4.1pt;height:44.75pt;width:0.05pt;rotation:0f;z-index:251661312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6" o:spid="_x0000_s1043" style="position:absolute;left:0;margin-left:151.95pt;margin-top:91.45pt;height:45.3pt;width:268.1pt;rotation:0f;z-index:25167155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依法不予受理的，作出不予受理决定，出具不予受理通知书</w:t>
                  </w: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5" o:spid="_x0000_s1044" style="position:absolute;left:0;margin-left:151.95pt;margin-top:48.85pt;height:25pt;width:268.1pt;rotation:0f;z-index:25167052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材料不全或不符合法定形式的，一次性告知补正材料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Flowchart: Decision 393" o:spid="_x0000_s1045" type="#_x0000_t110" style="position:absolute;left:0;margin-left:-39.65pt;margin-top:35.35pt;height:94.45pt;width:163.7pt;rotation:0f;z-index:25166848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当场（或5个工作日内）作出是否受理决定</w:t>
                  </w:r>
                </w:p>
                <w:p>
                  <w:pPr>
                    <w:ind w:firstLine="560"/>
                  </w:pPr>
                </w:p>
              </w:txbxContent>
            </v:textbox>
          </v:shape>
        </w:pict>
      </w:r>
    </w:p>
    <w:sectPr>
      <w:footerReference r:id="rId8" w:type="default"/>
      <w:type w:val="continuous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191</w:t>
    </w:r>
    <w:r>
      <w:rPr>
        <w:lang w:val="zh-CN"/>
      </w:rPr>
      <w:fldChar w:fldCharType="end"/>
    </w:r>
  </w:p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55F77"/>
    <w:rsid w:val="0000303B"/>
    <w:rsid w:val="00057BA0"/>
    <w:rsid w:val="00466539"/>
    <w:rsid w:val="0060151E"/>
    <w:rsid w:val="009F44E0"/>
    <w:rsid w:val="00A55F77"/>
    <w:rsid w:val="0EE122DF"/>
    <w:rsid w:val="11A70E20"/>
    <w:rsid w:val="18C27DAA"/>
    <w:rsid w:val="25317B97"/>
    <w:rsid w:val="26731922"/>
    <w:rsid w:val="26F06EE4"/>
    <w:rsid w:val="27480283"/>
    <w:rsid w:val="27DA59F1"/>
    <w:rsid w:val="28686478"/>
    <w:rsid w:val="29D4131A"/>
    <w:rsid w:val="2C2005AB"/>
    <w:rsid w:val="2C850598"/>
    <w:rsid w:val="44342166"/>
    <w:rsid w:val="4BB040B9"/>
    <w:rsid w:val="513832FE"/>
    <w:rsid w:val="570079F9"/>
    <w:rsid w:val="64EE15A7"/>
    <w:rsid w:val="70662FC3"/>
    <w:rsid w:val="7709745B"/>
    <w:rsid w:val="77667960"/>
    <w:rsid w:val="7C624FD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720" w:firstLineChars="200"/>
      <w:jc w:val="both"/>
    </w:pPr>
    <w:rPr>
      <w:rFonts w:ascii="Times New Roman" w:hAnsi="Times New Roman" w:eastAsia="方正仿宋_GBK" w:cs="Times New Roman"/>
      <w:kern w:val="2"/>
      <w:sz w:val="28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toc 3"/>
    <w:basedOn w:val="1"/>
    <w:next w:val="1"/>
    <w:unhideWhenUsed/>
    <w:qFormat/>
    <w:uiPriority w:val="39"/>
    <w:pPr>
      <w:ind w:left="840" w:leftChars="40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360"/>
      <w:jc w:val="center"/>
    </w:pPr>
    <w:rPr>
      <w:sz w:val="18"/>
      <w:szCs w:val="18"/>
    </w:rPr>
  </w:style>
  <w:style w:type="table" w:styleId="7">
    <w:name w:val="Table Grid"/>
    <w:basedOn w:val="6"/>
    <w:unhideWhenUsed/>
    <w:uiPriority w:val="99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页眉 Char"/>
    <w:basedOn w:val="5"/>
    <w:link w:val="4"/>
    <w:uiPriority w:val="0"/>
    <w:rPr>
      <w:rFonts w:ascii="Times New Roman" w:hAnsi="Times New Roman" w:eastAsia="方正仿宋_GBK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385</Words>
  <Characters>2198</Characters>
  <Lines>18</Lines>
  <Paragraphs>5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2023-03-03T02:45:00Z</dcterms:created>
  <dc:creator>sun</dc:creator>
  <cp:lastModifiedBy>sun</cp:lastModifiedBy>
  <dcterms:modified xsi:type="dcterms:W3CDTF">2023-09-28T00:33:20Z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