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000171102010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“省分局</w:t>
      </w:r>
      <w:r>
        <w:rPr>
          <w:rFonts w:eastAsia="黑体"/>
          <w:sz w:val="52"/>
          <w:szCs w:val="52"/>
        </w:rPr>
        <w:t>办理的发生90天以上（不含）延期收、付款的B类企业经常项目收支登记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办理的发生90天以上（不含）延期收、付款的B类企业经常项目收支登记【000171102010】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办理的发生90天以上（不含）延期收、付款的B类企业经常项目收支登记（00017110201001）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“省分局办理的发生90天以上（不含）延期收、付款的B类企业经常项目收支登记”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《经常项目外汇业务指引（2020年版）》（汇发〔2020〕14号文印发）第三十四条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0" w:name="_Toc1748493208"/>
      <w:r>
        <w:rPr>
          <w:rFonts w:eastAsia="仿宋_GB2312"/>
          <w:sz w:val="30"/>
          <w:szCs w:val="30"/>
        </w:rPr>
        <w:t>申请人为</w:t>
      </w:r>
      <w:r>
        <w:rPr>
          <w:rFonts w:hint="eastAsia" w:eastAsia="仿宋_GB2312"/>
          <w:sz w:val="30"/>
          <w:szCs w:val="30"/>
        </w:rPr>
        <w:t>货物贸易外汇收支分类为B类的企业，交易真实合规，在分类监管有效期内指标情况好转且没有发生违规行为，且自列入B类之日起已满6个月，</w:t>
      </w:r>
      <w:r>
        <w:rPr>
          <w:rFonts w:eastAsia="仿宋_GB2312"/>
          <w:sz w:val="30"/>
          <w:szCs w:val="30"/>
        </w:rPr>
        <w:t>需要申请获准进行某笔90天以上（不含）延期收、付款。</w:t>
      </w:r>
    </w:p>
    <w:p>
      <w:pPr>
        <w:adjustRightInd w:val="0"/>
        <w:snapToGrid w:val="0"/>
        <w:spacing w:line="360" w:lineRule="auto"/>
        <w:ind w:firstLine="0" w:firstLineChars="0"/>
        <w:rPr>
          <w:rFonts w:eastAsia="仿宋_GB2312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  九</w:t>
      </w:r>
      <w:r>
        <w:rPr>
          <w:rFonts w:eastAsia="黑体"/>
          <w:sz w:val="30"/>
          <w:szCs w:val="30"/>
        </w:rPr>
        <w:t>、申请材料</w:t>
      </w:r>
    </w:p>
    <w:tbl>
      <w:tblPr>
        <w:tblStyle w:val="6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234"/>
        <w:gridCol w:w="1724"/>
        <w:gridCol w:w="829"/>
        <w:gridCol w:w="131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提交材料的名称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加盖公章的书面申请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内容包括但不限于说明需登记的事项和具体内容。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进口或出口合同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加盖公章的进、出口货物报关单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复印件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货物不报关的可提供运输单据等其他材料。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需90天以上延期收款、付款的证明材料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预付货款和预收货款方式结算时提供。</w:t>
            </w:r>
          </w:p>
        </w:tc>
      </w:tr>
      <w:bookmarkEnd w:id="10"/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《贸易外汇业务登记表》有效期为1个月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</w:t>
      </w:r>
      <w:r>
        <w:rPr>
          <w:rFonts w:eastAsia="仿宋_GB2312"/>
          <w:sz w:val="30"/>
          <w:szCs w:val="30"/>
        </w:rPr>
        <w:t>件未加盖公章等。</w:t>
      </w: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7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34929768">
    <w:nsid w:val="C0D11C68"/>
    <w:multiLevelType w:val="singleLevel"/>
    <w:tmpl w:val="C0D11C68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34929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24FE"/>
    <w:rsid w:val="00375131"/>
    <w:rsid w:val="0039558C"/>
    <w:rsid w:val="004D24FE"/>
    <w:rsid w:val="007019D6"/>
    <w:rsid w:val="0071562E"/>
    <w:rsid w:val="007643B6"/>
    <w:rsid w:val="00B44096"/>
    <w:rsid w:val="00D7110D"/>
    <w:rsid w:val="00FC2FA7"/>
    <w:rsid w:val="064600F5"/>
    <w:rsid w:val="08C541F2"/>
    <w:rsid w:val="08DB41CE"/>
    <w:rsid w:val="0EBE0A85"/>
    <w:rsid w:val="14BE01FE"/>
    <w:rsid w:val="17647749"/>
    <w:rsid w:val="17D10728"/>
    <w:rsid w:val="192024A7"/>
    <w:rsid w:val="19F7650B"/>
    <w:rsid w:val="1FBD7434"/>
    <w:rsid w:val="20BB2D19"/>
    <w:rsid w:val="21AD1E56"/>
    <w:rsid w:val="24DB751C"/>
    <w:rsid w:val="258B6488"/>
    <w:rsid w:val="2CAE40DE"/>
    <w:rsid w:val="33F84859"/>
    <w:rsid w:val="35526DE7"/>
    <w:rsid w:val="37AA1CB1"/>
    <w:rsid w:val="3C7B34B7"/>
    <w:rsid w:val="41057F62"/>
    <w:rsid w:val="42D11AAC"/>
    <w:rsid w:val="489774A8"/>
    <w:rsid w:val="4B10355D"/>
    <w:rsid w:val="4D2A3E51"/>
    <w:rsid w:val="507C3F02"/>
    <w:rsid w:val="5094429D"/>
    <w:rsid w:val="5580753F"/>
    <w:rsid w:val="622F233C"/>
    <w:rsid w:val="65A001B8"/>
    <w:rsid w:val="690B362B"/>
    <w:rsid w:val="6A6140EC"/>
    <w:rsid w:val="6B0D7415"/>
    <w:rsid w:val="6EDA71E9"/>
    <w:rsid w:val="708658FD"/>
    <w:rsid w:val="73FC28F6"/>
    <w:rsid w:val="74B004E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4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247</Words>
  <Characters>1410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2023-09-28T00:36:23Z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