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right"/>
        <w:rPr>
          <w:rFonts w:eastAsia="方正小标宋_GBK"/>
          <w:sz w:val="40"/>
          <w:szCs w:val="4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 w:firstLine="0" w:firstLineChars="0"/>
        <w:jc w:val="left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编号：</w:t>
      </w:r>
      <w:r>
        <w:rPr>
          <w:rFonts w:eastAsia="黑体"/>
          <w:sz w:val="48"/>
          <w:szCs w:val="48"/>
        </w:rPr>
        <w:t>000171102013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0" w:firstLineChars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“市分局</w:t>
      </w:r>
      <w:r>
        <w:rPr>
          <w:rFonts w:eastAsia="黑体"/>
          <w:sz w:val="52"/>
          <w:szCs w:val="52"/>
        </w:rPr>
        <w:t>办理的超期限或无法原路退汇的经常项目收支登记</w:t>
      </w:r>
      <w:r>
        <w:rPr>
          <w:rFonts w:hint="eastAsia" w:eastAsia="黑体"/>
          <w:sz w:val="52"/>
          <w:szCs w:val="52"/>
        </w:rPr>
        <w:t>”</w:t>
      </w:r>
      <w:r>
        <w:rPr>
          <w:rFonts w:eastAsia="黑体"/>
          <w:sz w:val="52"/>
          <w:szCs w:val="52"/>
        </w:rPr>
        <w:t>行政审批服务指南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28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实施日期：20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29</w:t>
      </w:r>
      <w:bookmarkStart w:id="10" w:name="_GoBack"/>
      <w:bookmarkEnd w:id="10"/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发布机构：国家外汇管理局</w:t>
      </w:r>
      <w:r>
        <w:rPr>
          <w:rFonts w:hint="eastAsia" w:eastAsia="仿宋_GB2312"/>
          <w:sz w:val="30"/>
          <w:szCs w:val="30"/>
        </w:rPr>
        <w:t>江苏省分局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bookmarkStart w:id="0" w:name="_Toc230209183"/>
      <w:r>
        <w:rPr>
          <w:rFonts w:eastAsia="黑体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1.行政许可事项名称及编码</w:t>
      </w:r>
      <w:bookmarkEnd w:id="0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1" w:name="_Toc2089527096"/>
      <w:r>
        <w:rPr>
          <w:rFonts w:eastAsia="仿宋_GB2312"/>
          <w:sz w:val="30"/>
          <w:szCs w:val="30"/>
        </w:rPr>
        <w:t>经常项目特定收支业务核准【00017110200Y】</w:t>
      </w:r>
      <w:bookmarkEnd w:id="1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2" w:name="_Toc1525380920"/>
      <w:r>
        <w:rPr>
          <w:rFonts w:eastAsia="仿宋_GB2312"/>
          <w:sz w:val="30"/>
          <w:szCs w:val="30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市分局</w:t>
      </w:r>
      <w:r>
        <w:rPr>
          <w:rFonts w:eastAsia="仿宋_GB2312"/>
          <w:sz w:val="30"/>
          <w:szCs w:val="30"/>
        </w:rPr>
        <w:t>办理的超期限或无法原路退汇的经常项目收支登记【000171102013】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3" w:name="_Toc2063580263"/>
      <w:r>
        <w:rPr>
          <w:rFonts w:eastAsia="仿宋_GB2312"/>
          <w:sz w:val="30"/>
          <w:szCs w:val="30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4" w:name="_Toc643850346"/>
      <w:r>
        <w:rPr>
          <w:rFonts w:hint="eastAsia" w:eastAsia="仿宋_GB2312"/>
          <w:sz w:val="30"/>
          <w:szCs w:val="30"/>
        </w:rPr>
        <w:t>市分局</w:t>
      </w:r>
      <w:r>
        <w:rPr>
          <w:rFonts w:eastAsia="仿宋_GB2312"/>
          <w:sz w:val="30"/>
          <w:szCs w:val="30"/>
        </w:rPr>
        <w:t>办理的超期限或无法原路退汇的经常项目收支登记（00017110201301）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本指南适用于</w:t>
      </w:r>
      <w:r>
        <w:rPr>
          <w:rFonts w:hint="eastAsia" w:eastAsia="仿宋_GB2312"/>
          <w:sz w:val="30"/>
          <w:szCs w:val="30"/>
        </w:rPr>
        <w:t>“市分局办理的超期限或无法原路退汇的经常项目收支登记”</w:t>
      </w:r>
      <w:r>
        <w:rPr>
          <w:rFonts w:eastAsia="仿宋_GB2312"/>
          <w:sz w:val="30"/>
          <w:szCs w:val="30"/>
        </w:rPr>
        <w:t>的申请和办理。</w:t>
      </w:r>
    </w:p>
    <w:bookmarkEnd w:id="4"/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5" w:name="_Toc1192412590"/>
      <w:r>
        <w:rPr>
          <w:rFonts w:eastAsia="黑体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《国务院对确需保留的行政审批项目设定行政许可的决定》</w:t>
      </w:r>
      <w:bookmarkEnd w:id="5"/>
    </w:p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6" w:name="_Toc1882534944"/>
      <w:r>
        <w:rPr>
          <w:rFonts w:hint="eastAsia" w:eastAsia="黑体"/>
          <w:sz w:val="30"/>
          <w:szCs w:val="30"/>
        </w:rPr>
        <w:t>四、办理</w:t>
      </w:r>
      <w:r>
        <w:rPr>
          <w:rFonts w:eastAsia="黑体"/>
          <w:sz w:val="30"/>
          <w:szCs w:val="30"/>
        </w:rPr>
        <w:t>依据</w:t>
      </w:r>
      <w:bookmarkEnd w:id="6"/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7" w:name="_Toc54488669"/>
      <w:r>
        <w:rPr>
          <w:rFonts w:eastAsia="仿宋_GB2312"/>
          <w:sz w:val="30"/>
          <w:szCs w:val="30"/>
        </w:rPr>
        <w:t>（1）</w:t>
      </w:r>
      <w:bookmarkEnd w:id="7"/>
      <w:r>
        <w:rPr>
          <w:rFonts w:eastAsia="仿宋_GB2312"/>
          <w:sz w:val="30"/>
          <w:szCs w:val="30"/>
        </w:rPr>
        <w:t>《经常项目外汇业务指引（2020年版）》（汇发〔2020〕14号）第二十三条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8" w:name="_Toc1882612011"/>
      <w:r>
        <w:rPr>
          <w:rFonts w:eastAsia="仿宋_GB2312"/>
          <w:sz w:val="30"/>
          <w:szCs w:val="30"/>
        </w:rPr>
        <w:t>（2）《国家外汇管理局行政许可实施办法》（国家外汇管理局公告2021年第1号）</w:t>
      </w:r>
      <w:bookmarkEnd w:id="8"/>
      <w:r>
        <w:rPr>
          <w:rFonts w:eastAsia="仿宋_GB2312"/>
          <w:sz w:val="30"/>
          <w:szCs w:val="30"/>
        </w:rPr>
        <w:t>全文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</w:t>
      </w:r>
      <w:r>
        <w:rPr>
          <w:rFonts w:eastAsia="黑体"/>
          <w:sz w:val="30"/>
          <w:szCs w:val="30"/>
        </w:rPr>
        <w:t>受理机构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国家外汇管理局市分局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</w:t>
      </w:r>
      <w:r>
        <w:rPr>
          <w:rFonts w:eastAsia="黑体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国家外汇管理局市分局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七、</w:t>
      </w:r>
      <w:r>
        <w:rPr>
          <w:rFonts w:eastAsia="黑体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无数量限制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9" w:name="_Toc1971317738"/>
      <w:r>
        <w:rPr>
          <w:rFonts w:hint="eastAsia" w:eastAsia="黑体"/>
          <w:sz w:val="30"/>
          <w:szCs w:val="30"/>
        </w:rPr>
        <w:t>八、</w:t>
      </w:r>
      <w:r>
        <w:rPr>
          <w:rFonts w:eastAsia="黑体"/>
          <w:sz w:val="30"/>
          <w:szCs w:val="30"/>
        </w:rPr>
        <w:t>办事条件</w:t>
      </w:r>
    </w:p>
    <w:p>
      <w:pPr>
        <w:widowControl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申请人为</w:t>
      </w:r>
      <w:r>
        <w:rPr>
          <w:rFonts w:eastAsia="仿宋_GB2312"/>
          <w:sz w:val="30"/>
          <w:szCs w:val="30"/>
        </w:rPr>
        <w:t>货物贸易外汇收支分类为A类的企业，</w:t>
      </w:r>
      <w:r>
        <w:rPr>
          <w:rFonts w:hint="eastAsia" w:eastAsia="仿宋_GB2312"/>
          <w:sz w:val="30"/>
          <w:szCs w:val="30"/>
        </w:rPr>
        <w:t>基于真实合规的交易背景需要办理发生</w:t>
      </w:r>
      <w:r>
        <w:rPr>
          <w:rFonts w:eastAsia="仿宋_GB2312"/>
          <w:sz w:val="30"/>
          <w:szCs w:val="30"/>
        </w:rPr>
        <w:t>以下情况的5万美元以上（不含）的退汇：退汇日期与原收、付款日期间隔在180天以上（不含）或由于特殊情况无法原路退回的退汇业务。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申请人为</w:t>
      </w:r>
      <w:r>
        <w:rPr>
          <w:rFonts w:eastAsia="仿宋_GB2312"/>
          <w:sz w:val="30"/>
          <w:szCs w:val="30"/>
        </w:rPr>
        <w:t>货物贸易外汇收支分类为B类或C类的企业，</w:t>
      </w:r>
      <w:r>
        <w:rPr>
          <w:rFonts w:hint="eastAsia" w:eastAsia="仿宋_GB2312"/>
          <w:sz w:val="30"/>
          <w:szCs w:val="30"/>
        </w:rPr>
        <w:t>基于真实合规的交易背景需要办理发生</w:t>
      </w:r>
      <w:r>
        <w:rPr>
          <w:rFonts w:eastAsia="仿宋_GB2312"/>
          <w:sz w:val="30"/>
          <w:szCs w:val="30"/>
        </w:rPr>
        <w:t>以下情况的退汇：退汇日期与原收、付款日期间隔在180天以上（不含）或由于特殊情况无法原路退回的退汇业务。</w:t>
      </w:r>
    </w:p>
    <w:p>
      <w:pPr>
        <w:pStyle w:val="2"/>
        <w:ind w:left="0" w:leftChars="0" w:firstLine="0" w:firstLineChars="0"/>
      </w:pPr>
      <w:r>
        <w:rPr>
          <w:rFonts w:hint="eastAsia" w:eastAsia="黑体"/>
          <w:sz w:val="30"/>
          <w:szCs w:val="30"/>
        </w:rPr>
        <w:t xml:space="preserve">    九</w:t>
      </w:r>
      <w:r>
        <w:rPr>
          <w:rFonts w:eastAsia="黑体"/>
          <w:sz w:val="30"/>
          <w:szCs w:val="30"/>
        </w:rPr>
        <w:t>、申请材料</w:t>
      </w:r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454"/>
        <w:gridCol w:w="1077"/>
        <w:gridCol w:w="529"/>
        <w:gridCol w:w="710"/>
        <w:gridCol w:w="4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提交材料名称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原件/复印件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份数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纸质/电子</w:t>
            </w:r>
          </w:p>
        </w:tc>
        <w:tc>
          <w:tcPr>
            <w:tcW w:w="422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书面申请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加盖公章的原件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2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内容包括但不限于说明需要登记的具体内容，超期限或无法原路退汇的原因，退汇同时是否发生货物退运。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超期限或无法原路退汇的证明材料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2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原支出/收汇凭证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2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收入凭证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23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付汇退汇时提供，收入未进待核查账户的，可免于提交。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报关单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加盖公章的复印件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23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付汇退汇发生货物退运时提供出口报关单，收汇退汇发生货物退运时提供进口报关单。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原进/出口合同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23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因错误汇出以外其他原因产生的贸易付汇退汇，提供原进口合同；因错误汇入以外的其他原因产生的贸易收汇退汇，提供原出口合同。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十、申请接受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申请人可通过窗口</w:t>
      </w:r>
      <w:r>
        <w:rPr>
          <w:rFonts w:hint="eastAsia" w:eastAsia="仿宋_GB2312"/>
          <w:sz w:val="30"/>
          <w:szCs w:val="30"/>
        </w:rPr>
        <w:t>、邮寄等</w:t>
      </w:r>
      <w:r>
        <w:rPr>
          <w:rFonts w:eastAsia="仿宋_GB2312"/>
          <w:sz w:val="30"/>
          <w:szCs w:val="30"/>
        </w:rPr>
        <w:t>方式提交材料。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十一、</w:t>
      </w:r>
      <w:r>
        <w:rPr>
          <w:rFonts w:eastAsia="黑体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contextualSpacing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4.不予许可的，出具不予许可</w:t>
      </w:r>
      <w:r>
        <w:rPr>
          <w:rFonts w:hint="eastAsia" w:eastAsia="仿宋_GB2312"/>
          <w:sz w:val="30"/>
          <w:szCs w:val="30"/>
        </w:rPr>
        <w:t>决定</w:t>
      </w:r>
      <w:r>
        <w:rPr>
          <w:rFonts w:eastAsia="仿宋_GB2312"/>
          <w:sz w:val="30"/>
          <w:szCs w:val="30"/>
        </w:rPr>
        <w:t>书。许可的，向申请人出具《贸易外汇业务登记表》。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十二、</w:t>
      </w:r>
      <w:r>
        <w:rPr>
          <w:rFonts w:eastAsia="黑体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contextualSpacing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一般程序：申请、受理、审查、出具《贸易外汇业务登记表》。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十三、</w:t>
      </w:r>
      <w:r>
        <w:rPr>
          <w:rFonts w:eastAsia="黑体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十四、</w:t>
      </w:r>
      <w:r>
        <w:rPr>
          <w:rFonts w:eastAsia="黑体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十五、</w:t>
      </w:r>
      <w:r>
        <w:rPr>
          <w:rFonts w:eastAsia="黑体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contextualSpacing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《贸易外汇业务登记表》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十六、</w:t>
      </w:r>
      <w:r>
        <w:rPr>
          <w:rFonts w:eastAsia="黑体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十七、</w:t>
      </w:r>
      <w:r>
        <w:rPr>
          <w:rFonts w:eastAsia="黑体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十八、</w:t>
      </w:r>
      <w:r>
        <w:rPr>
          <w:rFonts w:eastAsia="黑体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前审后批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十九、咨询途径、监督和投诉、办公地址和时间、公开查询方式等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向注册所在地外汇局进行咨询、办理进程查询、监督和投诉等，可通过国家外汇管理局官方互联网站www.safe.gov.cn链接至江苏分局“业务指南”栏目中公布的电话进行。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二十、</w:t>
      </w:r>
      <w:r>
        <w:rPr>
          <w:rFonts w:eastAsia="黑体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二十一、</w:t>
      </w:r>
      <w:r>
        <w:rPr>
          <w:rFonts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无固定格式，</w:t>
      </w:r>
      <w:r>
        <w:rPr>
          <w:rFonts w:hint="eastAsia" w:eastAsia="仿宋_GB2312"/>
          <w:sz w:val="30"/>
          <w:szCs w:val="30"/>
        </w:rPr>
        <w:t>有关内容要求详见“九、申请材料”。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二十二、</w:t>
      </w:r>
      <w:r>
        <w:rPr>
          <w:rFonts w:eastAsia="黑体"/>
          <w:sz w:val="30"/>
          <w:szCs w:val="30"/>
        </w:rPr>
        <w:t>常见问题解答</w:t>
      </w:r>
    </w:p>
    <w:p>
      <w:pPr>
        <w:adjustRightInd w:val="0"/>
        <w:snapToGrid w:val="0"/>
        <w:spacing w:line="360" w:lineRule="auto"/>
        <w:ind w:firstLine="600" w:firstLineChars="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1.</w:t>
      </w:r>
      <w:r>
        <w:rPr>
          <w:rFonts w:eastAsia="仿宋_GB2312"/>
          <w:sz w:val="30"/>
          <w:szCs w:val="30"/>
        </w:rPr>
        <w:t>审批时限在20个工作日以内。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《贸易外汇业务登记表》有效期原则上不超过1个月。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3.</w:t>
      </w:r>
      <w:r>
        <w:rPr>
          <w:rFonts w:eastAsia="仿宋_GB2312"/>
          <w:sz w:val="30"/>
          <w:szCs w:val="30"/>
        </w:rPr>
        <w:t>适用贸易便利化政策的企业无需办理上述退汇登记。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二十三、</w:t>
      </w:r>
      <w:r>
        <w:rPr>
          <w:rFonts w:eastAsia="黑体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申请材料不完全符合规定，例如</w:t>
      </w:r>
      <w:r>
        <w:rPr>
          <w:rFonts w:hint="eastAsia" w:eastAsia="仿宋_GB2312"/>
          <w:sz w:val="30"/>
          <w:szCs w:val="30"/>
        </w:rPr>
        <w:t>书面申请原</w:t>
      </w:r>
      <w:r>
        <w:rPr>
          <w:rFonts w:eastAsia="仿宋_GB2312"/>
          <w:sz w:val="30"/>
          <w:szCs w:val="30"/>
        </w:rPr>
        <w:t>件未加盖公章等。</w:t>
      </w:r>
    </w:p>
    <w:bookmarkEnd w:id="9"/>
    <w:p>
      <w:pPr>
        <w:ind w:right="300" w:firstLine="0" w:firstLineChars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</w:rPr>
        <w:t>录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基本流程图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12.9pt;height:56.15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申请人以现场、邮寄等方式提出书面申请，并提交材料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jc w:val="left"/>
        <w:rPr>
          <w:rFonts w:eastAsia="仿宋_GB2312"/>
          <w:sz w:val="30"/>
          <w:szCs w:val="30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70.4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予以许可，向申请人出具《贸易外汇业务登记表》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99.7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当场（或5个工作日内）作出是否受理决定</w:t>
                  </w:r>
                </w:p>
                <w:p>
                  <w:pPr>
                    <w:ind w:firstLine="560"/>
                  </w:pPr>
                </w:p>
              </w:txbxContent>
            </v:textbox>
          </v:shape>
        </w:pict>
      </w:r>
    </w:p>
    <w:sectPr>
      <w:footerReference r:id="rId8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234FF"/>
    <w:rsid w:val="000F7B51"/>
    <w:rsid w:val="003B6B7D"/>
    <w:rsid w:val="004234FF"/>
    <w:rsid w:val="00A840A3"/>
    <w:rsid w:val="00AD47E8"/>
    <w:rsid w:val="00C05C03"/>
    <w:rsid w:val="00CC2B5D"/>
    <w:rsid w:val="00CD5218"/>
    <w:rsid w:val="0ACF172A"/>
    <w:rsid w:val="0CE63754"/>
    <w:rsid w:val="0FBE1149"/>
    <w:rsid w:val="163736EC"/>
    <w:rsid w:val="1874667A"/>
    <w:rsid w:val="1D5D1EC9"/>
    <w:rsid w:val="1FAA42BE"/>
    <w:rsid w:val="21746FAB"/>
    <w:rsid w:val="22AF4AF2"/>
    <w:rsid w:val="28643859"/>
    <w:rsid w:val="2C525C7A"/>
    <w:rsid w:val="2C9C4B74"/>
    <w:rsid w:val="37266389"/>
    <w:rsid w:val="3E0B71E1"/>
    <w:rsid w:val="3E8D0140"/>
    <w:rsid w:val="431F6977"/>
    <w:rsid w:val="48E44CBC"/>
    <w:rsid w:val="49770085"/>
    <w:rsid w:val="499F17C8"/>
    <w:rsid w:val="4A1403F6"/>
    <w:rsid w:val="4F975AB9"/>
    <w:rsid w:val="597E33A5"/>
    <w:rsid w:val="5C8A0EDC"/>
    <w:rsid w:val="5F3376B4"/>
    <w:rsid w:val="6017702A"/>
    <w:rsid w:val="64DB7F52"/>
    <w:rsid w:val="67720B4B"/>
    <w:rsid w:val="6C3930B3"/>
    <w:rsid w:val="6E150A53"/>
    <w:rsid w:val="6E2858C4"/>
    <w:rsid w:val="73483190"/>
    <w:rsid w:val="77253D9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280</Words>
  <Characters>1600</Characters>
  <Lines>13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2023-09-28T00:39:29Z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