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D7" w:rsidRDefault="00E815D7">
      <w:pPr>
        <w:pStyle w:val="3"/>
        <w:rPr>
          <w:rFonts w:hint="eastAsia"/>
        </w:rPr>
      </w:pPr>
      <w:bookmarkStart w:id="0" w:name="TTitle_1"/>
      <w:bookmarkEnd w:id="0"/>
      <w:r>
        <w:rPr>
          <w:rFonts w:hint="eastAsia"/>
          <w:spacing w:val="-16"/>
        </w:rPr>
        <w:t xml:space="preserve">  关于印发《国家外汇管理局江苏省分局“不申报</w:t>
      </w:r>
      <w:r>
        <w:rPr>
          <w:rFonts w:hint="eastAsia"/>
        </w:rPr>
        <w:t>、</w:t>
      </w:r>
    </w:p>
    <w:p w:rsidR="00E815D7" w:rsidRDefault="00E815D7">
      <w:pPr>
        <w:pStyle w:val="3"/>
        <w:rPr>
          <w:rFonts w:hint="eastAsia"/>
        </w:rPr>
      </w:pPr>
      <w:r>
        <w:rPr>
          <w:rFonts w:hint="eastAsia"/>
          <w:spacing w:val="-8"/>
        </w:rPr>
        <w:t>不解付”特殊处理措施实施办法（试行）》的通</w:t>
      </w:r>
      <w:r>
        <w:rPr>
          <w:rFonts w:hint="eastAsia"/>
        </w:rPr>
        <w:t>知</w:t>
      </w:r>
    </w:p>
    <w:p w:rsidR="00E815D7" w:rsidRDefault="00E815D7">
      <w:pPr>
        <w:pStyle w:val="20"/>
        <w:rPr>
          <w:rFonts w:hint="eastAsia"/>
        </w:rPr>
      </w:pPr>
    </w:p>
    <w:p w:rsidR="00E815D7" w:rsidRDefault="00E815D7">
      <w:pPr>
        <w:pStyle w:val="20"/>
        <w:rPr>
          <w:rFonts w:hint="eastAsia"/>
        </w:rPr>
      </w:pPr>
      <w:bookmarkStart w:id="1" w:name="TSendTo_1"/>
      <w:bookmarkEnd w:id="1"/>
      <w:r>
        <w:rPr>
          <w:rFonts w:hint="eastAsia"/>
        </w:rPr>
        <w:t>国家外汇管理局江苏省各市中心支局、南京市各支局，江苏省各省级中资外汇指定银行，江苏银行，南京银行，上海银行南京分行，宁波银行南京分行，浙江稠州商业银行南京分行，徽商银行南京分行，北京银行南京分行，杭州银行南京分行，渣打银行南京分行，恒生银行南京分行，东亚银行南京分行，首都银行（中国）有限公司，汇丰银行南京分行：</w:t>
      </w:r>
    </w:p>
    <w:p w:rsidR="00E815D7" w:rsidRDefault="00E815D7">
      <w:pPr>
        <w:ind w:firstLine="624"/>
        <w:rPr>
          <w:rFonts w:ascii="仿宋_GB2312" w:hint="eastAsia"/>
          <w:b/>
          <w:szCs w:val="30"/>
        </w:rPr>
      </w:pPr>
      <w:bookmarkStart w:id="2" w:name="zw"/>
      <w:bookmarkEnd w:id="2"/>
      <w:r>
        <w:rPr>
          <w:rFonts w:ascii="仿宋_GB2312" w:hint="eastAsia"/>
          <w:b/>
          <w:szCs w:val="30"/>
        </w:rPr>
        <w:t>为确保国际收支统计间接申报数据的准确性、及时性和完整性，督促机构申报主体及时进行涉外收入申报，根据《通过金融机构进行国际收支统计申报业务操作规程》（汇发〔2010〕22号），结合江苏省国际收支统计申报工作实际，国家外汇管理局江苏省分局制定了《“不申报、不解付”特殊处理措施实施办法（试行）》（见附件），现印发给你们，请遵照执行。</w:t>
      </w:r>
    </w:p>
    <w:p w:rsidR="00E815D7" w:rsidRDefault="00E815D7">
      <w:pPr>
        <w:ind w:firstLineChars="200" w:firstLine="634"/>
        <w:rPr>
          <w:rFonts w:ascii="仿宋_GB2312" w:hint="eastAsia"/>
          <w:b/>
          <w:szCs w:val="30"/>
        </w:rPr>
      </w:pPr>
      <w:r>
        <w:rPr>
          <w:rFonts w:ascii="仿宋_GB2312" w:hint="eastAsia"/>
          <w:b/>
          <w:szCs w:val="30"/>
        </w:rPr>
        <w:t>各市中心支局收到本通知后，应及时转发辖内支局和外汇指定银行，各直辖外汇指定银行应对申报主体加强宣传工作，使其进一步履行好及时、准确、完整申报的义务。</w:t>
      </w:r>
    </w:p>
    <w:p w:rsidR="00E815D7" w:rsidRDefault="00E815D7">
      <w:pPr>
        <w:ind w:firstLine="624"/>
        <w:rPr>
          <w:b/>
        </w:rPr>
      </w:pPr>
    </w:p>
    <w:p w:rsidR="00E815D7" w:rsidRDefault="00E815D7">
      <w:pPr>
        <w:ind w:leftChars="197" w:left="1573" w:hangingChars="300" w:hanging="951"/>
        <w:rPr>
          <w:rFonts w:ascii="仿宋_GB2312" w:hint="eastAsia"/>
          <w:b/>
        </w:rPr>
      </w:pPr>
      <w:r>
        <w:rPr>
          <w:rFonts w:ascii="仿宋_GB2312" w:hint="eastAsia"/>
          <w:b/>
        </w:rPr>
        <w:t>附件：</w:t>
      </w:r>
      <w:r>
        <w:rPr>
          <w:rFonts w:ascii="仿宋_GB2312" w:hAnsi="Courier New" w:hint="eastAsia"/>
          <w:b/>
        </w:rPr>
        <w:t>国家外汇管理局江苏省分局“不申报、不解付”特殊处理措施实施办法（试行）</w:t>
      </w:r>
    </w:p>
    <w:p w:rsidR="00E815D7" w:rsidRDefault="00E815D7">
      <w:pPr>
        <w:ind w:firstLine="624"/>
        <w:rPr>
          <w:rFonts w:ascii="仿宋_GB2312" w:hint="eastAsia"/>
          <w:b/>
        </w:rPr>
      </w:pPr>
    </w:p>
    <w:p w:rsidR="00E815D7" w:rsidRDefault="00E815D7">
      <w:pPr>
        <w:ind w:firstLine="624"/>
        <w:rPr>
          <w:rFonts w:ascii="仿宋_GB2312" w:hint="eastAsia"/>
          <w:b/>
        </w:rPr>
      </w:pPr>
    </w:p>
    <w:p w:rsidR="00E815D7" w:rsidRDefault="00E815D7" w:rsidP="00E57B5F">
      <w:pPr>
        <w:tabs>
          <w:tab w:val="right" w:pos="8505"/>
        </w:tabs>
        <w:rPr>
          <w:rFonts w:ascii="仿宋_GB2312" w:hint="eastAsia"/>
          <w:b/>
        </w:rPr>
      </w:pPr>
    </w:p>
    <w:p w:rsidR="00E815D7" w:rsidRPr="00E57B5F" w:rsidRDefault="00E815D7" w:rsidP="00E57B5F">
      <w:pPr>
        <w:ind w:right="1284"/>
        <w:jc w:val="right"/>
        <w:rPr>
          <w:rFonts w:ascii="仿宋_GB2312" w:hint="eastAsia"/>
          <w:b/>
        </w:rPr>
      </w:pPr>
      <w:bookmarkStart w:id="3" w:name="TCSignYear"/>
      <w:bookmarkEnd w:id="3"/>
      <w:r>
        <w:rPr>
          <w:rFonts w:ascii="仿宋_GB2312" w:hint="eastAsia"/>
          <w:b/>
        </w:rPr>
        <w:t>二○一一年</w:t>
      </w:r>
      <w:bookmarkStart w:id="4" w:name="TCSignMonth"/>
      <w:bookmarkEnd w:id="4"/>
      <w:r>
        <w:rPr>
          <w:rFonts w:ascii="仿宋_GB2312" w:hint="eastAsia"/>
          <w:b/>
        </w:rPr>
        <w:t>四月</w:t>
      </w:r>
      <w:bookmarkStart w:id="5" w:name="TCSignDay"/>
      <w:bookmarkEnd w:id="5"/>
      <w:r>
        <w:rPr>
          <w:rFonts w:ascii="仿宋_GB2312" w:hint="eastAsia"/>
          <w:b/>
        </w:rPr>
        <w:t>七日</w:t>
      </w:r>
    </w:p>
    <w:p w:rsidR="00E815D7" w:rsidRDefault="00E815D7">
      <w:pPr>
        <w:rPr>
          <w:rFonts w:ascii="仿宋_GB2312" w:hint="eastAsia"/>
          <w:b/>
          <w:bCs/>
          <w:szCs w:val="36"/>
        </w:rPr>
      </w:pPr>
      <w:bookmarkStart w:id="6" w:name="fjnr"/>
      <w:bookmarkEnd w:id="6"/>
      <w:r>
        <w:rPr>
          <w:rFonts w:ascii="仿宋_GB2312" w:hint="eastAsia"/>
          <w:b/>
          <w:bCs/>
          <w:szCs w:val="36"/>
        </w:rPr>
        <w:lastRenderedPageBreak/>
        <w:t>附件</w:t>
      </w:r>
    </w:p>
    <w:p w:rsidR="00E815D7" w:rsidRDefault="00E815D7">
      <w:pPr>
        <w:rPr>
          <w:rFonts w:ascii="仿宋_GB2312" w:hint="eastAsia"/>
          <w:b/>
          <w:bCs/>
          <w:szCs w:val="36"/>
        </w:rPr>
      </w:pPr>
    </w:p>
    <w:p w:rsidR="00E815D7" w:rsidRDefault="00E815D7">
      <w:pPr>
        <w:snapToGrid w:val="0"/>
        <w:jc w:val="center"/>
        <w:rPr>
          <w:rFonts w:ascii="方正小标宋_GBK" w:eastAsia="方正小标宋_GBK" w:hint="eastAsia"/>
          <w:sz w:val="40"/>
          <w:szCs w:val="36"/>
        </w:rPr>
      </w:pPr>
      <w:r>
        <w:rPr>
          <w:rFonts w:ascii="方正小标宋_GBK" w:eastAsia="方正小标宋_GBK" w:hint="eastAsia"/>
          <w:sz w:val="40"/>
          <w:szCs w:val="36"/>
        </w:rPr>
        <w:t>国家外汇管理局江苏省分局</w:t>
      </w:r>
    </w:p>
    <w:p w:rsidR="00E815D7" w:rsidRDefault="00E815D7">
      <w:pPr>
        <w:snapToGrid w:val="0"/>
        <w:jc w:val="center"/>
        <w:rPr>
          <w:rFonts w:ascii="方正小标宋_GBK" w:eastAsia="方正小标宋_GBK" w:hint="eastAsia"/>
          <w:sz w:val="40"/>
          <w:szCs w:val="36"/>
        </w:rPr>
      </w:pPr>
      <w:r>
        <w:rPr>
          <w:rFonts w:ascii="方正小标宋_GBK" w:eastAsia="方正小标宋_GBK" w:hint="eastAsia"/>
          <w:sz w:val="40"/>
          <w:szCs w:val="36"/>
        </w:rPr>
        <w:t>“不申报、不解付”特殊处理措施实施办法</w:t>
      </w:r>
    </w:p>
    <w:p w:rsidR="00E815D7" w:rsidRDefault="00E815D7">
      <w:pPr>
        <w:snapToGrid w:val="0"/>
        <w:spacing w:line="560" w:lineRule="exact"/>
        <w:jc w:val="center"/>
        <w:rPr>
          <w:rFonts w:ascii="方正楷体_GBK" w:eastAsia="方正楷体_GBK" w:hint="eastAsia"/>
          <w:b/>
          <w:bCs/>
          <w:szCs w:val="36"/>
        </w:rPr>
      </w:pPr>
      <w:r>
        <w:rPr>
          <w:rFonts w:ascii="方正楷体_GBK" w:eastAsia="方正楷体_GBK" w:hint="eastAsia"/>
          <w:b/>
          <w:bCs/>
          <w:szCs w:val="36"/>
        </w:rPr>
        <w:t>（试行）</w:t>
      </w:r>
    </w:p>
    <w:p w:rsidR="00E815D7" w:rsidRDefault="00E815D7">
      <w:pPr>
        <w:rPr>
          <w:rFonts w:ascii="仿宋_GB2312" w:hint="eastAsia"/>
          <w:b/>
          <w:bCs/>
          <w:szCs w:val="36"/>
        </w:rPr>
      </w:pPr>
    </w:p>
    <w:p w:rsidR="00E815D7" w:rsidRDefault="00E815D7">
      <w:pPr>
        <w:spacing w:line="480" w:lineRule="auto"/>
        <w:jc w:val="center"/>
        <w:rPr>
          <w:rFonts w:ascii="方正黑体_GBK" w:eastAsia="方正黑体_GBK" w:hint="eastAsia"/>
          <w:b/>
          <w:sz w:val="32"/>
          <w:szCs w:val="32"/>
        </w:rPr>
      </w:pPr>
      <w:r>
        <w:rPr>
          <w:rFonts w:ascii="方正黑体_GBK" w:eastAsia="方正黑体_GBK" w:hint="eastAsia"/>
          <w:b/>
          <w:sz w:val="32"/>
          <w:szCs w:val="32"/>
        </w:rPr>
        <w:t>第一章  总  则</w:t>
      </w:r>
    </w:p>
    <w:p w:rsidR="00E815D7" w:rsidRDefault="00E815D7">
      <w:pPr>
        <w:ind w:firstLine="624"/>
        <w:rPr>
          <w:rFonts w:ascii="仿宋_GB2312" w:hint="eastAsia"/>
          <w:b/>
          <w:szCs w:val="30"/>
        </w:rPr>
      </w:pPr>
      <w:r>
        <w:rPr>
          <w:rFonts w:ascii="仿宋_GB2312" w:hint="eastAsia"/>
          <w:b/>
          <w:szCs w:val="30"/>
        </w:rPr>
        <w:t>第一条  为确保国际收支统计间接申报数据的准确性、及时性和完整性，督促机构申报主体及时进行涉外收入申报，根据《通过金融机构进行国际收支统计申报业务操作规程》（汇发〔2010〕22号），结合江苏省国际收支统计申报工作具体情况，制定本办法。</w:t>
      </w:r>
    </w:p>
    <w:p w:rsidR="00E815D7" w:rsidRDefault="00E815D7">
      <w:pPr>
        <w:ind w:firstLine="624"/>
        <w:rPr>
          <w:rFonts w:ascii="仿宋_GB2312" w:hint="eastAsia"/>
          <w:b/>
          <w:szCs w:val="30"/>
        </w:rPr>
      </w:pPr>
      <w:r>
        <w:rPr>
          <w:rFonts w:ascii="仿宋_GB2312" w:hint="eastAsia"/>
          <w:b/>
          <w:szCs w:val="30"/>
        </w:rPr>
        <w:t>第二条  机构申报主体未按照《通过金融机构进行国际收支统计申报业务操作规程》相关规定进行涉外收入申报，情节严重的，国家外汇管理局江苏省分局（以下简称外汇局江苏省分局）可以决定对其执行“不申报、不解付”特殊处理措施。</w:t>
      </w:r>
    </w:p>
    <w:p w:rsidR="00E815D7" w:rsidRDefault="00E815D7">
      <w:pPr>
        <w:ind w:firstLine="624"/>
        <w:rPr>
          <w:rFonts w:ascii="仿宋_GB2312" w:hint="eastAsia"/>
          <w:b/>
          <w:szCs w:val="30"/>
        </w:rPr>
      </w:pPr>
      <w:r>
        <w:rPr>
          <w:rFonts w:ascii="仿宋_GB2312" w:hint="eastAsia"/>
          <w:b/>
          <w:szCs w:val="30"/>
        </w:rPr>
        <w:t>第三条  外汇局江苏省分局依照《通过金融机构进行国际收支统计申报业务操作规程》及本办法决定对机构申报主体执行“不申报、不解付”特殊处理措施，影响该机构申报主体办理有关外汇业务或产生其他不利后果，由该机构申报主体自行承担。</w:t>
      </w:r>
    </w:p>
    <w:p w:rsidR="00E815D7" w:rsidRDefault="00E815D7">
      <w:pPr>
        <w:ind w:firstLine="624"/>
        <w:rPr>
          <w:rFonts w:ascii="仿宋_GB2312" w:hint="eastAsia"/>
          <w:b/>
          <w:szCs w:val="30"/>
        </w:rPr>
      </w:pPr>
      <w:r>
        <w:rPr>
          <w:rFonts w:ascii="仿宋_GB2312" w:hint="eastAsia"/>
          <w:b/>
          <w:szCs w:val="30"/>
        </w:rPr>
        <w:t>第四条  本办法所称机构申报主体，是指通过外汇局江苏省分局辖内外汇指定银行办理涉外收入业务的所有非银行机构，申报方式包括纸质申报和网上申报。</w:t>
      </w:r>
    </w:p>
    <w:p w:rsidR="00E815D7" w:rsidRDefault="00E815D7">
      <w:pPr>
        <w:spacing w:line="480" w:lineRule="auto"/>
        <w:jc w:val="center"/>
        <w:rPr>
          <w:rFonts w:ascii="方正黑体_GBK" w:eastAsia="方正黑体_GBK" w:hint="eastAsia"/>
          <w:b/>
          <w:sz w:val="32"/>
          <w:szCs w:val="32"/>
        </w:rPr>
      </w:pPr>
      <w:r>
        <w:rPr>
          <w:rFonts w:ascii="方正黑体_GBK" w:eastAsia="方正黑体_GBK" w:hint="eastAsia"/>
          <w:b/>
          <w:sz w:val="32"/>
          <w:szCs w:val="32"/>
        </w:rPr>
        <w:lastRenderedPageBreak/>
        <w:t>第二章  执行标准</w:t>
      </w:r>
    </w:p>
    <w:p w:rsidR="00E815D7" w:rsidRDefault="00E815D7">
      <w:pPr>
        <w:ind w:firstLine="624"/>
        <w:rPr>
          <w:rFonts w:ascii="仿宋_GB2312" w:hint="eastAsia"/>
          <w:b/>
          <w:szCs w:val="30"/>
        </w:rPr>
      </w:pPr>
      <w:r>
        <w:rPr>
          <w:rFonts w:ascii="仿宋_GB2312" w:hint="eastAsia"/>
          <w:b/>
          <w:szCs w:val="30"/>
        </w:rPr>
        <w:t>第五条  机构申报主体有下列情形之一，情节严重的，外汇局江苏省分局可以决定在全省范围内对其执行“不申报、不解付”特殊处理措施：</w:t>
      </w:r>
    </w:p>
    <w:p w:rsidR="00E815D7" w:rsidRDefault="00E815D7">
      <w:pPr>
        <w:ind w:firstLine="624"/>
        <w:rPr>
          <w:rFonts w:ascii="仿宋_GB2312" w:hint="eastAsia"/>
          <w:b/>
          <w:szCs w:val="30"/>
        </w:rPr>
      </w:pPr>
      <w:r>
        <w:rPr>
          <w:rFonts w:ascii="仿宋_GB2312" w:hint="eastAsia"/>
          <w:b/>
          <w:szCs w:val="30"/>
        </w:rPr>
        <w:t>（一）单笔逾期未申报金额等值1000万美元（含）以上，且逾期10日（含）以上的；</w:t>
      </w:r>
    </w:p>
    <w:p w:rsidR="00E815D7" w:rsidRDefault="00E815D7">
      <w:pPr>
        <w:ind w:firstLine="624"/>
        <w:rPr>
          <w:rFonts w:ascii="仿宋_GB2312" w:hint="eastAsia"/>
          <w:b/>
          <w:szCs w:val="30"/>
        </w:rPr>
      </w:pPr>
      <w:r>
        <w:rPr>
          <w:rFonts w:ascii="仿宋_GB2312" w:hint="eastAsia"/>
          <w:b/>
          <w:szCs w:val="30"/>
        </w:rPr>
        <w:t>（二）各级外汇局直辖范围内，30日（含）内机构申报主体逾期未申报5笔（含）以上的；</w:t>
      </w:r>
    </w:p>
    <w:p w:rsidR="00E815D7" w:rsidRDefault="00E815D7">
      <w:pPr>
        <w:ind w:firstLine="624"/>
        <w:rPr>
          <w:rFonts w:ascii="仿宋_GB2312" w:hint="eastAsia"/>
          <w:b/>
          <w:szCs w:val="30"/>
        </w:rPr>
      </w:pPr>
      <w:r>
        <w:rPr>
          <w:rFonts w:ascii="仿宋_GB2312" w:hint="eastAsia"/>
          <w:b/>
          <w:szCs w:val="30"/>
        </w:rPr>
        <w:t>（三）各级外汇局直辖范围内，30日（含）内机构申报主体逾期未申报累计金额等值1000万美元（含）以上的；</w:t>
      </w:r>
    </w:p>
    <w:p w:rsidR="00E815D7" w:rsidRDefault="00E815D7">
      <w:pPr>
        <w:ind w:firstLine="624"/>
        <w:rPr>
          <w:rFonts w:ascii="仿宋_GB2312" w:hint="eastAsia"/>
          <w:b/>
          <w:szCs w:val="30"/>
        </w:rPr>
      </w:pPr>
      <w:r>
        <w:rPr>
          <w:rFonts w:ascii="仿宋_GB2312" w:hint="eastAsia"/>
          <w:b/>
          <w:szCs w:val="30"/>
        </w:rPr>
        <w:t>（四）各级外汇局直辖范围内，机构申报主体单笔逾期未申报45日（含）以上的；</w:t>
      </w:r>
    </w:p>
    <w:p w:rsidR="00E815D7" w:rsidRDefault="00E815D7">
      <w:pPr>
        <w:ind w:firstLine="624"/>
        <w:rPr>
          <w:rFonts w:ascii="仿宋_GB2312" w:hint="eastAsia"/>
          <w:b/>
          <w:szCs w:val="30"/>
        </w:rPr>
      </w:pPr>
      <w:r>
        <w:rPr>
          <w:rFonts w:ascii="仿宋_GB2312" w:hint="eastAsia"/>
          <w:b/>
          <w:szCs w:val="30"/>
        </w:rPr>
        <w:t>（五）各级外汇局直辖范围内，逾期未申报笔数或金额占该机构申报主体当月实际收汇笔数或金额比例50%（含）以上的；</w:t>
      </w:r>
    </w:p>
    <w:p w:rsidR="00E815D7" w:rsidRDefault="00E815D7">
      <w:pPr>
        <w:ind w:firstLine="624"/>
        <w:rPr>
          <w:rFonts w:ascii="仿宋_GB2312" w:hint="eastAsia"/>
          <w:b/>
          <w:szCs w:val="30"/>
        </w:rPr>
      </w:pPr>
      <w:r>
        <w:rPr>
          <w:rFonts w:ascii="仿宋_GB2312" w:hint="eastAsia"/>
          <w:b/>
          <w:szCs w:val="30"/>
        </w:rPr>
        <w:t>（六）其他未按规定进行涉外收入申报、情节严重的行为。</w:t>
      </w:r>
    </w:p>
    <w:p w:rsidR="00E815D7" w:rsidRDefault="00E815D7">
      <w:pPr>
        <w:ind w:firstLine="624"/>
        <w:rPr>
          <w:rFonts w:ascii="仿宋_GB2312" w:hint="eastAsia"/>
          <w:b/>
          <w:szCs w:val="30"/>
        </w:rPr>
      </w:pPr>
      <w:r>
        <w:rPr>
          <w:rFonts w:ascii="仿宋_GB2312" w:hint="eastAsia"/>
          <w:b/>
          <w:szCs w:val="30"/>
        </w:rPr>
        <w:t>第六条  涉外收入是否存在逾期未申报，以申报信息是否在规定时间内传送至国际收支网上申报系统（外汇局版）为准。外汇局根据国际收支网上申报系统（外汇局版）“申报单管理/涉外收入申报单/逾期未申报信息查询”模块的查询结果确定申报信息逾期情况。</w:t>
      </w:r>
    </w:p>
    <w:p w:rsidR="00E815D7" w:rsidRDefault="00E815D7">
      <w:pPr>
        <w:ind w:firstLine="624"/>
        <w:rPr>
          <w:rFonts w:ascii="仿宋_GB2312" w:hint="eastAsia"/>
          <w:b/>
          <w:szCs w:val="30"/>
        </w:rPr>
      </w:pPr>
      <w:r>
        <w:rPr>
          <w:rFonts w:ascii="仿宋_GB2312" w:hint="eastAsia"/>
          <w:b/>
          <w:szCs w:val="30"/>
        </w:rPr>
        <w:t>第七条  由于国际收支网上申报系统原因导致涉外收入逾期未申报的，对该机构申报主体不执行“不申报、不解付”的特殊处理措施。</w:t>
      </w:r>
    </w:p>
    <w:p w:rsidR="00E815D7" w:rsidRDefault="00E815D7">
      <w:pPr>
        <w:ind w:firstLine="624"/>
        <w:rPr>
          <w:rFonts w:ascii="仿宋_GB2312" w:hint="eastAsia"/>
          <w:b/>
          <w:szCs w:val="30"/>
        </w:rPr>
      </w:pPr>
    </w:p>
    <w:p w:rsidR="00E815D7" w:rsidRDefault="00E815D7">
      <w:pPr>
        <w:spacing w:line="480" w:lineRule="auto"/>
        <w:jc w:val="center"/>
        <w:rPr>
          <w:rFonts w:ascii="方正黑体_GBK" w:eastAsia="方正黑体_GBK" w:hint="eastAsia"/>
          <w:b/>
          <w:sz w:val="32"/>
          <w:szCs w:val="32"/>
        </w:rPr>
      </w:pPr>
      <w:r>
        <w:rPr>
          <w:rFonts w:ascii="方正黑体_GBK" w:eastAsia="方正黑体_GBK" w:hint="eastAsia"/>
          <w:b/>
          <w:sz w:val="32"/>
          <w:szCs w:val="32"/>
        </w:rPr>
        <w:lastRenderedPageBreak/>
        <w:t>第三章  处理程序</w:t>
      </w:r>
    </w:p>
    <w:p w:rsidR="00E815D7" w:rsidRDefault="00E815D7">
      <w:pPr>
        <w:ind w:firstLine="624"/>
        <w:rPr>
          <w:rFonts w:ascii="仿宋_GB2312" w:hint="eastAsia"/>
          <w:b/>
          <w:szCs w:val="30"/>
        </w:rPr>
      </w:pPr>
      <w:r>
        <w:rPr>
          <w:rFonts w:ascii="仿宋_GB2312" w:hint="eastAsia"/>
          <w:b/>
          <w:szCs w:val="30"/>
        </w:rPr>
        <w:t>第八条  外汇局江苏省分局决定对机构申报主体执行“不申报、不解付”特殊处理措施，应印发《关于对部分机构申报主体执行“不申报、不解付”特殊处理措施的通知》（附1），在全省范围内执行。</w:t>
      </w:r>
    </w:p>
    <w:p w:rsidR="00E815D7" w:rsidRDefault="00E815D7">
      <w:pPr>
        <w:ind w:firstLine="624"/>
        <w:rPr>
          <w:rFonts w:ascii="仿宋_GB2312" w:hint="eastAsia"/>
          <w:b/>
          <w:szCs w:val="30"/>
        </w:rPr>
      </w:pPr>
      <w:r>
        <w:rPr>
          <w:rFonts w:ascii="仿宋_GB2312" w:hint="eastAsia"/>
          <w:b/>
          <w:szCs w:val="30"/>
        </w:rPr>
        <w:t>外汇局江苏省分局辖内各外汇指定银行必须按照通知要求对机构申报主体执行“不申报、不解付”的特殊处理措施。</w:t>
      </w:r>
    </w:p>
    <w:p w:rsidR="00E815D7" w:rsidRDefault="00E815D7">
      <w:pPr>
        <w:ind w:firstLine="624"/>
        <w:rPr>
          <w:rFonts w:ascii="仿宋_GB2312" w:hint="eastAsia"/>
          <w:b/>
          <w:szCs w:val="30"/>
        </w:rPr>
      </w:pPr>
      <w:r>
        <w:rPr>
          <w:rFonts w:ascii="仿宋_GB2312" w:hint="eastAsia"/>
          <w:b/>
          <w:szCs w:val="30"/>
        </w:rPr>
        <w:t>第九条  外汇局各市中心支局、县（市）支局发现辖内出现本办法第五条所列情形的，应当填写《提请审定执行“不申报、不解付”特殊处理措施机构主体明细表》（附2）逐级报送至外汇局江苏省分局，由外汇局江苏省分局审核决定是否执行“不申报、不解付”特殊处理措施。</w:t>
      </w:r>
    </w:p>
    <w:p w:rsidR="00E815D7" w:rsidRDefault="00E815D7">
      <w:pPr>
        <w:ind w:firstLine="624"/>
        <w:rPr>
          <w:rFonts w:ascii="仿宋_GB2312" w:hint="eastAsia"/>
          <w:b/>
          <w:szCs w:val="30"/>
        </w:rPr>
      </w:pPr>
      <w:r>
        <w:rPr>
          <w:rFonts w:ascii="仿宋_GB2312" w:hint="eastAsia"/>
          <w:b/>
          <w:szCs w:val="30"/>
        </w:rPr>
        <w:t>第十条  对于被执行“不申报、不解付”特殊处理措施的机构申报主体，经办银行和机构申报主体应当按照以下规定办理：</w:t>
      </w:r>
    </w:p>
    <w:p w:rsidR="00E815D7" w:rsidRDefault="00E815D7">
      <w:pPr>
        <w:ind w:firstLine="624"/>
        <w:rPr>
          <w:rFonts w:ascii="仿宋_GB2312" w:hint="eastAsia"/>
          <w:b/>
          <w:szCs w:val="30"/>
        </w:rPr>
      </w:pPr>
      <w:r>
        <w:rPr>
          <w:rFonts w:ascii="仿宋_GB2312" w:hint="eastAsia"/>
          <w:b/>
          <w:szCs w:val="30"/>
        </w:rPr>
        <w:t>（一）经办银行应当督促该机构申报主体首先逐笔补报其此前未按期申报的涉外收入款项，并通知其应以纸质申报方式完成其被执行特殊处理措施期间新收款项的申报。</w:t>
      </w:r>
    </w:p>
    <w:p w:rsidR="00E815D7" w:rsidRDefault="00E815D7">
      <w:pPr>
        <w:ind w:firstLine="624"/>
        <w:rPr>
          <w:rFonts w:ascii="仿宋_GB2312" w:hint="eastAsia"/>
          <w:b/>
          <w:szCs w:val="30"/>
        </w:rPr>
      </w:pPr>
      <w:r>
        <w:rPr>
          <w:rFonts w:ascii="仿宋_GB2312" w:hint="eastAsia"/>
          <w:b/>
          <w:szCs w:val="30"/>
        </w:rPr>
        <w:t>（二）机构申报主体应通过纸质申报方式或网上申报方式补报此前未按期申报的涉外收入款项，履行补报义务后应向经办银行所在地外汇局提交《关于涉外收入逾期未申报信息补报情况的报告》（附3）。</w:t>
      </w:r>
    </w:p>
    <w:p w:rsidR="00E815D7" w:rsidRDefault="00E815D7">
      <w:pPr>
        <w:ind w:firstLine="624"/>
        <w:rPr>
          <w:rFonts w:ascii="仿宋_GB2312" w:hint="eastAsia"/>
          <w:b/>
          <w:szCs w:val="30"/>
        </w:rPr>
      </w:pPr>
      <w:r>
        <w:rPr>
          <w:rFonts w:ascii="仿宋_GB2312" w:hint="eastAsia"/>
          <w:b/>
          <w:szCs w:val="30"/>
        </w:rPr>
        <w:t>（三）经办银行所在地外汇局应查询国际收支网上申报系统（外汇局版），核实申报信息补报情况，并将机构申报主体提交的《关于涉外收入逾期未申报信息补报情况的报告》传真至外汇</w:t>
      </w:r>
      <w:r>
        <w:rPr>
          <w:rFonts w:ascii="仿宋_GB2312" w:hint="eastAsia"/>
          <w:b/>
          <w:szCs w:val="30"/>
        </w:rPr>
        <w:lastRenderedPageBreak/>
        <w:t>局江苏省分局，由外汇局江苏省分局向该主体核发《国家外汇管理局江苏省分局国际收支统计间接申报补报确认书》（附4）。</w:t>
      </w:r>
    </w:p>
    <w:p w:rsidR="00E815D7" w:rsidRDefault="00E815D7">
      <w:pPr>
        <w:ind w:firstLine="624"/>
        <w:rPr>
          <w:rFonts w:ascii="仿宋_GB2312" w:hint="eastAsia"/>
          <w:b/>
          <w:szCs w:val="30"/>
        </w:rPr>
      </w:pPr>
      <w:r>
        <w:rPr>
          <w:rFonts w:ascii="仿宋_GB2312" w:hint="eastAsia"/>
          <w:b/>
          <w:szCs w:val="30"/>
        </w:rPr>
        <w:t>（四）机构申报主体应当以纸质申报方式完成被执行特殊处理措施期间新收款项的申报。经办银行审核无误后，凭该申报主体提供的外汇局为其出具的《国家外汇管理局江苏省分局国际收支统计间接申报补报确认书》，方可为其办理该笔新收涉外收入款项的解付手续，并完成基础信息和申报信息的报送。</w:t>
      </w:r>
    </w:p>
    <w:p w:rsidR="00E815D7" w:rsidRDefault="00E815D7">
      <w:pPr>
        <w:ind w:firstLine="624"/>
        <w:rPr>
          <w:rFonts w:ascii="仿宋_GB2312"/>
          <w:b/>
          <w:szCs w:val="30"/>
        </w:rPr>
      </w:pPr>
      <w:r>
        <w:rPr>
          <w:rFonts w:ascii="仿宋_GB2312" w:hint="eastAsia"/>
          <w:b/>
          <w:szCs w:val="30"/>
        </w:rPr>
        <w:t>第十一条  外汇局江苏省分局、各市中心支局、各县（市）支局应当建立“不申报、不解付”特殊处理措施档案，并妥善保存，留存期限为12个月。</w:t>
      </w:r>
    </w:p>
    <w:p w:rsidR="00E815D7" w:rsidRDefault="00E815D7">
      <w:pPr>
        <w:spacing w:line="480" w:lineRule="auto"/>
        <w:jc w:val="center"/>
        <w:rPr>
          <w:rFonts w:ascii="方正黑体_GBK" w:eastAsia="方正黑体_GBK" w:hint="eastAsia"/>
          <w:b/>
          <w:sz w:val="32"/>
          <w:szCs w:val="32"/>
        </w:rPr>
      </w:pPr>
      <w:r>
        <w:rPr>
          <w:rFonts w:ascii="方正黑体_GBK" w:eastAsia="方正黑体_GBK" w:hint="eastAsia"/>
          <w:b/>
          <w:sz w:val="32"/>
          <w:szCs w:val="32"/>
        </w:rPr>
        <w:t>第四章  附  则</w:t>
      </w:r>
    </w:p>
    <w:p w:rsidR="00E815D7" w:rsidRDefault="00E815D7">
      <w:pPr>
        <w:ind w:firstLine="624"/>
        <w:rPr>
          <w:rFonts w:ascii="仿宋_GB2312" w:hint="eastAsia"/>
          <w:b/>
          <w:szCs w:val="30"/>
        </w:rPr>
      </w:pPr>
      <w:r>
        <w:rPr>
          <w:rFonts w:ascii="仿宋_GB2312" w:hint="eastAsia"/>
          <w:b/>
          <w:szCs w:val="30"/>
        </w:rPr>
        <w:t>第十二条  机构申报主体被执行“不申报、不解付”特殊处理措施期间，未按照《通过金融机构进行国际收支统计申报业务操作规程》和本办法规定履行补报义务的，外汇局江苏省分局对其继续执行“不申报、不解付”特殊处理措施，或根据《中华人民共和国外汇管理条例》有关规定进行处罚。</w:t>
      </w:r>
    </w:p>
    <w:p w:rsidR="00E815D7" w:rsidRDefault="00E815D7">
      <w:pPr>
        <w:ind w:firstLine="624"/>
        <w:rPr>
          <w:rFonts w:ascii="仿宋_GB2312" w:hint="eastAsia"/>
          <w:b/>
          <w:szCs w:val="30"/>
        </w:rPr>
      </w:pPr>
      <w:r>
        <w:rPr>
          <w:rFonts w:ascii="仿宋_GB2312" w:hint="eastAsia"/>
          <w:b/>
          <w:szCs w:val="30"/>
        </w:rPr>
        <w:t>第十三条  外汇局江苏省分局辖内各外汇指定银行未按照外汇局规定执行对机构申报主体的“不申报、不解付”特殊处理措施的，依照《中华人民共和国外汇管理条例》及其他有关规定进行处罚。</w:t>
      </w:r>
    </w:p>
    <w:p w:rsidR="00E815D7" w:rsidRDefault="00E815D7">
      <w:pPr>
        <w:ind w:firstLine="624"/>
        <w:rPr>
          <w:rFonts w:ascii="仿宋_GB2312" w:hint="eastAsia"/>
          <w:b/>
          <w:szCs w:val="30"/>
        </w:rPr>
      </w:pPr>
      <w:r>
        <w:rPr>
          <w:rFonts w:ascii="仿宋_GB2312" w:hint="eastAsia"/>
          <w:b/>
          <w:szCs w:val="30"/>
        </w:rPr>
        <w:t>第十四条  本办法由外汇局江苏省分局负责解释。</w:t>
      </w:r>
    </w:p>
    <w:p w:rsidR="00E815D7" w:rsidRDefault="00E815D7">
      <w:pPr>
        <w:ind w:firstLine="624"/>
        <w:rPr>
          <w:rFonts w:ascii="仿宋_GB2312" w:hint="eastAsia"/>
          <w:b/>
          <w:szCs w:val="30"/>
        </w:rPr>
      </w:pPr>
      <w:r>
        <w:rPr>
          <w:rFonts w:ascii="仿宋_GB2312" w:hint="eastAsia"/>
          <w:b/>
          <w:szCs w:val="30"/>
        </w:rPr>
        <w:t>第十五条  本办法自发布之日起施行。</w:t>
      </w:r>
    </w:p>
    <w:p w:rsidR="00E815D7" w:rsidRDefault="00E815D7">
      <w:pPr>
        <w:ind w:firstLine="624"/>
        <w:rPr>
          <w:rFonts w:ascii="仿宋_GB2312" w:hint="eastAsia"/>
          <w:b/>
          <w:szCs w:val="30"/>
        </w:rPr>
      </w:pPr>
    </w:p>
    <w:p w:rsidR="00E815D7" w:rsidRDefault="00E815D7">
      <w:pPr>
        <w:ind w:leftChars="197" w:left="1887" w:hangingChars="400" w:hanging="1265"/>
        <w:rPr>
          <w:rFonts w:ascii="仿宋_GB2312" w:hint="eastAsia"/>
          <w:b/>
          <w:szCs w:val="30"/>
        </w:rPr>
      </w:pPr>
      <w:r>
        <w:rPr>
          <w:rFonts w:ascii="仿宋_GB2312" w:hint="eastAsia"/>
          <w:b/>
          <w:szCs w:val="30"/>
        </w:rPr>
        <w:t>附：1．关于对部分机构申报主体执行“不申报、不解付”特</w:t>
      </w:r>
    </w:p>
    <w:p w:rsidR="00E815D7" w:rsidRDefault="00E815D7">
      <w:pPr>
        <w:ind w:firstLineChars="536" w:firstLine="1695"/>
        <w:rPr>
          <w:rFonts w:ascii="仿宋_GB2312" w:hint="eastAsia"/>
          <w:b/>
          <w:szCs w:val="30"/>
        </w:rPr>
      </w:pPr>
      <w:r>
        <w:rPr>
          <w:rFonts w:ascii="仿宋_GB2312" w:hint="eastAsia"/>
          <w:b/>
          <w:szCs w:val="30"/>
        </w:rPr>
        <w:lastRenderedPageBreak/>
        <w:t>殊处理措施的通知</w:t>
      </w:r>
    </w:p>
    <w:p w:rsidR="00E815D7" w:rsidRDefault="00E815D7">
      <w:pPr>
        <w:ind w:leftChars="397" w:left="1886" w:hangingChars="200" w:hanging="632"/>
        <w:rPr>
          <w:rFonts w:ascii="仿宋_GB2312" w:hint="eastAsia"/>
          <w:b/>
          <w:szCs w:val="30"/>
        </w:rPr>
      </w:pPr>
      <w:r>
        <w:rPr>
          <w:rFonts w:ascii="仿宋_GB2312" w:hint="eastAsia"/>
          <w:b/>
          <w:szCs w:val="30"/>
        </w:rPr>
        <w:t>2．提请审定执行“不申报、不解付”特殊处理措施机构</w:t>
      </w:r>
    </w:p>
    <w:p w:rsidR="00E815D7" w:rsidRDefault="00E815D7">
      <w:pPr>
        <w:ind w:firstLineChars="531" w:firstLine="1679"/>
        <w:rPr>
          <w:rFonts w:ascii="仿宋_GB2312" w:hint="eastAsia"/>
          <w:b/>
          <w:szCs w:val="30"/>
        </w:rPr>
      </w:pPr>
      <w:r>
        <w:rPr>
          <w:rFonts w:ascii="仿宋_GB2312" w:hint="eastAsia"/>
          <w:b/>
          <w:szCs w:val="30"/>
        </w:rPr>
        <w:t>主体明细表</w:t>
      </w:r>
    </w:p>
    <w:p w:rsidR="00E815D7" w:rsidRDefault="00E815D7">
      <w:pPr>
        <w:ind w:leftChars="397" w:left="1886" w:hangingChars="200" w:hanging="632"/>
        <w:rPr>
          <w:rFonts w:ascii="仿宋_GB2312" w:hint="eastAsia"/>
          <w:b/>
          <w:szCs w:val="30"/>
        </w:rPr>
      </w:pPr>
      <w:r>
        <w:rPr>
          <w:rFonts w:ascii="仿宋_GB2312" w:hint="eastAsia"/>
          <w:b/>
          <w:szCs w:val="30"/>
        </w:rPr>
        <w:t>3</w:t>
      </w:r>
      <w:r>
        <w:rPr>
          <w:rFonts w:ascii="仿宋_GB2312" w:hint="eastAsia"/>
          <w:b/>
          <w:spacing w:val="-32"/>
          <w:szCs w:val="30"/>
        </w:rPr>
        <w:t>．</w:t>
      </w:r>
      <w:r>
        <w:rPr>
          <w:rFonts w:ascii="仿宋_GB2312" w:hint="eastAsia"/>
          <w:b/>
          <w:szCs w:val="30"/>
        </w:rPr>
        <w:t>关于涉外收入逾期未申报信息补报情况的报告</w:t>
      </w:r>
    </w:p>
    <w:p w:rsidR="00E815D7" w:rsidRDefault="00E815D7">
      <w:pPr>
        <w:ind w:leftChars="403" w:left="1883" w:hangingChars="193" w:hanging="610"/>
        <w:rPr>
          <w:rFonts w:ascii="仿宋_GB2312" w:hint="eastAsia"/>
          <w:b/>
          <w:szCs w:val="30"/>
        </w:rPr>
      </w:pPr>
      <w:r>
        <w:rPr>
          <w:rFonts w:ascii="仿宋_GB2312" w:hint="eastAsia"/>
          <w:b/>
          <w:szCs w:val="30"/>
        </w:rPr>
        <w:t>4</w:t>
      </w:r>
      <w:r>
        <w:rPr>
          <w:rFonts w:ascii="仿宋_GB2312" w:hint="eastAsia"/>
          <w:b/>
          <w:spacing w:val="-30"/>
          <w:szCs w:val="30"/>
        </w:rPr>
        <w:t>．</w:t>
      </w:r>
      <w:r>
        <w:rPr>
          <w:rFonts w:ascii="仿宋_GB2312" w:hint="eastAsia"/>
          <w:b/>
          <w:spacing w:val="-4"/>
          <w:szCs w:val="30"/>
        </w:rPr>
        <w:t>国家外汇管理局江苏省分局国际收支统计间接申报</w:t>
      </w:r>
      <w:r>
        <w:rPr>
          <w:rFonts w:ascii="仿宋_GB2312" w:hint="eastAsia"/>
          <w:b/>
          <w:szCs w:val="30"/>
        </w:rPr>
        <w:t>补</w:t>
      </w:r>
    </w:p>
    <w:p w:rsidR="00E815D7" w:rsidRDefault="00E815D7">
      <w:pPr>
        <w:ind w:leftChars="537" w:left="1886" w:hangingChars="60" w:hanging="190"/>
        <w:rPr>
          <w:rFonts w:ascii="仿宋_GB2312" w:hint="eastAsia"/>
          <w:b/>
          <w:szCs w:val="30"/>
        </w:rPr>
      </w:pPr>
      <w:r>
        <w:rPr>
          <w:rFonts w:ascii="仿宋_GB2312" w:hint="eastAsia"/>
          <w:b/>
          <w:szCs w:val="30"/>
        </w:rPr>
        <w:t>报确认书</w:t>
      </w:r>
    </w:p>
    <w:p w:rsidR="00E815D7" w:rsidRDefault="00E815D7">
      <w:pPr>
        <w:pStyle w:val="20"/>
        <w:snapToGrid w:val="0"/>
        <w:spacing w:line="0" w:lineRule="atLeast"/>
        <w:rPr>
          <w:rFonts w:ascii="方正书宋_GBK" w:eastAsia="方正书宋_GBK" w:hint="eastAsia"/>
          <w:sz w:val="10"/>
          <w:u w:val="single"/>
        </w:rPr>
      </w:pPr>
    </w:p>
    <w:sectPr w:rsidR="00E815D7">
      <w:footerReference w:type="even" r:id="rId7"/>
      <w:footerReference w:type="default" r:id="rId8"/>
      <w:pgSz w:w="11906" w:h="16838" w:code="9"/>
      <w:pgMar w:top="2098" w:right="1531" w:bottom="1701" w:left="1531" w:header="1191" w:footer="1361" w:gutter="0"/>
      <w:cols w:space="425"/>
      <w:docGrid w:type="linesAndChars" w:linePitch="515" w:charSpace="3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3E" w:rsidRDefault="00EC7B3E">
      <w:r>
        <w:separator/>
      </w:r>
    </w:p>
  </w:endnote>
  <w:endnote w:type="continuationSeparator" w:id="1">
    <w:p w:rsidR="00EC7B3E" w:rsidRDefault="00EC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_GBK">
    <w:altName w:val="宋体-方正超大字符集"/>
    <w:charset w:val="86"/>
    <w:family w:val="script"/>
    <w:pitch w:val="fixed"/>
    <w:sig w:usb0="00000001" w:usb1="080E0000" w:usb2="00000010" w:usb3="00000000" w:csb0="00040000" w:csb1="00000000"/>
  </w:font>
  <w:font w:name="方正楷体_GBK">
    <w:altName w:val="宋体-方正超大字符集"/>
    <w:charset w:val="86"/>
    <w:family w:val="script"/>
    <w:pitch w:val="fixed"/>
    <w:sig w:usb0="00000001" w:usb1="080E0000" w:usb2="00000010" w:usb3="00000000" w:csb0="00040000" w:csb1="00000000"/>
  </w:font>
  <w:font w:name="方正黑体_GBK">
    <w:altName w:val="宋体-方正超大字符集"/>
    <w:charset w:val="86"/>
    <w:family w:val="script"/>
    <w:pitch w:val="fixed"/>
    <w:sig w:usb0="00000001" w:usb1="080E0000" w:usb2="00000010" w:usb3="00000000" w:csb0="00040000" w:csb1="00000000"/>
  </w:font>
  <w:font w:name="方正书宋_GBK">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D7" w:rsidRDefault="00E815D7">
    <w:pPr>
      <w:pStyle w:val="a4"/>
      <w:framePr w:w="1083" w:h="301" w:hRule="exact" w:wrap="around" w:vAnchor="text" w:hAnchor="page" w:x="1844" w:y="-29"/>
      <w:rPr>
        <w:rStyle w:val="a5"/>
        <w:sz w:val="24"/>
      </w:rPr>
    </w:pPr>
    <w:r>
      <w:rPr>
        <w:rStyle w:val="a5"/>
        <w:rFonts w:ascii="仿宋_GB2312" w:hint="eastAsia"/>
        <w:sz w:val="24"/>
      </w:rPr>
      <w:t xml:space="preserve"> —</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E57B5F">
      <w:rPr>
        <w:rStyle w:val="a5"/>
        <w:rFonts w:ascii="宋体"/>
        <w:noProof/>
        <w:sz w:val="24"/>
      </w:rPr>
      <w:t>2</w:t>
    </w:r>
    <w:r>
      <w:rPr>
        <w:rStyle w:val="a5"/>
        <w:rFonts w:ascii="宋体"/>
        <w:sz w:val="24"/>
      </w:rPr>
      <w:fldChar w:fldCharType="end"/>
    </w:r>
    <w:r>
      <w:rPr>
        <w:rStyle w:val="a5"/>
        <w:sz w:val="24"/>
      </w:rPr>
      <w:t xml:space="preserve"> </w:t>
    </w:r>
    <w:r>
      <w:rPr>
        <w:rStyle w:val="a5"/>
        <w:rFonts w:ascii="仿宋_GB2312" w:hint="eastAsia"/>
        <w:sz w:val="24"/>
      </w:rPr>
      <w:t>—</w:t>
    </w:r>
  </w:p>
  <w:p w:rsidR="00E815D7" w:rsidRDefault="00E815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D7" w:rsidRDefault="00E815D7">
    <w:pPr>
      <w:pStyle w:val="a4"/>
      <w:framePr w:w="1247" w:h="234" w:hRule="exact" w:wrap="around" w:vAnchor="text" w:hAnchor="page" w:x="8864" w:y="-14"/>
      <w:jc w:val="center"/>
      <w:rPr>
        <w:rStyle w:val="a5"/>
        <w:sz w:val="24"/>
      </w:rPr>
    </w:pPr>
    <w:r>
      <w:rPr>
        <w:rStyle w:val="a5"/>
        <w:rFonts w:ascii="仿宋_GB2312" w:hint="eastAsia"/>
        <w:sz w:val="24"/>
      </w:rPr>
      <w:t>—</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E57B5F">
      <w:rPr>
        <w:rStyle w:val="a5"/>
        <w:rFonts w:ascii="宋体"/>
        <w:noProof/>
        <w:sz w:val="24"/>
      </w:rPr>
      <w:t>1</w:t>
    </w:r>
    <w:r>
      <w:rPr>
        <w:rStyle w:val="a5"/>
        <w:rFonts w:ascii="宋体"/>
        <w:sz w:val="24"/>
      </w:rPr>
      <w:fldChar w:fldCharType="end"/>
    </w:r>
    <w:r>
      <w:rPr>
        <w:rStyle w:val="a5"/>
        <w:sz w:val="24"/>
      </w:rPr>
      <w:t xml:space="preserve"> </w:t>
    </w:r>
    <w:r>
      <w:rPr>
        <w:rStyle w:val="a5"/>
        <w:rFonts w:ascii="仿宋_GB2312" w:hint="eastAsia"/>
        <w:sz w:val="24"/>
      </w:rPr>
      <w:t>—</w:t>
    </w:r>
  </w:p>
  <w:p w:rsidR="00E815D7" w:rsidRDefault="00E815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3E" w:rsidRDefault="00EC7B3E">
      <w:r>
        <w:separator/>
      </w:r>
    </w:p>
  </w:footnote>
  <w:footnote w:type="continuationSeparator" w:id="1">
    <w:p w:rsidR="00EC7B3E" w:rsidRDefault="00EC7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593"/>
    <w:multiLevelType w:val="singleLevel"/>
    <w:tmpl w:val="4B72E512"/>
    <w:lvl w:ilvl="0">
      <w:start w:val="1"/>
      <w:numFmt w:val="decimal"/>
      <w:lvlText w:val="%1、"/>
      <w:lvlJc w:val="left"/>
      <w:pPr>
        <w:tabs>
          <w:tab w:val="num" w:pos="1230"/>
        </w:tabs>
        <w:ind w:left="1230" w:hanging="495"/>
      </w:pPr>
      <w:rPr>
        <w:rFonts w:hint="eastAsia"/>
      </w:rPr>
    </w:lvl>
  </w:abstractNum>
  <w:abstractNum w:abstractNumId="1">
    <w:nsid w:val="190E6757"/>
    <w:multiLevelType w:val="multilevel"/>
    <w:tmpl w:val="FD9AB572"/>
    <w:lvl w:ilvl="0">
      <w:start w:val="1"/>
      <w:numFmt w:val="chineseCountingThousand"/>
      <w:suff w:val="space"/>
      <w:lvlText w:val="第%1条"/>
      <w:lvlJc w:val="left"/>
      <w:pPr>
        <w:ind w:left="0" w:firstLine="567"/>
      </w:pPr>
      <w:rPr>
        <w:rFonts w:eastAsia="华文仿宋" w:hint="eastAsia"/>
        <w:b/>
        <w:i w:val="0"/>
        <w:sz w:val="30"/>
        <w:szCs w:val="28"/>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1E9155E1"/>
    <w:multiLevelType w:val="singleLevel"/>
    <w:tmpl w:val="0409000F"/>
    <w:lvl w:ilvl="0">
      <w:start w:val="1"/>
      <w:numFmt w:val="decimal"/>
      <w:lvlText w:val="%1."/>
      <w:lvlJc w:val="left"/>
      <w:pPr>
        <w:tabs>
          <w:tab w:val="num" w:pos="425"/>
        </w:tabs>
        <w:ind w:left="425" w:hanging="425"/>
      </w:pPr>
    </w:lvl>
  </w:abstractNum>
  <w:abstractNum w:abstractNumId="3">
    <w:nsid w:val="3AE77331"/>
    <w:multiLevelType w:val="singleLevel"/>
    <w:tmpl w:val="C91E1954"/>
    <w:lvl w:ilvl="0">
      <w:start w:val="1"/>
      <w:numFmt w:val="decimal"/>
      <w:lvlText w:val="%1、"/>
      <w:lvlJc w:val="left"/>
      <w:pPr>
        <w:tabs>
          <w:tab w:val="num" w:pos="1095"/>
        </w:tabs>
        <w:ind w:left="1095" w:hanging="480"/>
      </w:pPr>
      <w:rPr>
        <w:rFonts w:ascii="楷体_GB2312" w:hint="eastAsia"/>
      </w:rPr>
    </w:lvl>
  </w:abstractNum>
  <w:abstractNum w:abstractNumId="4">
    <w:nsid w:val="43E26814"/>
    <w:multiLevelType w:val="singleLevel"/>
    <w:tmpl w:val="13CE046A"/>
    <w:lvl w:ilvl="0">
      <w:start w:val="1"/>
      <w:numFmt w:val="decimal"/>
      <w:lvlText w:val="%1、"/>
      <w:lvlJc w:val="left"/>
      <w:pPr>
        <w:tabs>
          <w:tab w:val="num" w:pos="1380"/>
        </w:tabs>
        <w:ind w:left="1380" w:hanging="720"/>
      </w:pPr>
      <w:rPr>
        <w:rFonts w:hint="eastAsia"/>
      </w:rPr>
    </w:lvl>
  </w:abstractNum>
  <w:abstractNum w:abstractNumId="5">
    <w:nsid w:val="525841C0"/>
    <w:multiLevelType w:val="singleLevel"/>
    <w:tmpl w:val="3E744D28"/>
    <w:lvl w:ilvl="0">
      <w:start w:val="1"/>
      <w:numFmt w:val="decimal"/>
      <w:lvlText w:val="%1、"/>
      <w:lvlJc w:val="left"/>
      <w:pPr>
        <w:tabs>
          <w:tab w:val="num" w:pos="1095"/>
        </w:tabs>
        <w:ind w:left="1095" w:hanging="480"/>
      </w:pPr>
      <w:rPr>
        <w:rFonts w:hint="eastAsia"/>
      </w:rPr>
    </w:lvl>
  </w:abstractNum>
  <w:abstractNum w:abstractNumId="6">
    <w:nsid w:val="541E3EA7"/>
    <w:multiLevelType w:val="singleLevel"/>
    <w:tmpl w:val="BD306F5E"/>
    <w:lvl w:ilvl="0">
      <w:start w:val="1"/>
      <w:numFmt w:val="japaneseCounting"/>
      <w:lvlText w:val="%1、"/>
      <w:lvlJc w:val="left"/>
      <w:pPr>
        <w:tabs>
          <w:tab w:val="num" w:pos="1455"/>
        </w:tabs>
        <w:ind w:left="1455" w:hanging="720"/>
      </w:pPr>
      <w:rPr>
        <w:rFonts w:hint="eastAsia"/>
      </w:rPr>
    </w:lvl>
  </w:abstractNum>
  <w:abstractNum w:abstractNumId="7">
    <w:nsid w:val="65651F0A"/>
    <w:multiLevelType w:val="singleLevel"/>
    <w:tmpl w:val="E946D2F6"/>
    <w:lvl w:ilvl="0">
      <w:start w:val="1"/>
      <w:numFmt w:val="decimal"/>
      <w:lvlText w:val="%1、"/>
      <w:lvlJc w:val="left"/>
      <w:pPr>
        <w:tabs>
          <w:tab w:val="num" w:pos="1335"/>
        </w:tabs>
        <w:ind w:left="1335" w:hanging="720"/>
      </w:pPr>
      <w:rPr>
        <w:rFonts w:hint="eastAsia"/>
      </w:rPr>
    </w:lvl>
  </w:abstractNum>
  <w:abstractNum w:abstractNumId="8">
    <w:nsid w:val="681E1869"/>
    <w:multiLevelType w:val="singleLevel"/>
    <w:tmpl w:val="5600C382"/>
    <w:lvl w:ilvl="0">
      <w:start w:val="1"/>
      <w:numFmt w:val="decimal"/>
      <w:lvlText w:val="%1、"/>
      <w:lvlJc w:val="left"/>
      <w:pPr>
        <w:tabs>
          <w:tab w:val="num" w:pos="1200"/>
        </w:tabs>
        <w:ind w:left="1200" w:hanging="465"/>
      </w:pPr>
      <w:rPr>
        <w:rFonts w:hint="eastAsia"/>
      </w:rPr>
    </w:lvl>
  </w:abstractNum>
  <w:num w:numId="1">
    <w:abstractNumId w:val="2"/>
  </w:num>
  <w:num w:numId="2">
    <w:abstractNumId w:val="6"/>
  </w:num>
  <w:num w:numId="3">
    <w:abstractNumId w:val="8"/>
  </w:num>
  <w:num w:numId="4">
    <w:abstractNumId w:val="0"/>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stylePaneFormatFilter w:val="3F01"/>
  <w:defaultTabStop w:val="425"/>
  <w:evenAndOddHeaders/>
  <w:drawingGridHorizontalSpacing w:val="315"/>
  <w:drawingGridVerticalSpacing w:val="515"/>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Resoft_OriginalUserName" w:val="蔡彬"/>
  </w:docVars>
  <w:rsids>
    <w:rsidRoot w:val="00805F95"/>
    <w:rsid w:val="00805F95"/>
    <w:rsid w:val="00B04970"/>
    <w:rsid w:val="00E57B5F"/>
    <w:rsid w:val="00E815D7"/>
    <w:rsid w:val="00EC7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宋体" w:hAnsi="Courier New"/>
    </w:rPr>
  </w:style>
  <w:style w:type="paragraph" w:styleId="a4">
    <w:name w:val="footer"/>
    <w:basedOn w:val="a"/>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snapToGrid w:val="0"/>
      <w:ind w:left="1260" w:hanging="1260"/>
    </w:pPr>
    <w:rPr>
      <w:rFonts w:ascii="楷体_GB2312" w:eastAsia="楷体_GB2312"/>
      <w:sz w:val="24"/>
    </w:rPr>
  </w:style>
  <w:style w:type="paragraph" w:styleId="2">
    <w:name w:val="Body Text Indent 2"/>
    <w:basedOn w:val="a"/>
    <w:pPr>
      <w:ind w:firstLine="600"/>
    </w:pPr>
    <w:rPr>
      <w:rFonts w:ascii="仿宋_GB2312"/>
    </w:rPr>
  </w:style>
  <w:style w:type="paragraph" w:styleId="a8">
    <w:name w:val="Body Text"/>
    <w:basedOn w:val="a"/>
    <w:pPr>
      <w:snapToGrid w:val="0"/>
      <w:spacing w:line="260" w:lineRule="exact"/>
    </w:pPr>
    <w:rPr>
      <w:rFonts w:eastAsia="宋体"/>
      <w:sz w:val="21"/>
    </w:rPr>
  </w:style>
  <w:style w:type="paragraph" w:styleId="a9">
    <w:name w:val="Date"/>
    <w:basedOn w:val="a"/>
    <w:next w:val="a"/>
  </w:style>
  <w:style w:type="paragraph" w:customStyle="1" w:styleId="Date">
    <w:name w:val="Date"/>
    <w:basedOn w:val="a"/>
    <w:next w:val="a"/>
    <w:pPr>
      <w:autoSpaceDE w:val="0"/>
      <w:autoSpaceDN w:val="0"/>
      <w:adjustRightInd w:val="0"/>
      <w:textAlignment w:val="baseline"/>
    </w:pPr>
    <w:rPr>
      <w:rFonts w:eastAsia="宋体"/>
    </w:rPr>
  </w:style>
  <w:style w:type="paragraph" w:styleId="20">
    <w:name w:val="Body Text 2"/>
    <w:basedOn w:val="a"/>
    <w:pPr>
      <w:tabs>
        <w:tab w:val="right" w:pos="8505"/>
      </w:tabs>
    </w:pPr>
    <w:rPr>
      <w:rFonts w:ascii="仿宋_GB2312"/>
      <w:b/>
    </w:rPr>
  </w:style>
  <w:style w:type="paragraph" w:styleId="3">
    <w:name w:val="Body Text 3"/>
    <w:basedOn w:val="a"/>
    <w:pPr>
      <w:tabs>
        <w:tab w:val="right" w:pos="8505"/>
      </w:tabs>
      <w:snapToGrid w:val="0"/>
      <w:spacing w:line="500" w:lineRule="atLeast"/>
      <w:jc w:val="center"/>
    </w:pPr>
    <w:rPr>
      <w:rFonts w:ascii="方正小标宋_GBK" w:eastAsia="方正小标宋_GBK"/>
      <w:sz w:val="38"/>
    </w:rPr>
  </w:style>
  <w:style w:type="paragraph" w:styleId="aa">
    <w:name w:val="Balloon Text"/>
    <w:basedOn w:val="a"/>
    <w:semiHidden/>
    <w:rsid w:val="00805F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oft\WebO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WebOA.dot</Template>
  <TotalTime>0</TotalTime>
  <Pages>6</Pages>
  <Words>404</Words>
  <Characters>2309</Characters>
  <Application>Microsoft Office Word</Application>
  <DocSecurity>0</DocSecurity>
  <Lines>19</Lines>
  <Paragraphs>5</Paragraphs>
  <ScaleCrop>false</ScaleCrop>
  <Company>中国人民银行办公厅</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1998年10月3日朱总理在工商银行扬州分行邗江支行白鹤储蓄所计算机盗窃案的报告上批示：这是一个信号，我们的银行家要抓电脑技术，不能落在犯罪分子的后面</dc:title>
  <dc:subject/>
  <dc:creator>WANG ZHENG</dc:creator>
  <cp:keywords/>
  <cp:lastModifiedBy>wrxn</cp:lastModifiedBy>
  <cp:revision>2</cp:revision>
  <cp:lastPrinted>2011-04-08T03:09:00Z</cp:lastPrinted>
  <dcterms:created xsi:type="dcterms:W3CDTF">2015-06-08T06:14:00Z</dcterms:created>
  <dcterms:modified xsi:type="dcterms:W3CDTF">2015-06-08T06:14:00Z</dcterms:modified>
</cp:coreProperties>
</file>