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364" w:rsidRDefault="00F91364">
      <w:pPr>
        <w:tabs>
          <w:tab w:val="right" w:pos="8505"/>
        </w:tabs>
        <w:snapToGrid w:val="0"/>
        <w:spacing w:line="500" w:lineRule="atLeast"/>
        <w:jc w:val="center"/>
        <w:rPr>
          <w:rFonts w:ascii="方正小标宋_GBK" w:eastAsia="方正小标宋_GBK" w:hint="eastAsia"/>
          <w:sz w:val="40"/>
        </w:rPr>
      </w:pPr>
      <w:bookmarkStart w:id="0" w:name="TTitle_1"/>
      <w:bookmarkEnd w:id="0"/>
      <w:r>
        <w:rPr>
          <w:rFonts w:ascii="方正小标宋_GBK" w:eastAsia="方正小标宋_GBK" w:hint="eastAsia"/>
          <w:spacing w:val="-8"/>
          <w:sz w:val="40"/>
        </w:rPr>
        <w:t>国家外汇管理局江苏省分局关于开</w:t>
      </w:r>
      <w:r>
        <w:rPr>
          <w:rFonts w:ascii="方正小标宋_GBK" w:eastAsia="方正小标宋_GBK" w:hint="eastAsia"/>
          <w:sz w:val="40"/>
        </w:rPr>
        <w:t>展</w:t>
      </w:r>
    </w:p>
    <w:p w:rsidR="00F91364" w:rsidRDefault="00F91364">
      <w:pPr>
        <w:tabs>
          <w:tab w:val="right" w:pos="8505"/>
        </w:tabs>
        <w:snapToGrid w:val="0"/>
        <w:spacing w:line="500" w:lineRule="atLeast"/>
        <w:jc w:val="center"/>
        <w:rPr>
          <w:rFonts w:ascii="方正小标宋_GBK" w:eastAsia="方正小标宋_GBK" w:hint="eastAsia"/>
          <w:sz w:val="40"/>
        </w:rPr>
      </w:pPr>
      <w:r>
        <w:rPr>
          <w:rFonts w:ascii="方正小标宋_GBK" w:eastAsia="方正小标宋_GBK" w:hint="eastAsia"/>
          <w:spacing w:val="4"/>
          <w:sz w:val="40"/>
        </w:rPr>
        <w:t>银行贸易融资业务调查的通</w:t>
      </w:r>
      <w:r>
        <w:rPr>
          <w:rFonts w:ascii="方正小标宋_GBK" w:eastAsia="方正小标宋_GBK" w:hint="eastAsia"/>
          <w:sz w:val="40"/>
        </w:rPr>
        <w:t>知</w:t>
      </w:r>
    </w:p>
    <w:p w:rsidR="00F91364" w:rsidRDefault="00F91364">
      <w:pPr>
        <w:tabs>
          <w:tab w:val="right" w:pos="8505"/>
        </w:tabs>
        <w:rPr>
          <w:rFonts w:ascii="仿宋_GB2312" w:eastAsia="文鼎小标宋" w:hint="eastAsia"/>
          <w:b/>
        </w:rPr>
      </w:pPr>
    </w:p>
    <w:p w:rsidR="00F91364" w:rsidRDefault="00F91364">
      <w:pPr>
        <w:tabs>
          <w:tab w:val="right" w:pos="8505"/>
        </w:tabs>
        <w:rPr>
          <w:rFonts w:ascii="仿宋_GB2312" w:hint="eastAsia"/>
          <w:b/>
        </w:rPr>
      </w:pPr>
      <w:bookmarkStart w:id="1" w:name="TSendTo_1"/>
      <w:bookmarkEnd w:id="1"/>
      <w:r>
        <w:rPr>
          <w:rFonts w:ascii="仿宋_GB2312" w:hint="eastAsia"/>
          <w:b/>
        </w:rPr>
        <w:t>国家外汇管理局无锡、常州、苏州市中心支局，中国银行江苏省分行、中国工商银行江苏省分行、中国农业银行江苏省分行、中国建设银行江苏省分行、交通银行江苏省分行、中信银行南京分行、光大银行南京分行、招商银行南京分行、华夏银行南京分行、上海浦东发展银行南京分行、中国进出口银行江苏省分行、民生银行南京分行、恒丰银行南京分行、江苏银行、南京银行、渣打银行南京分行：</w:t>
      </w:r>
    </w:p>
    <w:p w:rsidR="00F91364" w:rsidRDefault="00F91364">
      <w:pPr>
        <w:tabs>
          <w:tab w:val="right" w:pos="8505"/>
        </w:tabs>
        <w:ind w:firstLine="624"/>
        <w:rPr>
          <w:rFonts w:ascii="仿宋_GB2312" w:hint="eastAsia"/>
          <w:b/>
        </w:rPr>
      </w:pPr>
      <w:bookmarkStart w:id="2" w:name="zw"/>
      <w:bookmarkEnd w:id="2"/>
      <w:r>
        <w:rPr>
          <w:rFonts w:ascii="仿宋_GB2312" w:hint="eastAsia"/>
          <w:b/>
        </w:rPr>
        <w:t>为及时、准确、全面反映江苏省辖内进出口企业通过境内银行进行贸易融资的情况，根据《国家外汇管理局综合司关于开展银行贸易融资业务调查的通知》（汇综发〔2011〕114号），我分局拟参照总局的调查制度自</w:t>
      </w:r>
      <w:smartTag w:uri="urn:schemas-microsoft-com:office:smarttags" w:element="chsdate">
        <w:smartTagPr>
          <w:attr w:name="Year" w:val="2012"/>
          <w:attr w:name="Month" w:val="1"/>
          <w:attr w:name="Day" w:val="1"/>
          <w:attr w:name="IsLunarDate" w:val="False"/>
          <w:attr w:name="IsROCDate" w:val="False"/>
        </w:smartTagPr>
        <w:r>
          <w:rPr>
            <w:rFonts w:ascii="仿宋_GB2312" w:hint="eastAsia"/>
            <w:b/>
          </w:rPr>
          <w:t>2012年1月1日</w:t>
        </w:r>
      </w:smartTag>
      <w:r>
        <w:rPr>
          <w:rFonts w:ascii="仿宋_GB2312" w:hint="eastAsia"/>
          <w:b/>
        </w:rPr>
        <w:t>起在辖内实施银行贸易融资统计。现就有关事项及要求通知如下：</w:t>
      </w:r>
    </w:p>
    <w:p w:rsidR="00F91364" w:rsidRDefault="00F91364">
      <w:pPr>
        <w:tabs>
          <w:tab w:val="right" w:pos="8505"/>
        </w:tabs>
        <w:ind w:firstLine="624"/>
        <w:rPr>
          <w:rFonts w:ascii="仿宋_GB2312" w:hint="eastAsia"/>
          <w:b/>
        </w:rPr>
      </w:pPr>
      <w:r>
        <w:rPr>
          <w:rFonts w:ascii="仿宋_GB2312" w:hint="eastAsia"/>
          <w:b/>
        </w:rPr>
        <w:t>一、中国银行江苏省分行、中国工商银行江苏省分行、中国农业银行江苏省分行、中国建设银行江苏省分行、交通银行江苏省分行、中信银行南京分行、光大银行南京分行、招商银行南京分行、华夏银行南京分行、上海浦东发展银行南京分行、中国进出口银行江苏省分行、民生银行南京分行、恒丰银行南京分行、江苏银行、南京银行、渣打银行南京分行应按照本通知及附件的要求向国家外汇管理局江苏省分局报送贸易融资业务信息；以上各外汇指定银行在省内除南京以外地区设立的一级分行应向当地中心支局报送贸易融资业务信息；江苏江阴农村商业银行、江苏常熟农村商业银行、江苏江南农村商业银行、张家港农村商业</w:t>
      </w:r>
      <w:r>
        <w:rPr>
          <w:rFonts w:ascii="仿宋_GB2312" w:hint="eastAsia"/>
          <w:b/>
        </w:rPr>
        <w:lastRenderedPageBreak/>
        <w:t>银行、江苏昆山农村商业银行应向当地中心支局报送贸易融资业务信息。本通知所提及的贸易融资业务信息包括电子数据和纸质报表（需签章）。</w:t>
      </w:r>
    </w:p>
    <w:p w:rsidR="00F91364" w:rsidRDefault="00F91364">
      <w:pPr>
        <w:tabs>
          <w:tab w:val="right" w:pos="8505"/>
        </w:tabs>
        <w:ind w:firstLine="624"/>
        <w:rPr>
          <w:rFonts w:ascii="仿宋_GB2312" w:hint="eastAsia"/>
          <w:b/>
        </w:rPr>
      </w:pPr>
      <w:r>
        <w:rPr>
          <w:rFonts w:ascii="仿宋_GB2312" w:hint="eastAsia"/>
          <w:b/>
        </w:rPr>
        <w:t>二、《银行贸易融资业务调查表》中“表一”和“表三”的报送频率为月度，在宁各外汇指定银行应于月后六个工作日内向分局国际收支处统计科报送，其他报送主体向当地中心支局报送，相关中心支局应于月后七个工作日内汇总报送至分局国际收支处统计科；“表二”及“表四”的报送频率为半年度，在宁各外汇指定银行应于一月和七月初的六个工作日内向分局国际收支处统计科报送，其他报送主体向当地中心支局报送，相关中心支局应于一月和七月初的七个工作日内汇总报送至分局国际收支处统计科。</w:t>
      </w:r>
    </w:p>
    <w:p w:rsidR="00F91364" w:rsidRDefault="00F91364">
      <w:pPr>
        <w:tabs>
          <w:tab w:val="right" w:pos="8505"/>
        </w:tabs>
        <w:ind w:firstLine="624"/>
        <w:rPr>
          <w:rFonts w:ascii="仿宋_GB2312" w:hint="eastAsia"/>
          <w:b/>
        </w:rPr>
      </w:pPr>
      <w:r>
        <w:rPr>
          <w:rFonts w:ascii="仿宋_GB2312" w:hint="eastAsia"/>
          <w:b/>
        </w:rPr>
        <w:t>三、本通知所提及的各外汇指定银行一级分行应汇总上报所辖分支机构的所有数据；各地方法人银行应区分是否设立省外分支机构，在省外设有分支机构的地方法人银行应报送两种口径的统计数据，一是所有分支机构的汇总数据，二是省内分支机构的汇总数据。</w:t>
      </w:r>
    </w:p>
    <w:p w:rsidR="00F91364" w:rsidRDefault="00F91364">
      <w:pPr>
        <w:tabs>
          <w:tab w:val="right" w:pos="8505"/>
        </w:tabs>
        <w:ind w:firstLine="624"/>
        <w:rPr>
          <w:rFonts w:ascii="仿宋_GB2312" w:hint="eastAsia"/>
          <w:b/>
        </w:rPr>
      </w:pPr>
      <w:r>
        <w:rPr>
          <w:rFonts w:ascii="仿宋_GB2312" w:hint="eastAsia"/>
          <w:b/>
        </w:rPr>
        <w:t>四、各外汇指定银行应认真负责地完成贸易融资业务统计与报送，确保数据全面、及时、准确。该项工作完成情况将纳入全年“银行执行外汇管理政策考核”。</w:t>
      </w:r>
    </w:p>
    <w:p w:rsidR="00F91364" w:rsidRDefault="00F91364">
      <w:pPr>
        <w:tabs>
          <w:tab w:val="right" w:pos="8505"/>
        </w:tabs>
        <w:ind w:firstLine="624"/>
        <w:rPr>
          <w:rFonts w:ascii="仿宋_GB2312" w:hint="eastAsia"/>
          <w:b/>
        </w:rPr>
      </w:pPr>
      <w:r>
        <w:rPr>
          <w:rFonts w:ascii="仿宋_GB2312" w:hint="eastAsia"/>
          <w:b/>
        </w:rPr>
        <w:t>五、国家外汇管理局江苏省分局可于每年年末根据实际情况调整下一年度报送主体。</w:t>
      </w:r>
    </w:p>
    <w:p w:rsidR="00F91364" w:rsidRDefault="00F91364">
      <w:pPr>
        <w:tabs>
          <w:tab w:val="right" w:pos="8505"/>
        </w:tabs>
        <w:ind w:firstLine="624"/>
        <w:rPr>
          <w:rFonts w:ascii="仿宋_GB2312" w:hint="eastAsia"/>
          <w:b/>
        </w:rPr>
      </w:pPr>
      <w:r>
        <w:rPr>
          <w:rFonts w:ascii="仿宋_GB2312" w:hint="eastAsia"/>
          <w:b/>
        </w:rPr>
        <w:t>六、无锡、常州、苏州市中心支局收到本通知后应及时转发至辖内相关外汇指定银行一级分行和地方法人银行。</w:t>
      </w:r>
    </w:p>
    <w:p w:rsidR="00F91364" w:rsidRDefault="00F91364">
      <w:pPr>
        <w:tabs>
          <w:tab w:val="right" w:pos="8505"/>
        </w:tabs>
        <w:ind w:firstLine="624"/>
        <w:rPr>
          <w:rFonts w:ascii="仿宋_GB2312"/>
          <w:b/>
        </w:rPr>
      </w:pPr>
      <w:r>
        <w:rPr>
          <w:rFonts w:ascii="仿宋_GB2312" w:hint="eastAsia"/>
          <w:b/>
        </w:rPr>
        <w:t>七、关于该项统计制度，如有疑问请与国家外汇管理局江苏</w:t>
      </w:r>
      <w:r>
        <w:rPr>
          <w:rFonts w:ascii="仿宋_GB2312" w:hint="eastAsia"/>
          <w:b/>
        </w:rPr>
        <w:lastRenderedPageBreak/>
        <w:t>省分局国际收支处联系。联系人：马玉娟（025-84790127），史英凤（025-84790177），赵彦哲（025-84790235）。</w:t>
      </w:r>
    </w:p>
    <w:p w:rsidR="00F91364" w:rsidRDefault="00F91364">
      <w:pPr>
        <w:tabs>
          <w:tab w:val="right" w:pos="8505"/>
        </w:tabs>
        <w:ind w:firstLine="624"/>
        <w:rPr>
          <w:rFonts w:ascii="仿宋_GB2312" w:hint="eastAsia"/>
          <w:b/>
        </w:rPr>
      </w:pPr>
    </w:p>
    <w:p w:rsidR="00F91364" w:rsidRDefault="00F91364">
      <w:pPr>
        <w:ind w:firstLine="624"/>
        <w:rPr>
          <w:rFonts w:ascii="仿宋_GB2312" w:hint="eastAsia"/>
          <w:b/>
        </w:rPr>
      </w:pPr>
      <w:r>
        <w:rPr>
          <w:rFonts w:ascii="仿宋_GB2312" w:hint="eastAsia"/>
          <w:b/>
        </w:rPr>
        <w:t>附件：</w:t>
      </w:r>
      <w:bookmarkStart w:id="3" w:name="TAttachment_1"/>
      <w:bookmarkEnd w:id="3"/>
      <w:r>
        <w:rPr>
          <w:rFonts w:ascii="仿宋_GB2312" w:hAnsi="Courier New" w:hint="eastAsia"/>
          <w:b/>
        </w:rPr>
        <w:t>银行贸易融资业务调查表</w:t>
      </w:r>
    </w:p>
    <w:p w:rsidR="00F91364" w:rsidRDefault="00F91364">
      <w:pPr>
        <w:ind w:firstLine="624"/>
        <w:rPr>
          <w:rFonts w:ascii="仿宋_GB2312" w:hint="eastAsia"/>
          <w:b/>
        </w:rPr>
      </w:pPr>
    </w:p>
    <w:p w:rsidR="00F91364" w:rsidRDefault="00F91364">
      <w:pPr>
        <w:ind w:firstLine="624"/>
        <w:rPr>
          <w:rFonts w:ascii="仿宋_GB2312" w:hint="eastAsia"/>
          <w:b/>
        </w:rPr>
      </w:pPr>
    </w:p>
    <w:p w:rsidR="00F91364" w:rsidRDefault="00F91364">
      <w:pPr>
        <w:ind w:firstLine="624"/>
        <w:rPr>
          <w:rFonts w:ascii="仿宋_GB2312" w:hint="eastAsia"/>
          <w:b/>
        </w:rPr>
      </w:pPr>
    </w:p>
    <w:p w:rsidR="00F91364" w:rsidRDefault="00F91364">
      <w:pPr>
        <w:tabs>
          <w:tab w:val="right" w:pos="8505"/>
        </w:tabs>
        <w:rPr>
          <w:rFonts w:ascii="仿宋_GB2312" w:hint="eastAsia"/>
          <w:b/>
        </w:rPr>
      </w:pPr>
    </w:p>
    <w:p w:rsidR="00F91364" w:rsidRDefault="00F91364">
      <w:pPr>
        <w:ind w:right="1284"/>
        <w:jc w:val="right"/>
        <w:rPr>
          <w:rFonts w:ascii="仿宋_GB2312" w:hint="eastAsia"/>
          <w:b/>
        </w:rPr>
      </w:pPr>
      <w:bookmarkStart w:id="4" w:name="TCSignYear"/>
      <w:bookmarkEnd w:id="4"/>
      <w:r>
        <w:rPr>
          <w:rFonts w:ascii="仿宋_GB2312" w:hint="eastAsia"/>
          <w:b/>
        </w:rPr>
        <w:t>二○</w:t>
      </w:r>
      <w:smartTag w:uri="urn:schemas-microsoft-com:office:smarttags" w:element="chsdate">
        <w:smartTagPr>
          <w:attr w:name="Year" w:val="2011"/>
          <w:attr w:name="Month" w:val="12"/>
          <w:attr w:name="Day" w:val="29"/>
          <w:attr w:name="IsLunarDate" w:val="False"/>
          <w:attr w:name="IsROCDate" w:val="False"/>
        </w:smartTagPr>
        <w:r>
          <w:rPr>
            <w:rFonts w:ascii="仿宋_GB2312" w:hint="eastAsia"/>
            <w:b/>
          </w:rPr>
          <w:t>一一年</w:t>
        </w:r>
        <w:bookmarkStart w:id="5" w:name="TCSignMonth"/>
        <w:bookmarkEnd w:id="5"/>
        <w:r>
          <w:rPr>
            <w:rFonts w:ascii="仿宋_GB2312" w:hint="eastAsia"/>
            <w:b/>
          </w:rPr>
          <w:t>十二月</w:t>
        </w:r>
        <w:bookmarkStart w:id="6" w:name="TCSignDay"/>
        <w:bookmarkEnd w:id="6"/>
        <w:r>
          <w:rPr>
            <w:rFonts w:ascii="仿宋_GB2312" w:hint="eastAsia"/>
            <w:b/>
          </w:rPr>
          <w:t>二十九日</w:t>
        </w:r>
      </w:smartTag>
    </w:p>
    <w:p w:rsidR="00F91364" w:rsidRDefault="00F91364">
      <w:pPr>
        <w:pStyle w:val="20"/>
        <w:snapToGrid w:val="0"/>
        <w:spacing w:line="0" w:lineRule="atLeast"/>
        <w:rPr>
          <w:rFonts w:ascii="方正书宋_GBK" w:eastAsia="方正书宋_GBK"/>
          <w:sz w:val="2"/>
          <w:u w:val="single"/>
        </w:rPr>
      </w:pPr>
      <w:bookmarkStart w:id="7" w:name="fjnr"/>
      <w:bookmarkEnd w:id="7"/>
    </w:p>
    <w:sectPr w:rsidR="00F91364">
      <w:footerReference w:type="even" r:id="rId7"/>
      <w:footerReference w:type="default" r:id="rId8"/>
      <w:pgSz w:w="11906" w:h="16838" w:code="9"/>
      <w:pgMar w:top="2098" w:right="1531" w:bottom="1701" w:left="1531" w:header="1191" w:footer="1361" w:gutter="0"/>
      <w:cols w:space="425"/>
      <w:docGrid w:type="linesAndChars" w:linePitch="515" w:charSpace="32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186" w:rsidRDefault="00287186">
      <w:r>
        <w:separator/>
      </w:r>
    </w:p>
  </w:endnote>
  <w:endnote w:type="continuationSeparator" w:id="1">
    <w:p w:rsidR="00287186" w:rsidRDefault="002871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方正小标宋_GBK">
    <w:altName w:val="宋体-方正超大字符集"/>
    <w:charset w:val="86"/>
    <w:family w:val="script"/>
    <w:pitch w:val="fixed"/>
    <w:sig w:usb0="00000001" w:usb1="080E0000" w:usb2="00000010" w:usb3="00000000" w:csb0="00040000" w:csb1="00000000"/>
  </w:font>
  <w:font w:name="文鼎小标宋">
    <w:altName w:val="仿宋_GB2312"/>
    <w:charset w:val="86"/>
    <w:family w:val="modern"/>
    <w:pitch w:val="fixed"/>
    <w:sig w:usb0="00000001" w:usb1="080E0000" w:usb2="00000010" w:usb3="00000000" w:csb0="00040000" w:csb1="00000000"/>
  </w:font>
  <w:font w:name="方正书宋_GBK">
    <w:altName w:val="宋体-方正超大字符集"/>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364" w:rsidRDefault="00F91364">
    <w:pPr>
      <w:pStyle w:val="a4"/>
      <w:framePr w:w="1083" w:h="301" w:hRule="exact" w:wrap="around" w:vAnchor="text" w:hAnchor="page" w:x="1844" w:y="-29"/>
      <w:rPr>
        <w:rStyle w:val="a5"/>
        <w:sz w:val="24"/>
      </w:rPr>
    </w:pPr>
    <w:r>
      <w:rPr>
        <w:rStyle w:val="a5"/>
        <w:rFonts w:ascii="仿宋_GB2312" w:hint="eastAsia"/>
        <w:sz w:val="24"/>
      </w:rPr>
      <w:t xml:space="preserve"> —</w:t>
    </w:r>
    <w:r>
      <w:rPr>
        <w:rStyle w:val="a5"/>
        <w:rFonts w:ascii="仿宋_GB2312"/>
        <w:sz w:val="24"/>
      </w:rPr>
      <w:t xml:space="preserve"> </w:t>
    </w:r>
    <w:r>
      <w:rPr>
        <w:rStyle w:val="a5"/>
        <w:rFonts w:ascii="宋体"/>
        <w:sz w:val="24"/>
      </w:rPr>
      <w:fldChar w:fldCharType="begin"/>
    </w:r>
    <w:r>
      <w:rPr>
        <w:rStyle w:val="a5"/>
        <w:rFonts w:ascii="宋体"/>
        <w:sz w:val="24"/>
      </w:rPr>
      <w:instrText xml:space="preserve">PAGE  </w:instrText>
    </w:r>
    <w:r>
      <w:rPr>
        <w:rStyle w:val="a5"/>
        <w:rFonts w:ascii="宋体"/>
        <w:sz w:val="24"/>
      </w:rPr>
      <w:fldChar w:fldCharType="separate"/>
    </w:r>
    <w:r w:rsidR="00A6560C">
      <w:rPr>
        <w:rStyle w:val="a5"/>
        <w:rFonts w:ascii="宋体"/>
        <w:noProof/>
        <w:sz w:val="24"/>
      </w:rPr>
      <w:t>2</w:t>
    </w:r>
    <w:r>
      <w:rPr>
        <w:rStyle w:val="a5"/>
        <w:rFonts w:ascii="宋体"/>
        <w:sz w:val="24"/>
      </w:rPr>
      <w:fldChar w:fldCharType="end"/>
    </w:r>
    <w:r>
      <w:rPr>
        <w:rStyle w:val="a5"/>
        <w:sz w:val="24"/>
      </w:rPr>
      <w:t xml:space="preserve"> </w:t>
    </w:r>
    <w:r>
      <w:rPr>
        <w:rStyle w:val="a5"/>
        <w:rFonts w:ascii="仿宋_GB2312" w:hint="eastAsia"/>
        <w:sz w:val="24"/>
      </w:rPr>
      <w:t>—</w:t>
    </w:r>
  </w:p>
  <w:p w:rsidR="00F91364" w:rsidRDefault="00F9136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364" w:rsidRDefault="00F91364">
    <w:pPr>
      <w:pStyle w:val="a4"/>
      <w:framePr w:w="1247" w:h="234" w:hRule="exact" w:wrap="around" w:vAnchor="text" w:hAnchor="page" w:x="8864" w:y="-14"/>
      <w:jc w:val="center"/>
      <w:rPr>
        <w:rStyle w:val="a5"/>
        <w:sz w:val="24"/>
      </w:rPr>
    </w:pPr>
    <w:r>
      <w:rPr>
        <w:rStyle w:val="a5"/>
        <w:rFonts w:ascii="仿宋_GB2312" w:hint="eastAsia"/>
        <w:sz w:val="24"/>
      </w:rPr>
      <w:t>—</w:t>
    </w:r>
    <w:r>
      <w:rPr>
        <w:rStyle w:val="a5"/>
        <w:rFonts w:ascii="仿宋_GB2312"/>
        <w:sz w:val="24"/>
      </w:rPr>
      <w:t xml:space="preserve"> </w:t>
    </w:r>
    <w:r>
      <w:rPr>
        <w:rStyle w:val="a5"/>
        <w:rFonts w:ascii="宋体"/>
        <w:sz w:val="24"/>
      </w:rPr>
      <w:fldChar w:fldCharType="begin"/>
    </w:r>
    <w:r>
      <w:rPr>
        <w:rStyle w:val="a5"/>
        <w:rFonts w:ascii="宋体"/>
        <w:sz w:val="24"/>
      </w:rPr>
      <w:instrText xml:space="preserve">PAGE  </w:instrText>
    </w:r>
    <w:r>
      <w:rPr>
        <w:rStyle w:val="a5"/>
        <w:rFonts w:ascii="宋体"/>
        <w:sz w:val="24"/>
      </w:rPr>
      <w:fldChar w:fldCharType="separate"/>
    </w:r>
    <w:r w:rsidR="00A6560C">
      <w:rPr>
        <w:rStyle w:val="a5"/>
        <w:rFonts w:ascii="宋体"/>
        <w:noProof/>
        <w:sz w:val="24"/>
      </w:rPr>
      <w:t>1</w:t>
    </w:r>
    <w:r>
      <w:rPr>
        <w:rStyle w:val="a5"/>
        <w:rFonts w:ascii="宋体"/>
        <w:sz w:val="24"/>
      </w:rPr>
      <w:fldChar w:fldCharType="end"/>
    </w:r>
    <w:r>
      <w:rPr>
        <w:rStyle w:val="a5"/>
        <w:sz w:val="24"/>
      </w:rPr>
      <w:t xml:space="preserve"> </w:t>
    </w:r>
    <w:r>
      <w:rPr>
        <w:rStyle w:val="a5"/>
        <w:rFonts w:ascii="仿宋_GB2312" w:hint="eastAsia"/>
        <w:sz w:val="24"/>
      </w:rPr>
      <w:t>—</w:t>
    </w:r>
  </w:p>
  <w:p w:rsidR="00F91364" w:rsidRDefault="00F9136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186" w:rsidRDefault="00287186">
      <w:r>
        <w:separator/>
      </w:r>
    </w:p>
  </w:footnote>
  <w:footnote w:type="continuationSeparator" w:id="1">
    <w:p w:rsidR="00287186" w:rsidRDefault="002871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B2593"/>
    <w:multiLevelType w:val="singleLevel"/>
    <w:tmpl w:val="4B72E512"/>
    <w:lvl w:ilvl="0">
      <w:start w:val="1"/>
      <w:numFmt w:val="decimal"/>
      <w:lvlText w:val="%1、"/>
      <w:lvlJc w:val="left"/>
      <w:pPr>
        <w:tabs>
          <w:tab w:val="num" w:pos="1230"/>
        </w:tabs>
        <w:ind w:left="1230" w:hanging="495"/>
      </w:pPr>
      <w:rPr>
        <w:rFonts w:hint="eastAsia"/>
      </w:rPr>
    </w:lvl>
  </w:abstractNum>
  <w:abstractNum w:abstractNumId="1">
    <w:nsid w:val="1E9155E1"/>
    <w:multiLevelType w:val="singleLevel"/>
    <w:tmpl w:val="0409000F"/>
    <w:lvl w:ilvl="0">
      <w:start w:val="1"/>
      <w:numFmt w:val="decimal"/>
      <w:lvlText w:val="%1."/>
      <w:lvlJc w:val="left"/>
      <w:pPr>
        <w:tabs>
          <w:tab w:val="num" w:pos="425"/>
        </w:tabs>
        <w:ind w:left="425" w:hanging="425"/>
      </w:pPr>
    </w:lvl>
  </w:abstractNum>
  <w:abstractNum w:abstractNumId="2">
    <w:nsid w:val="3AE77331"/>
    <w:multiLevelType w:val="singleLevel"/>
    <w:tmpl w:val="C91E1954"/>
    <w:lvl w:ilvl="0">
      <w:start w:val="1"/>
      <w:numFmt w:val="decimal"/>
      <w:lvlText w:val="%1、"/>
      <w:lvlJc w:val="left"/>
      <w:pPr>
        <w:tabs>
          <w:tab w:val="num" w:pos="1095"/>
        </w:tabs>
        <w:ind w:left="1095" w:hanging="480"/>
      </w:pPr>
      <w:rPr>
        <w:rFonts w:ascii="楷体_GB2312" w:hint="eastAsia"/>
      </w:rPr>
    </w:lvl>
  </w:abstractNum>
  <w:abstractNum w:abstractNumId="3">
    <w:nsid w:val="43E26814"/>
    <w:multiLevelType w:val="singleLevel"/>
    <w:tmpl w:val="13CE046A"/>
    <w:lvl w:ilvl="0">
      <w:start w:val="1"/>
      <w:numFmt w:val="decimal"/>
      <w:lvlText w:val="%1、"/>
      <w:lvlJc w:val="left"/>
      <w:pPr>
        <w:tabs>
          <w:tab w:val="num" w:pos="1380"/>
        </w:tabs>
        <w:ind w:left="1380" w:hanging="720"/>
      </w:pPr>
      <w:rPr>
        <w:rFonts w:hint="eastAsia"/>
      </w:rPr>
    </w:lvl>
  </w:abstractNum>
  <w:abstractNum w:abstractNumId="4">
    <w:nsid w:val="525841C0"/>
    <w:multiLevelType w:val="singleLevel"/>
    <w:tmpl w:val="3E744D28"/>
    <w:lvl w:ilvl="0">
      <w:start w:val="1"/>
      <w:numFmt w:val="decimal"/>
      <w:lvlText w:val="%1、"/>
      <w:lvlJc w:val="left"/>
      <w:pPr>
        <w:tabs>
          <w:tab w:val="num" w:pos="1095"/>
        </w:tabs>
        <w:ind w:left="1095" w:hanging="480"/>
      </w:pPr>
      <w:rPr>
        <w:rFonts w:hint="eastAsia"/>
      </w:rPr>
    </w:lvl>
  </w:abstractNum>
  <w:abstractNum w:abstractNumId="5">
    <w:nsid w:val="541E3EA7"/>
    <w:multiLevelType w:val="singleLevel"/>
    <w:tmpl w:val="BD306F5E"/>
    <w:lvl w:ilvl="0">
      <w:start w:val="1"/>
      <w:numFmt w:val="japaneseCounting"/>
      <w:lvlText w:val="%1、"/>
      <w:lvlJc w:val="left"/>
      <w:pPr>
        <w:tabs>
          <w:tab w:val="num" w:pos="1455"/>
        </w:tabs>
        <w:ind w:left="1455" w:hanging="720"/>
      </w:pPr>
      <w:rPr>
        <w:rFonts w:hint="eastAsia"/>
      </w:rPr>
    </w:lvl>
  </w:abstractNum>
  <w:abstractNum w:abstractNumId="6">
    <w:nsid w:val="65651F0A"/>
    <w:multiLevelType w:val="singleLevel"/>
    <w:tmpl w:val="E946D2F6"/>
    <w:lvl w:ilvl="0">
      <w:start w:val="1"/>
      <w:numFmt w:val="decimal"/>
      <w:lvlText w:val="%1、"/>
      <w:lvlJc w:val="left"/>
      <w:pPr>
        <w:tabs>
          <w:tab w:val="num" w:pos="1335"/>
        </w:tabs>
        <w:ind w:left="1335" w:hanging="720"/>
      </w:pPr>
      <w:rPr>
        <w:rFonts w:hint="eastAsia"/>
      </w:rPr>
    </w:lvl>
  </w:abstractNum>
  <w:abstractNum w:abstractNumId="7">
    <w:nsid w:val="681E1869"/>
    <w:multiLevelType w:val="singleLevel"/>
    <w:tmpl w:val="5600C382"/>
    <w:lvl w:ilvl="0">
      <w:start w:val="1"/>
      <w:numFmt w:val="decimal"/>
      <w:lvlText w:val="%1、"/>
      <w:lvlJc w:val="left"/>
      <w:pPr>
        <w:tabs>
          <w:tab w:val="num" w:pos="1200"/>
        </w:tabs>
        <w:ind w:left="1200" w:hanging="465"/>
      </w:pPr>
      <w:rPr>
        <w:rFonts w:hint="eastAsia"/>
      </w:rPr>
    </w:lvl>
  </w:abstractNum>
  <w:num w:numId="1">
    <w:abstractNumId w:val="1"/>
  </w:num>
  <w:num w:numId="2">
    <w:abstractNumId w:val="5"/>
  </w:num>
  <w:num w:numId="3">
    <w:abstractNumId w:val="7"/>
  </w:num>
  <w:num w:numId="4">
    <w:abstractNumId w:val="0"/>
  </w:num>
  <w:num w:numId="5">
    <w:abstractNumId w:val="3"/>
  </w:num>
  <w:num w:numId="6">
    <w:abstractNumId w:val="6"/>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attachedTemplate r:id="rId1"/>
  <w:stylePaneFormatFilter w:val="3F01"/>
  <w:defaultTabStop w:val="425"/>
  <w:evenAndOddHeaders/>
  <w:drawingGridHorizontalSpacing w:val="315"/>
  <w:drawingGridVerticalSpacing w:val="515"/>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useFELayout/>
  </w:compat>
  <w:docVars>
    <w:docVar w:name="Resoft_OriginalUserName" w:val="毛岚2"/>
  </w:docVars>
  <w:rsids>
    <w:rsidRoot w:val="00683453"/>
    <w:rsid w:val="00287186"/>
    <w:rsid w:val="00683453"/>
    <w:rsid w:val="00A6560C"/>
    <w:rsid w:val="00C62DFF"/>
    <w:rsid w:val="00DA38E7"/>
    <w:rsid w:val="00F913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Pr>
      <w:rFonts w:ascii="宋体" w:hAnsi="Courier New"/>
    </w:rPr>
  </w:style>
  <w:style w:type="paragraph" w:styleId="a4">
    <w:name w:val="footer"/>
    <w:basedOn w:val="a"/>
    <w:pPr>
      <w:tabs>
        <w:tab w:val="center" w:pos="4153"/>
        <w:tab w:val="right" w:pos="8306"/>
      </w:tabs>
      <w:snapToGrid w:val="0"/>
      <w:jc w:val="left"/>
    </w:pPr>
    <w:rPr>
      <w:sz w:val="18"/>
    </w:rPr>
  </w:style>
  <w:style w:type="character" w:styleId="a5">
    <w:name w:val="page number"/>
    <w:basedOn w:val="a0"/>
  </w:style>
  <w:style w:type="paragraph" w:styleId="a6">
    <w:name w:val="header"/>
    <w:basedOn w:val="a"/>
    <w:pPr>
      <w:pBdr>
        <w:bottom w:val="single" w:sz="6" w:space="1" w:color="auto"/>
      </w:pBdr>
      <w:tabs>
        <w:tab w:val="center" w:pos="4153"/>
        <w:tab w:val="right" w:pos="8306"/>
      </w:tabs>
      <w:snapToGrid w:val="0"/>
      <w:jc w:val="center"/>
    </w:pPr>
    <w:rPr>
      <w:sz w:val="18"/>
    </w:rPr>
  </w:style>
  <w:style w:type="paragraph" w:styleId="a7">
    <w:name w:val="Body Text Indent"/>
    <w:basedOn w:val="a"/>
    <w:pPr>
      <w:snapToGrid w:val="0"/>
      <w:ind w:left="1260" w:hanging="1260"/>
    </w:pPr>
    <w:rPr>
      <w:rFonts w:ascii="楷体_GB2312" w:eastAsia="楷体_GB2312"/>
      <w:sz w:val="24"/>
    </w:rPr>
  </w:style>
  <w:style w:type="paragraph" w:styleId="2">
    <w:name w:val="Body Text Indent 2"/>
    <w:basedOn w:val="a"/>
    <w:pPr>
      <w:ind w:firstLine="600"/>
    </w:pPr>
    <w:rPr>
      <w:rFonts w:ascii="仿宋_GB2312"/>
    </w:rPr>
  </w:style>
  <w:style w:type="paragraph" w:styleId="a8">
    <w:name w:val="Body Text"/>
    <w:basedOn w:val="a"/>
    <w:pPr>
      <w:snapToGrid w:val="0"/>
      <w:spacing w:line="260" w:lineRule="exact"/>
    </w:pPr>
    <w:rPr>
      <w:rFonts w:eastAsia="宋体"/>
      <w:sz w:val="21"/>
    </w:rPr>
  </w:style>
  <w:style w:type="paragraph" w:styleId="a9">
    <w:name w:val="Date"/>
    <w:basedOn w:val="a"/>
    <w:next w:val="a"/>
  </w:style>
  <w:style w:type="paragraph" w:customStyle="1" w:styleId="Date">
    <w:name w:val="Date"/>
    <w:basedOn w:val="a"/>
    <w:next w:val="a"/>
    <w:pPr>
      <w:autoSpaceDE w:val="0"/>
      <w:autoSpaceDN w:val="0"/>
      <w:adjustRightInd w:val="0"/>
      <w:textAlignment w:val="baseline"/>
    </w:pPr>
    <w:rPr>
      <w:rFonts w:eastAsia="宋体"/>
    </w:rPr>
  </w:style>
  <w:style w:type="paragraph" w:styleId="20">
    <w:name w:val="Body Text 2"/>
    <w:basedOn w:val="a"/>
    <w:pPr>
      <w:tabs>
        <w:tab w:val="right" w:pos="8505"/>
      </w:tabs>
    </w:pPr>
    <w:rPr>
      <w:rFonts w:ascii="仿宋_GB2312"/>
      <w:b/>
    </w:rPr>
  </w:style>
  <w:style w:type="paragraph" w:styleId="aa">
    <w:name w:val="Balloon Text"/>
    <w:basedOn w:val="a"/>
    <w:semiHidden/>
    <w:rsid w:val="0068345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Resoft\WebOA.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WebOA.dot</Template>
  <TotalTime>0</TotalTime>
  <Pages>3</Pages>
  <Words>196</Words>
  <Characters>1123</Characters>
  <Application>Microsoft Office Word</Application>
  <DocSecurity>0</DocSecurity>
  <Lines>9</Lines>
  <Paragraphs>2</Paragraphs>
  <ScaleCrop>false</ScaleCrop>
  <Company>中国人民银行办公厅</Company>
  <LinksUpToDate>false</LinksUpToDate>
  <CharactersWithSpaces>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1998年10月3日朱总理在工商银行扬州分行邗江支行白鹤储蓄所计算机盗窃案的报告上批示：这是一个信号，我们的银行家要抓电脑技术，不能落在犯罪分子的后面</dc:title>
  <dc:subject/>
  <dc:creator>WANG ZHENG</dc:creator>
  <cp:keywords/>
  <cp:lastModifiedBy>wrxn</cp:lastModifiedBy>
  <cp:revision>2</cp:revision>
  <cp:lastPrinted>2011-12-29T03:16:00Z</cp:lastPrinted>
  <dcterms:created xsi:type="dcterms:W3CDTF">2015-06-08T06:19:00Z</dcterms:created>
  <dcterms:modified xsi:type="dcterms:W3CDTF">2015-06-08T06:19:00Z</dcterms:modified>
</cp:coreProperties>
</file>