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bookmarkStart w:id="0" w:name="_GoBack"/>
      <w:bookmarkEnd w:id="0"/>
      <w:r>
        <w:rPr>
          <w:rFonts w:ascii="Times New Roman" w:hAnsi="Times New Roman" w:eastAsia="黑体" w:cs="Times New Roman"/>
          <w:sz w:val="48"/>
          <w:szCs w:val="48"/>
        </w:rPr>
        <w:t>编号：57016</w:t>
      </w:r>
      <w:r>
        <w:rPr>
          <w:rFonts w:hint="eastAsia" w:ascii="Times New Roman" w:hAnsi="Times New Roman" w:eastAsia="黑体" w:cs="Times New Roman"/>
          <w:sz w:val="48"/>
          <w:szCs w:val="48"/>
          <w:lang w:val="en-US" w:eastAsia="zh-CN"/>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“外币现钞提取、调运和携带出境审核”行政审批服务指南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发布日期：</w:t>
      </w:r>
      <w:r>
        <w:rPr>
          <w:rFonts w:hint="eastAsia" w:ascii="Times New Roman" w:hAnsi="Times New Roman" w:eastAsia="仿宋_GB2312" w:cs="Times New Roman"/>
          <w:sz w:val="30"/>
          <w:szCs w:val="30"/>
        </w:rPr>
        <w:t>202</w:t>
      </w: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color w:val="000000"/>
          <w:sz w:val="30"/>
          <w:szCs w:val="30"/>
        </w:rPr>
        <w:t>年</w:t>
      </w:r>
      <w:r>
        <w:rPr>
          <w:rFonts w:hint="eastAsia" w:ascii="Times New Roman" w:hAnsi="Times New Roman" w:eastAsia="仿宋_GB2312" w:cs="Times New Roman"/>
          <w:color w:val="000000"/>
          <w:sz w:val="30"/>
          <w:szCs w:val="30"/>
          <w:lang w:val="en-US" w:eastAsia="zh-CN"/>
        </w:rPr>
        <w:t>11</w:t>
      </w:r>
      <w:r>
        <w:rPr>
          <w:rFonts w:hint="eastAsia" w:ascii="Times New Roman" w:hAnsi="Times New Roman" w:eastAsia="仿宋_GB2312" w:cs="Times New Roman"/>
          <w:color w:val="000000"/>
          <w:sz w:val="30"/>
          <w:szCs w:val="30"/>
        </w:rPr>
        <w:t>月</w:t>
      </w:r>
      <w:r>
        <w:rPr>
          <w:rFonts w:hint="eastAsia" w:ascii="Times New Roman" w:hAnsi="Times New Roman" w:eastAsia="仿宋_GB2312" w:cs="Times New Roman"/>
          <w:color w:val="000000"/>
          <w:sz w:val="30"/>
          <w:szCs w:val="30"/>
          <w:lang w:val="en-US" w:eastAsia="zh-CN"/>
        </w:rPr>
        <w:t>2</w:t>
      </w:r>
      <w:r>
        <w:rPr>
          <w:rFonts w:hint="eastAsia" w:ascii="Times New Roman" w:hAnsi="Times New Roman" w:eastAsia="仿宋_GB2312" w:cs="Times New Roman"/>
          <w:color w:val="000000"/>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广东省分局</w:t>
      </w:r>
    </w:p>
    <w:p>
      <w:pPr>
        <w:ind w:right="300"/>
        <w:jc w:val="left"/>
        <w:rPr>
          <w:rFonts w:ascii="Times New Roman" w:hAnsi="Times New Roman" w:eastAsia="黑体" w:cs="Times New Roman"/>
          <w:sz w:val="48"/>
          <w:szCs w:val="48"/>
        </w:rPr>
      </w:pPr>
    </w:p>
    <w:p>
      <w:pPr>
        <w:ind w:right="300"/>
        <w:jc w:val="left"/>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四、个人外币现钞携带出境审核（一人携带超过等值10000美元现钞出境）</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2.《携带外币现钞出入境管理暂行办法》（汇发</w:t>
      </w:r>
      <w:r>
        <w:rPr>
          <w:rFonts w:hint="eastAsia" w:ascii="Times New Roman" w:hAnsi="Times New Roman" w:eastAsia="仿宋_GB2312" w:cs="Times New Roman"/>
          <w:sz w:val="30"/>
          <w:szCs w:val="30"/>
        </w:rPr>
        <w:t>〔2003〕</w:t>
      </w:r>
      <w:r>
        <w:rPr>
          <w:rFonts w:ascii="Times New Roman" w:hAnsi="Times New Roman" w:eastAsia="仿宋_GB2312" w:cs="Times New Roman"/>
          <w:sz w:val="30"/>
          <w:szCs w:val="30"/>
        </w:rPr>
        <w:t>102号）；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3.《关于印发〈携带外币现钞出入境管理操作规程〉的通知》（汇发</w:t>
      </w:r>
      <w:r>
        <w:rPr>
          <w:rFonts w:hint="eastAsia" w:ascii="Times New Roman" w:hAnsi="Times New Roman" w:eastAsia="仿宋_GB2312" w:cs="Times New Roman"/>
          <w:sz w:val="30"/>
          <w:szCs w:val="30"/>
        </w:rPr>
        <w:t>〔2004〕</w:t>
      </w:r>
      <w:r>
        <w:rPr>
          <w:rFonts w:ascii="Times New Roman" w:hAnsi="Times New Roman" w:eastAsia="仿宋_GB2312" w:cs="Times New Roman"/>
          <w:sz w:val="30"/>
          <w:szCs w:val="30"/>
        </w:rPr>
        <w:t>21号）。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w:t>
      </w:r>
      <w:r>
        <w:rPr>
          <w:rFonts w:ascii="Times New Roman" w:hAnsi="Times New Roman" w:eastAsia="仿宋_GB2312" w:cs="Times New Roman"/>
          <w:sz w:val="30"/>
          <w:szCs w:val="30"/>
        </w:rPr>
        <w:t>《国家外汇管理局关于印发〈</w:t>
      </w:r>
      <w:r>
        <w:rPr>
          <w:rFonts w:hint="eastAsia" w:ascii="Times New Roman" w:hAnsi="Times New Roman" w:eastAsia="仿宋_GB2312" w:cs="Times New Roman"/>
          <w:sz w:val="30"/>
          <w:szCs w:val="30"/>
        </w:rPr>
        <w:t>经常项目外汇业务指引（2020年版）</w:t>
      </w:r>
      <w:r>
        <w:rPr>
          <w:rFonts w:ascii="Times New Roman" w:hAnsi="Times New Roman" w:eastAsia="仿宋_GB2312" w:cs="Times New Roman"/>
          <w:sz w:val="30"/>
          <w:szCs w:val="30"/>
        </w:rPr>
        <w:t>〉的通知》（汇发</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2020</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14号</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经办</w:t>
      </w:r>
      <w:r>
        <w:rPr>
          <w:rFonts w:ascii="Times New Roman" w:hAnsi="Times New Roman" w:eastAsia="仿宋_GB2312" w:cs="Times New Roman"/>
          <w:sz w:val="30"/>
          <w:szCs w:val="30"/>
        </w:rPr>
        <w:t>银行所在地国家外汇管理局分局。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经办</w:t>
      </w:r>
      <w:r>
        <w:rPr>
          <w:rFonts w:ascii="Times New Roman" w:hAnsi="Times New Roman" w:eastAsia="仿宋_GB2312" w:cs="Times New Roman"/>
          <w:sz w:val="30"/>
          <w:szCs w:val="30"/>
        </w:rPr>
        <w:t>银行所在地国家外汇管理局分局。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申请人为拟出境个人，应符合以下条件之一：</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1.人数较多的出境团组；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2.出境时间较长或旅途较长的科学考察团组；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3.政府领导人出访；</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4.出境人员赴战乱、外汇管制严格、金融条件差或金融动乱的国家；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5.其他特殊情况</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除此之外，出境人员不得携带超过等值10000美元的外币现钞出境。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1.个人外币现钞携带出境审核新增（一人携带超过等值10000美元现钞出境）申请材料清单</w:t>
      </w:r>
    </w:p>
    <w:tbl>
      <w:tblPr>
        <w:tblStyle w:val="18"/>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3969"/>
        <w:gridCol w:w="1701"/>
        <w:gridCol w:w="567"/>
        <w:gridCol w:w="850"/>
        <w:gridCol w:w="426"/>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jc w:val="left"/>
              <w:rPr>
                <w:rFonts w:ascii="Times New Roman" w:hAnsi="Times New Roman" w:eastAsia="仿宋_GB2312" w:cs="Times New Roman"/>
                <w:sz w:val="24"/>
                <w:szCs w:val="24"/>
              </w:rPr>
            </w:pPr>
          </w:p>
        </w:tc>
        <w:tc>
          <w:tcPr>
            <w:tcW w:w="497" w:type="dxa"/>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护照等相关出境证件</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原件和加盖签章的复印件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有效签证或签注</w:t>
            </w:r>
            <w:r>
              <w:rPr>
                <w:rFonts w:ascii="Times New Roman" w:hAnsi="Times New Roman" w:eastAsia="仿宋_GB2312" w:cs="Times New Roman"/>
                <w:color w:val="000000"/>
                <w:sz w:val="24"/>
                <w:szCs w:val="24"/>
              </w:rPr>
              <w:t>（实行免签或落地签的国家和地区不提供）</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原件和加盖签章的复印件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存款证明（利息清单或取款凭条）或相关购汇凭证</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确需携带超过等值10000美元</w:t>
            </w:r>
            <w:r>
              <w:rPr>
                <w:rFonts w:hint="eastAsia" w:ascii="Times New Roman" w:hAnsi="Times New Roman" w:eastAsia="仿宋_GB2312" w:cs="Times New Roman"/>
                <w:sz w:val="24"/>
                <w:szCs w:val="24"/>
              </w:rPr>
              <w:t>外币</w:t>
            </w:r>
            <w:r>
              <w:rPr>
                <w:rFonts w:ascii="Times New Roman" w:hAnsi="Times New Roman" w:eastAsia="仿宋_GB2312" w:cs="Times New Roman"/>
                <w:sz w:val="24"/>
                <w:szCs w:val="24"/>
              </w:rPr>
              <w:t>现钞出境的证明材料</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6"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2.个人外币现钞携带出境审核补办（一人携带超过等值10000美元现钞出境）申请材料清单</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包括遗失《携带外汇出境许可证》的补办和逾期《携带外汇出境许可证》（</w:t>
      </w:r>
      <w:r>
        <w:rPr>
          <w:rFonts w:hint="eastAsia" w:ascii="Times New Roman" w:hAnsi="Times New Roman" w:eastAsia="仿宋_GB2312" w:cs="Times New Roman"/>
          <w:sz w:val="30"/>
          <w:szCs w:val="30"/>
        </w:rPr>
        <w:t>超过</w:t>
      </w:r>
      <w:r>
        <w:rPr>
          <w:rFonts w:ascii="Times New Roman" w:hAnsi="Times New Roman" w:eastAsia="仿宋_GB2312" w:cs="Times New Roman"/>
          <w:sz w:val="30"/>
          <w:szCs w:val="30"/>
        </w:rPr>
        <w:t>等值1万美元）的补办（个人出境后不予补办）。</w:t>
      </w:r>
    </w:p>
    <w:tbl>
      <w:tblPr>
        <w:tblStyle w:val="18"/>
        <w:tblW w:w="85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1"/>
        <w:gridCol w:w="957"/>
        <w:gridCol w:w="718"/>
        <w:gridCol w:w="718"/>
        <w:gridCol w:w="718"/>
        <w:gridCol w:w="359"/>
        <w:gridCol w:w="4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9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7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72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5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补办申请</w:t>
            </w:r>
          </w:p>
        </w:tc>
        <w:tc>
          <w:tcPr>
            <w:tcW w:w="71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71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59" w:type="dxa"/>
            <w:vAlign w:val="center"/>
          </w:tcPr>
          <w:p>
            <w:pPr>
              <w:jc w:val="left"/>
              <w:rPr>
                <w:rFonts w:ascii="Times New Roman" w:hAnsi="Times New Roman" w:eastAsia="仿宋_GB2312" w:cs="Times New Roman"/>
                <w:sz w:val="24"/>
                <w:szCs w:val="24"/>
              </w:rPr>
            </w:pPr>
          </w:p>
        </w:tc>
        <w:tc>
          <w:tcPr>
            <w:tcW w:w="472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原《携带外汇出境许可证》由外汇局签发的，按此材料</w:t>
            </w:r>
            <w:r>
              <w:rPr>
                <w:rFonts w:hint="eastAsia" w:ascii="Times New Roman" w:hAnsi="Times New Roman" w:eastAsia="仿宋_GB2312" w:cs="Times New Roman"/>
                <w:sz w:val="24"/>
                <w:szCs w:val="24"/>
              </w:rPr>
              <w:t>由</w:t>
            </w:r>
            <w:r>
              <w:rPr>
                <w:rFonts w:ascii="Times New Roman" w:hAnsi="Times New Roman" w:eastAsia="仿宋_GB2312" w:cs="Times New Roman"/>
                <w:sz w:val="24"/>
                <w:szCs w:val="24"/>
              </w:rPr>
              <w:t>外汇局</w:t>
            </w:r>
            <w:r>
              <w:rPr>
                <w:rFonts w:hint="eastAsia" w:ascii="Times New Roman" w:hAnsi="Times New Roman" w:eastAsia="仿宋_GB2312" w:cs="Times New Roman"/>
                <w:sz w:val="24"/>
                <w:szCs w:val="24"/>
              </w:rPr>
              <w:t>补办</w:t>
            </w:r>
            <w:r>
              <w:rPr>
                <w:rFonts w:ascii="Times New Roman" w:hAnsi="Times New Roman" w:eastAsia="仿宋_GB2312" w:cs="Times New Roman"/>
                <w:sz w:val="24"/>
                <w:szCs w:val="24"/>
              </w:rPr>
              <w:t>。</w:t>
            </w:r>
          </w:p>
          <w:p>
            <w:pPr>
              <w:jc w:val="left"/>
              <w:rPr>
                <w:rFonts w:ascii="Times New Roman" w:hAnsi="Times New Roman" w:eastAsia="仿宋_GB2312" w:cs="Times New Roman"/>
                <w:sz w:val="24"/>
                <w:szCs w:val="24"/>
              </w:rPr>
            </w:pPr>
          </w:p>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外汇局</w:t>
            </w:r>
            <w:r>
              <w:rPr>
                <w:rFonts w:ascii="Times New Roman" w:hAnsi="Times New Roman" w:eastAsia="仿宋_GB2312" w:cs="Times New Roman"/>
                <w:sz w:val="24"/>
                <w:szCs w:val="24"/>
              </w:rPr>
              <w:t>在补办的《携带外汇出境许可证》上加注“补办”字样。</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申请人可通过国家外汇管理局分局窗口提交材料。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申请人提交申请材料；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分局受理；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分局审查；</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分局审</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材料齐全予以当场办理，材料不全或不符合其他法定形式的，一次性告知补正材料，并依法出具《行政许可补正通知书》或其他文书。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当场办理：申请、受理、审查、决定、出具《携带外汇出境许可证》或不予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当场办理。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《携带外汇出境许可证》（一人一证）。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当场告知申请人，现场领取。</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（十五）咨询途径、监督和投诉、公开查询等由所在地分局办理</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（一）咨询途径</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：020-81322362</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国家外汇管理局广东省分局网址：www.safe.gov.cn/guangdong</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国家外汇管理局广东省分局辖区地市分局的外汇业务咨询电话可通过网址（www.safe.gov.cn/guangdong）查询。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办理进程和结果公开查询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14"/>
          <w:rFonts w:ascii="Times New Roman" w:hAnsi="Times New Roman" w:eastAsia="仿宋_GB2312" w:cs="Times New Roman"/>
          <w:sz w:val="30"/>
          <w:szCs w:val="30"/>
        </w:rPr>
        <w:t>www.safe.gov.cn</w:t>
      </w:r>
      <w:r>
        <w:rPr>
          <w:rStyle w:val="14"/>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向国家外汇管理局广东省分局或辖区地市分局咨询、进度查询等可通过电话、国家外汇管理局广东省分局官方互联网站公众交流栏目进行。</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：020-81322362或辖区地市分局的咨询电话</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网址：www.safe.gov.cn/guangdong</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通过国家外汇管理局政务服务网上办理系统提交申请的，可在该系统内进行查询。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监督投诉渠道</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14"/>
          <w:rFonts w:ascii="Times New Roman" w:hAnsi="Times New Roman" w:eastAsia="仿宋_GB2312" w:cs="Times New Roman"/>
          <w:sz w:val="30"/>
          <w:szCs w:val="30"/>
        </w:rPr>
        <w:t>www.safe.gov.cn</w:t>
      </w:r>
      <w:r>
        <w:rPr>
          <w:rStyle w:val="14"/>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向国家外汇管理局广东省分局或辖区地市分局监督和投诉等可通过电话、国家外汇管理局广东省分局官方互联网站公众交流栏目进行。</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电话：020-81322244或辖区地市分局的投诉电话</w:t>
      </w:r>
    </w:p>
    <w:p>
      <w:pPr>
        <w:numPr>
          <w:numId w:val="0"/>
        </w:num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网址：www.safe.gov.cn/guangdong</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即审即办。</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国家外汇管理局广东省分局办公地址：广州市沿江西路137号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国家外汇管理局广东省分局办公时间：工作日上午8:30-12:00、下午14:00-17:30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（十八）示范文本及错误范例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个人申请携带超过等值10000美元</w:t>
      </w:r>
      <w:r>
        <w:rPr>
          <w:rFonts w:hint="eastAsia" w:ascii="Times New Roman" w:hAnsi="Times New Roman" w:eastAsia="仿宋_GB2312" w:cs="Times New Roman"/>
          <w:sz w:val="30"/>
          <w:szCs w:val="30"/>
        </w:rPr>
        <w:t>外币</w:t>
      </w:r>
      <w:r>
        <w:rPr>
          <w:rFonts w:ascii="Times New Roman" w:hAnsi="Times New Roman" w:eastAsia="仿宋_GB2312" w:cs="Times New Roman"/>
          <w:sz w:val="30"/>
          <w:szCs w:val="30"/>
        </w:rPr>
        <w:t>现钞出境，应提交申请书，说明相关情况并证明其确有</w:t>
      </w:r>
      <w:r>
        <w:rPr>
          <w:rFonts w:hint="eastAsia" w:ascii="Times New Roman" w:hAnsi="Times New Roman" w:eastAsia="仿宋_GB2312" w:cs="Times New Roman"/>
          <w:sz w:val="30"/>
          <w:szCs w:val="30"/>
        </w:rPr>
        <w:t>携带超过等值10000美元外币现钞出境</w:t>
      </w:r>
      <w:r>
        <w:rPr>
          <w:rFonts w:ascii="Times New Roman" w:hAnsi="Times New Roman" w:eastAsia="仿宋_GB2312" w:cs="Times New Roman"/>
          <w:sz w:val="30"/>
          <w:szCs w:val="30"/>
        </w:rPr>
        <w:t>需求，并签字；涉及单位组团出境的，应由单位提交申请并盖单位公章。</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外汇局XXX分局：</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本人某某，身份证号/护照号为XX，今因公务原因/回国/南北极考察……须前往XX国/地区，XX国/地区系战乱/金融管制/……国家，本人须携带外币现钞XXX元出境，币种为XX。本人外币现钞来源为XXX/用途为XXX，望批准。</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5850" w:firstLineChars="1950"/>
        <w:rPr>
          <w:rFonts w:ascii="Times New Roman" w:hAnsi="Times New Roman" w:eastAsia="仿宋_GB2312" w:cs="Times New Roman"/>
          <w:sz w:val="30"/>
          <w:szCs w:val="30"/>
        </w:rPr>
      </w:pPr>
      <w:r>
        <w:rPr>
          <w:rFonts w:ascii="Times New Roman" w:hAnsi="Times New Roman" w:eastAsia="仿宋_GB2312" w:cs="Times New Roman"/>
          <w:sz w:val="30"/>
          <w:szCs w:val="30"/>
        </w:rPr>
        <w:t>签名</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日期</w:t>
      </w: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外汇局XX分局：</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今我单位XXX，身份证号/护照号为XX，因南北极考察/公务出国/……须前往XX国/地区，XX国/地区系战乱/金融管制/南北极特殊地区……,须携带外币现钞XXX元出境，币种为XX。用途主要为……，望你单位批准。</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单位公章</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日期</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错误范例：金额、申请人名称、携钞用途/来源、携钞金额及币种等项目遗漏，未签章确认，或用途不符合外汇局携钞出境相关法规要求。</w:t>
      </w:r>
    </w:p>
    <w:p>
      <w:pPr>
        <w:widowControl/>
        <w:jc w:val="left"/>
        <w:rPr>
          <w:rFonts w:ascii="仿宋_GB2312" w:eastAsia="仿宋_GB2312"/>
          <w:sz w:val="30"/>
          <w:szCs w:val="30"/>
        </w:rPr>
      </w:pPr>
      <w:r>
        <w:rPr>
          <w:rFonts w:ascii="仿宋_GB2312" w:eastAsia="仿宋_GB2312"/>
          <w:sz w:val="30"/>
          <w:szCs w:val="30"/>
        </w:rPr>
        <w:br w:type="page"/>
      </w:r>
    </w:p>
    <w:p>
      <w:pPr>
        <w:ind w:right="300"/>
        <w:rPr>
          <w:rFonts w:ascii="仿宋_GB2312" w:eastAsia="仿宋_GB2312"/>
          <w:sz w:val="30"/>
          <w:szCs w:val="30"/>
        </w:rPr>
      </w:pPr>
      <w:r>
        <w:rPr>
          <w:rFonts w:hint="eastAsia" w:ascii="仿宋_GB2312" w:eastAsia="仿宋_GB2312"/>
          <w:sz w:val="30"/>
          <w:szCs w:val="30"/>
        </w:rPr>
        <w:t>附录</w:t>
      </w:r>
    </w:p>
    <w:p>
      <w:pPr>
        <w:ind w:right="300"/>
        <w:rPr>
          <w:rFonts w:ascii="仿宋_GB2312" w:eastAsia="仿宋_GB2312"/>
          <w:sz w:val="30"/>
          <w:szCs w:val="30"/>
        </w:rPr>
      </w:pPr>
    </w:p>
    <w:p>
      <w:pPr>
        <w:ind w:right="300"/>
        <w:jc w:val="center"/>
        <w:rPr>
          <w:rFonts w:ascii="黑体" w:eastAsia="黑体"/>
          <w:sz w:val="30"/>
          <w:szCs w:val="30"/>
        </w:rPr>
      </w:pPr>
      <w:r>
        <w:rPr>
          <w:rFonts w:hint="eastAsia" w:ascii="黑体" w:eastAsia="黑体"/>
          <w:sz w:val="30"/>
          <w:szCs w:val="30"/>
        </w:rPr>
        <w:t>基本流程图</w:t>
      </w:r>
    </w:p>
    <w:p>
      <w:pPr>
        <w:ind w:right="300"/>
        <w:rPr>
          <w:rFonts w:ascii="仿宋_GB2312" w:eastAsia="仿宋_GB2312"/>
          <w:sz w:val="30"/>
          <w:szCs w:val="30"/>
        </w:rPr>
      </w:pPr>
    </w:p>
    <w:p>
      <w:pPr>
        <w:ind w:right="300"/>
        <w:rPr>
          <w:rFonts w:ascii="仿宋_GB2312" w:eastAsia="仿宋_GB2312"/>
          <w:sz w:val="30"/>
          <w:szCs w:val="30"/>
        </w:rPr>
      </w:pPr>
      <w:r>
        <w:rPr>
          <w:rFonts w:ascii="仿宋_GB2312" w:hAnsi="Calibri" w:eastAsia="仿宋_GB2312" w:cs="黑体"/>
          <w:kern w:val="2"/>
          <w:sz w:val="30"/>
          <w:szCs w:val="30"/>
          <w:lang w:val="en-US" w:eastAsia="zh-CN" w:bidi="ar-SA"/>
        </w:rPr>
        <w:pict>
          <v:shape id="AutoShape 636" o:spid="_x0000_s1027" type="#_x0000_t116" style="position:absolute;left:0;margin-left:0.15pt;margin-top:5.95pt;height:58.6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申请人提交申请材料</w:t>
                  </w:r>
                </w:p>
              </w:txbxContent>
            </v:textbox>
          </v:shape>
        </w:pict>
      </w:r>
    </w:p>
    <w:p>
      <w:pPr>
        <w:ind w:right="300"/>
        <w:rPr>
          <w:rFonts w:ascii="仿宋_GB2312" w:eastAsia="仿宋_GB2312"/>
          <w:sz w:val="30"/>
          <w:szCs w:val="30"/>
        </w:rPr>
      </w:pPr>
      <w:r>
        <w:rPr>
          <w:rFonts w:ascii="仿宋_GB2312" w:hAnsi="Calibri" w:eastAsia="仿宋_GB2312" w:cs="黑体"/>
          <w:kern w:val="2"/>
          <w:sz w:val="30"/>
          <w:szCs w:val="30"/>
          <w:lang w:val="en-US" w:eastAsia="zh-CN" w:bidi="ar-SA"/>
        </w:rPr>
        <w:pict>
          <v:roundrect id="AutoShape 639" o:spid="_x0000_s1028" style="position:absolute;left:0;margin-left:144.95pt;margin-top:139.3pt;height:31.5pt;width:268.1pt;rotation:0f;z-index:2516613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材料齐全予以当场办理</w:t>
                  </w:r>
                </w:p>
                <w:p/>
              </w:txbxContent>
            </v:textbox>
          </v:roundrect>
        </w:pict>
      </w:r>
      <w:r>
        <w:rPr>
          <w:rFonts w:ascii="仿宋_GB2312" w:hAnsi="Calibri" w:eastAsia="仿宋_GB2312" w:cs="黑体"/>
          <w:kern w:val="2"/>
          <w:sz w:val="30"/>
          <w:szCs w:val="30"/>
          <w:lang w:val="en-US" w:eastAsia="zh-CN" w:bidi="ar-SA"/>
        </w:rPr>
        <w:pict>
          <v:roundrect id="AutoShape 637" o:spid="_x0000_s1029" style="position:absolute;left:0;margin-left:273.6pt;margin-top:28.3pt;height:33.7pt;width:146.45pt;rotation:0f;z-index:2516592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r>
        <w:rPr>
          <w:rFonts w:ascii="仿宋_GB2312" w:hAnsi="Calibri" w:eastAsia="仿宋_GB2312" w:cs="黑体"/>
          <w:kern w:val="2"/>
          <w:sz w:val="30"/>
          <w:szCs w:val="30"/>
          <w:lang w:val="en-US" w:eastAsia="zh-CN" w:bidi="ar-SA"/>
        </w:rPr>
        <w:pict>
          <v:roundrect id="AutoShape 638" o:spid="_x0000_s1030" style="position:absolute;left:0;margin-left:144.95pt;margin-top:86.7pt;height:43.55pt;width:268.1pt;rotation:0f;z-index:2516602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材料不全或不符合其他法定形式的，一次性告知补正材料，并依法出具《行政许可补正通知书》或其他文书</w:t>
                  </w:r>
                </w:p>
              </w:txbxContent>
            </v:textbox>
          </v:roundrect>
        </w:pict>
      </w:r>
      <w:r>
        <w:rPr>
          <w:rFonts w:ascii="仿宋_GB2312" w:hAnsi="Calibri" w:eastAsia="仿宋_GB2312" w:cs="黑体"/>
          <w:kern w:val="2"/>
          <w:sz w:val="30"/>
          <w:szCs w:val="30"/>
          <w:lang w:val="en-US" w:eastAsia="zh-CN" w:bidi="ar-SA"/>
        </w:rPr>
        <w:pict>
          <v:shape id="AutoShape 645" o:spid="_x0000_s1031" type="#_x0000_t110" style="position:absolute;left:0;margin-left:-33pt;margin-top:75.55pt;height:95.25pt;width:147.75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分局受理、审查、审核</w:t>
                  </w:r>
                </w:p>
              </w:txbxContent>
            </v:textbox>
          </v:shape>
        </w:pict>
      </w:r>
      <w:r>
        <w:rPr>
          <w:rFonts w:ascii="仿宋_GB2312" w:hAnsi="Calibri" w:eastAsia="仿宋_GB2312" w:cs="黑体"/>
          <w:kern w:val="2"/>
          <w:sz w:val="30"/>
          <w:szCs w:val="30"/>
          <w:lang w:val="en-US" w:eastAsia="zh-CN" w:bidi="ar-SA"/>
        </w:rPr>
        <w:pict>
          <v:shape id="AutoShape 644" o:spid="_x0000_s1032" type="#_x0000_t32" style="position:absolute;left:0;flip:x;margin-left:41.45pt;margin-top:47.75pt;height:0.05pt;width:232.15pt;rotation:0f;z-index:2516664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AutoShape 643" o:spid="_x0000_s1033" type="#_x0000_t32" style="position:absolute;left:0;flip:y;margin-left:345.35pt;margin-top:62pt;height:24.7pt;width:0.05pt;rotation:0f;z-index:251665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AutoShape 642" o:spid="_x0000_s1034" type="#_x0000_t32" style="position:absolute;left:0;margin-left:86.35pt;margin-top:142.2pt;height:0.05pt;width:58.6pt;rotation:0f;z-index:2516643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AutoShape 641" o:spid="_x0000_s1035" type="#_x0000_t32" style="position:absolute;left:0;margin-left:86.35pt;margin-top:104.7pt;height:0.05pt;width:58.6pt;rotation:0f;z-index:251663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AutoShape 640" o:spid="_x0000_s1036" type="#_x0000_t32" style="position:absolute;left:0;margin-left:40.6pt;margin-top:33.35pt;height:42.2pt;width:0.05pt;rotation:0f;z-index:251662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ind w:right="300"/>
        <w:rPr>
          <w:rFonts w:ascii="仿宋_GB2312" w:eastAsia="仿宋_GB2312"/>
          <w:sz w:val="30"/>
          <w:szCs w:val="30"/>
        </w:rPr>
      </w:pPr>
    </w:p>
    <w:p>
      <w:pPr>
        <w:adjustRightInd w:val="0"/>
        <w:snapToGrid w:val="0"/>
        <w:spacing w:line="360" w:lineRule="auto"/>
        <w:ind w:firstLine="585"/>
      </w:pPr>
    </w:p>
    <w:sectPr>
      <w:footerReference r:id="rId5" w:type="default"/>
      <w:pgSz w:w="11906" w:h="16838"/>
      <w:pgMar w:top="1440" w:right="1800" w:bottom="1440" w:left="16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4</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4631682">
    <w:nsid w:val="616E8002"/>
    <w:multiLevelType w:val="singleLevel"/>
    <w:tmpl w:val="616E8002"/>
    <w:lvl w:ilvl="0" w:tentative="1">
      <w:start w:val="2"/>
      <w:numFmt w:val="chineseCounting"/>
      <w:suff w:val="nothing"/>
      <w:lvlText w:val="（%1）"/>
      <w:lvlJc w:val="left"/>
    </w:lvl>
  </w:abstractNum>
  <w:num w:numId="1">
    <w:abstractNumId w:val="1634631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7600"/>
    <w:rsid w:val="00022191"/>
    <w:rsid w:val="00023783"/>
    <w:rsid w:val="00041960"/>
    <w:rsid w:val="00042B58"/>
    <w:rsid w:val="000542A5"/>
    <w:rsid w:val="00054B00"/>
    <w:rsid w:val="00055270"/>
    <w:rsid w:val="00057F76"/>
    <w:rsid w:val="0006560A"/>
    <w:rsid w:val="00067BFA"/>
    <w:rsid w:val="00072D8B"/>
    <w:rsid w:val="00072F8A"/>
    <w:rsid w:val="0007410E"/>
    <w:rsid w:val="000750C8"/>
    <w:rsid w:val="00080630"/>
    <w:rsid w:val="0008322A"/>
    <w:rsid w:val="00091661"/>
    <w:rsid w:val="00092D53"/>
    <w:rsid w:val="00096CBB"/>
    <w:rsid w:val="00097F7B"/>
    <w:rsid w:val="000B1B41"/>
    <w:rsid w:val="000B6901"/>
    <w:rsid w:val="000B728B"/>
    <w:rsid w:val="000C15B3"/>
    <w:rsid w:val="000C2B33"/>
    <w:rsid w:val="000D1995"/>
    <w:rsid w:val="000D7478"/>
    <w:rsid w:val="00120DFD"/>
    <w:rsid w:val="0012271F"/>
    <w:rsid w:val="00130519"/>
    <w:rsid w:val="00133AA1"/>
    <w:rsid w:val="00135BEE"/>
    <w:rsid w:val="0014667A"/>
    <w:rsid w:val="00154B58"/>
    <w:rsid w:val="00157C64"/>
    <w:rsid w:val="00157E81"/>
    <w:rsid w:val="00170126"/>
    <w:rsid w:val="00177059"/>
    <w:rsid w:val="00181D3E"/>
    <w:rsid w:val="00186BC2"/>
    <w:rsid w:val="00196FAE"/>
    <w:rsid w:val="001A3E49"/>
    <w:rsid w:val="001A72AA"/>
    <w:rsid w:val="001B09C8"/>
    <w:rsid w:val="001B1E2C"/>
    <w:rsid w:val="001C44C7"/>
    <w:rsid w:val="001D65A2"/>
    <w:rsid w:val="001E1407"/>
    <w:rsid w:val="001F08A9"/>
    <w:rsid w:val="001F3DEE"/>
    <w:rsid w:val="001F4ADD"/>
    <w:rsid w:val="001F4BD4"/>
    <w:rsid w:val="001F7297"/>
    <w:rsid w:val="00205D07"/>
    <w:rsid w:val="00212F39"/>
    <w:rsid w:val="00217116"/>
    <w:rsid w:val="00231EED"/>
    <w:rsid w:val="00233841"/>
    <w:rsid w:val="002343C8"/>
    <w:rsid w:val="00235736"/>
    <w:rsid w:val="00235F24"/>
    <w:rsid w:val="002417D2"/>
    <w:rsid w:val="00241FE8"/>
    <w:rsid w:val="0024527E"/>
    <w:rsid w:val="00253743"/>
    <w:rsid w:val="00253F7B"/>
    <w:rsid w:val="00263773"/>
    <w:rsid w:val="00263B1F"/>
    <w:rsid w:val="002750BA"/>
    <w:rsid w:val="00281976"/>
    <w:rsid w:val="00291C17"/>
    <w:rsid w:val="0029313A"/>
    <w:rsid w:val="002A668C"/>
    <w:rsid w:val="002B0B1C"/>
    <w:rsid w:val="002B29D1"/>
    <w:rsid w:val="002B598D"/>
    <w:rsid w:val="002B61C1"/>
    <w:rsid w:val="002E1323"/>
    <w:rsid w:val="002F2D2F"/>
    <w:rsid w:val="002F3868"/>
    <w:rsid w:val="00300EF5"/>
    <w:rsid w:val="00302119"/>
    <w:rsid w:val="00302E87"/>
    <w:rsid w:val="00307F23"/>
    <w:rsid w:val="00310261"/>
    <w:rsid w:val="00317654"/>
    <w:rsid w:val="003270F0"/>
    <w:rsid w:val="00342667"/>
    <w:rsid w:val="00343044"/>
    <w:rsid w:val="00344B01"/>
    <w:rsid w:val="00353AC4"/>
    <w:rsid w:val="003616B4"/>
    <w:rsid w:val="00373EC0"/>
    <w:rsid w:val="003A090F"/>
    <w:rsid w:val="003A1E3A"/>
    <w:rsid w:val="003A57B2"/>
    <w:rsid w:val="003B755F"/>
    <w:rsid w:val="003C0E26"/>
    <w:rsid w:val="003C7132"/>
    <w:rsid w:val="003D77A5"/>
    <w:rsid w:val="003E6BF6"/>
    <w:rsid w:val="003F221D"/>
    <w:rsid w:val="003F3097"/>
    <w:rsid w:val="00402AE8"/>
    <w:rsid w:val="00404C3E"/>
    <w:rsid w:val="00405FE6"/>
    <w:rsid w:val="004105BC"/>
    <w:rsid w:val="00420571"/>
    <w:rsid w:val="00421C27"/>
    <w:rsid w:val="0042652E"/>
    <w:rsid w:val="00440A1F"/>
    <w:rsid w:val="00443603"/>
    <w:rsid w:val="00443604"/>
    <w:rsid w:val="004501EA"/>
    <w:rsid w:val="00452108"/>
    <w:rsid w:val="00460458"/>
    <w:rsid w:val="00461294"/>
    <w:rsid w:val="0046792D"/>
    <w:rsid w:val="004767DF"/>
    <w:rsid w:val="00493CCC"/>
    <w:rsid w:val="004A0218"/>
    <w:rsid w:val="004A7840"/>
    <w:rsid w:val="004B545A"/>
    <w:rsid w:val="004B7E80"/>
    <w:rsid w:val="004C457E"/>
    <w:rsid w:val="004C48D5"/>
    <w:rsid w:val="004D03B7"/>
    <w:rsid w:val="004D1436"/>
    <w:rsid w:val="004D57AE"/>
    <w:rsid w:val="004E6A8C"/>
    <w:rsid w:val="005056D4"/>
    <w:rsid w:val="00526B2B"/>
    <w:rsid w:val="005362B0"/>
    <w:rsid w:val="00540AE9"/>
    <w:rsid w:val="00542447"/>
    <w:rsid w:val="00561A1F"/>
    <w:rsid w:val="00564312"/>
    <w:rsid w:val="005750FD"/>
    <w:rsid w:val="00583BE5"/>
    <w:rsid w:val="005938DE"/>
    <w:rsid w:val="005A2981"/>
    <w:rsid w:val="005C3FAA"/>
    <w:rsid w:val="005C6937"/>
    <w:rsid w:val="005C7F02"/>
    <w:rsid w:val="005E1B5C"/>
    <w:rsid w:val="005F0A86"/>
    <w:rsid w:val="005F144A"/>
    <w:rsid w:val="005F1C00"/>
    <w:rsid w:val="006136E9"/>
    <w:rsid w:val="0061621E"/>
    <w:rsid w:val="0062600A"/>
    <w:rsid w:val="006265C1"/>
    <w:rsid w:val="00630AA8"/>
    <w:rsid w:val="00630B2E"/>
    <w:rsid w:val="00643D2A"/>
    <w:rsid w:val="0066041A"/>
    <w:rsid w:val="00664E11"/>
    <w:rsid w:val="00673B30"/>
    <w:rsid w:val="00696E5D"/>
    <w:rsid w:val="006A1A06"/>
    <w:rsid w:val="006A4C02"/>
    <w:rsid w:val="006B49E8"/>
    <w:rsid w:val="006B5B86"/>
    <w:rsid w:val="006C5908"/>
    <w:rsid w:val="006C633E"/>
    <w:rsid w:val="006D56AB"/>
    <w:rsid w:val="006D734F"/>
    <w:rsid w:val="006D74BC"/>
    <w:rsid w:val="006E043F"/>
    <w:rsid w:val="006E4695"/>
    <w:rsid w:val="006E4B8B"/>
    <w:rsid w:val="006E5901"/>
    <w:rsid w:val="0071091C"/>
    <w:rsid w:val="00714961"/>
    <w:rsid w:val="00744BD5"/>
    <w:rsid w:val="00745748"/>
    <w:rsid w:val="00746E05"/>
    <w:rsid w:val="00750E36"/>
    <w:rsid w:val="00753CB0"/>
    <w:rsid w:val="00755460"/>
    <w:rsid w:val="00761FB7"/>
    <w:rsid w:val="00762107"/>
    <w:rsid w:val="00764CB9"/>
    <w:rsid w:val="00765B05"/>
    <w:rsid w:val="0077269F"/>
    <w:rsid w:val="00785F45"/>
    <w:rsid w:val="00785FA9"/>
    <w:rsid w:val="007A07F1"/>
    <w:rsid w:val="007A2780"/>
    <w:rsid w:val="007A68EA"/>
    <w:rsid w:val="007B06FC"/>
    <w:rsid w:val="007B0FEF"/>
    <w:rsid w:val="007B2DB5"/>
    <w:rsid w:val="007D2C11"/>
    <w:rsid w:val="007D6171"/>
    <w:rsid w:val="007D69EA"/>
    <w:rsid w:val="007E2C7B"/>
    <w:rsid w:val="007E411B"/>
    <w:rsid w:val="007F0863"/>
    <w:rsid w:val="007F2F3B"/>
    <w:rsid w:val="00802307"/>
    <w:rsid w:val="00811DFB"/>
    <w:rsid w:val="0082168E"/>
    <w:rsid w:val="00821968"/>
    <w:rsid w:val="0084639E"/>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9781D"/>
    <w:rsid w:val="009A0C5D"/>
    <w:rsid w:val="009A58EB"/>
    <w:rsid w:val="009C4672"/>
    <w:rsid w:val="009C491B"/>
    <w:rsid w:val="009D0911"/>
    <w:rsid w:val="009D24F8"/>
    <w:rsid w:val="009D6647"/>
    <w:rsid w:val="009D688C"/>
    <w:rsid w:val="009F7A36"/>
    <w:rsid w:val="00A1538B"/>
    <w:rsid w:val="00A249C2"/>
    <w:rsid w:val="00A24FAB"/>
    <w:rsid w:val="00A27E4F"/>
    <w:rsid w:val="00A301E7"/>
    <w:rsid w:val="00A3068F"/>
    <w:rsid w:val="00A371ED"/>
    <w:rsid w:val="00A42E69"/>
    <w:rsid w:val="00A45CA7"/>
    <w:rsid w:val="00A51415"/>
    <w:rsid w:val="00A6014E"/>
    <w:rsid w:val="00A60356"/>
    <w:rsid w:val="00A66F2C"/>
    <w:rsid w:val="00A81DF1"/>
    <w:rsid w:val="00A90EF3"/>
    <w:rsid w:val="00AA279A"/>
    <w:rsid w:val="00AA7717"/>
    <w:rsid w:val="00AB131E"/>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865B8"/>
    <w:rsid w:val="00B931F4"/>
    <w:rsid w:val="00B95573"/>
    <w:rsid w:val="00B96395"/>
    <w:rsid w:val="00BA2AF8"/>
    <w:rsid w:val="00BB2650"/>
    <w:rsid w:val="00BB5BDC"/>
    <w:rsid w:val="00BB7B76"/>
    <w:rsid w:val="00BC7E04"/>
    <w:rsid w:val="00BD233D"/>
    <w:rsid w:val="00BD6698"/>
    <w:rsid w:val="00BF4EF0"/>
    <w:rsid w:val="00C01775"/>
    <w:rsid w:val="00C02E44"/>
    <w:rsid w:val="00C147D2"/>
    <w:rsid w:val="00C2075F"/>
    <w:rsid w:val="00C2377A"/>
    <w:rsid w:val="00C23799"/>
    <w:rsid w:val="00C274C9"/>
    <w:rsid w:val="00C31E02"/>
    <w:rsid w:val="00C3486D"/>
    <w:rsid w:val="00C45BC1"/>
    <w:rsid w:val="00C54291"/>
    <w:rsid w:val="00C672C3"/>
    <w:rsid w:val="00C712B2"/>
    <w:rsid w:val="00C94325"/>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140AD"/>
    <w:rsid w:val="00D14CBC"/>
    <w:rsid w:val="00D21ADA"/>
    <w:rsid w:val="00D33A4D"/>
    <w:rsid w:val="00D33F76"/>
    <w:rsid w:val="00D41F5E"/>
    <w:rsid w:val="00D43DC0"/>
    <w:rsid w:val="00D54E56"/>
    <w:rsid w:val="00D6407D"/>
    <w:rsid w:val="00D90907"/>
    <w:rsid w:val="00D93E78"/>
    <w:rsid w:val="00DA7B4D"/>
    <w:rsid w:val="00DA7D86"/>
    <w:rsid w:val="00DC6E91"/>
    <w:rsid w:val="00DC7514"/>
    <w:rsid w:val="00DD3845"/>
    <w:rsid w:val="00E038A4"/>
    <w:rsid w:val="00E1687A"/>
    <w:rsid w:val="00E20A2E"/>
    <w:rsid w:val="00E277DE"/>
    <w:rsid w:val="00E27EE9"/>
    <w:rsid w:val="00E3239D"/>
    <w:rsid w:val="00E3254B"/>
    <w:rsid w:val="00E3439B"/>
    <w:rsid w:val="00E42C5F"/>
    <w:rsid w:val="00E65A1B"/>
    <w:rsid w:val="00E72F1F"/>
    <w:rsid w:val="00E75297"/>
    <w:rsid w:val="00E934AB"/>
    <w:rsid w:val="00EA0618"/>
    <w:rsid w:val="00EA06AC"/>
    <w:rsid w:val="00EA08BF"/>
    <w:rsid w:val="00EA24FB"/>
    <w:rsid w:val="00EB3204"/>
    <w:rsid w:val="00EB50BA"/>
    <w:rsid w:val="00EB5B41"/>
    <w:rsid w:val="00EC3D33"/>
    <w:rsid w:val="00EC552E"/>
    <w:rsid w:val="00ED302A"/>
    <w:rsid w:val="00ED3A42"/>
    <w:rsid w:val="00EE02BC"/>
    <w:rsid w:val="00EE6970"/>
    <w:rsid w:val="00EF38D0"/>
    <w:rsid w:val="00EF3DDF"/>
    <w:rsid w:val="00EF4A8C"/>
    <w:rsid w:val="00EF4EB8"/>
    <w:rsid w:val="00F2678C"/>
    <w:rsid w:val="00F27B38"/>
    <w:rsid w:val="00F341DD"/>
    <w:rsid w:val="00F40278"/>
    <w:rsid w:val="00F41832"/>
    <w:rsid w:val="00F43EE1"/>
    <w:rsid w:val="00F56988"/>
    <w:rsid w:val="00F5789E"/>
    <w:rsid w:val="00F620FB"/>
    <w:rsid w:val="00F64129"/>
    <w:rsid w:val="00F6571F"/>
    <w:rsid w:val="00F74787"/>
    <w:rsid w:val="00F755CD"/>
    <w:rsid w:val="00F8687E"/>
    <w:rsid w:val="00F91E34"/>
    <w:rsid w:val="00F93331"/>
    <w:rsid w:val="00F95549"/>
    <w:rsid w:val="00FA1E24"/>
    <w:rsid w:val="00FA24FB"/>
    <w:rsid w:val="00FA632B"/>
    <w:rsid w:val="00FB38EA"/>
    <w:rsid w:val="00FB5E0F"/>
    <w:rsid w:val="00FB6AFF"/>
    <w:rsid w:val="00FC4D8F"/>
    <w:rsid w:val="00FD06D3"/>
    <w:rsid w:val="00FE3157"/>
    <w:rsid w:val="00FE6865"/>
    <w:rsid w:val="00FE6993"/>
    <w:rsid w:val="00FE766F"/>
    <w:rsid w:val="024D6D3A"/>
    <w:rsid w:val="077417AB"/>
    <w:rsid w:val="1EFA433E"/>
    <w:rsid w:val="20116BD0"/>
    <w:rsid w:val="2B2E5190"/>
    <w:rsid w:val="3FFE5784"/>
    <w:rsid w:val="42E23351"/>
    <w:rsid w:val="44EB1442"/>
    <w:rsid w:val="451C7B30"/>
    <w:rsid w:val="594C7397"/>
    <w:rsid w:val="59A9148D"/>
    <w:rsid w:val="62E86CF6"/>
    <w:rsid w:val="729C27B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4"/>
    <w:qFormat/>
    <w:uiPriority w:val="9"/>
    <w:pPr>
      <w:ind w:right="300"/>
      <w:outlineLvl w:val="2"/>
    </w:pPr>
    <w:rPr>
      <w:rFonts w:ascii="仿宋_GB2312"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列出段落1"/>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修订1"/>
    <w:hidden/>
    <w:semiHidden/>
    <w:uiPriority w:val="99"/>
    <w:rPr>
      <w:rFonts w:ascii="Calibri" w:hAnsi="Calibri" w:eastAsia="宋体" w:cs="黑体"/>
      <w:kern w:val="2"/>
      <w:sz w:val="21"/>
      <w:szCs w:val="22"/>
      <w:lang w:val="en-US" w:eastAsia="zh-CN" w:bidi="ar-SA"/>
    </w:rPr>
  </w:style>
  <w:style w:type="paragraph" w:customStyle="1" w:styleId="23">
    <w:name w:val="列出段落11"/>
    <w:basedOn w:val="1"/>
    <w:qFormat/>
    <w:uiPriority w:val="34"/>
    <w:pPr>
      <w:ind w:firstLine="420" w:firstLineChars="200"/>
    </w:pPr>
    <w:rPr>
      <w:rFonts w:cs="Times New Roman"/>
    </w:rPr>
  </w:style>
  <w:style w:type="paragraph" w:customStyle="1" w:styleId="24">
    <w:name w:val="列出段落4"/>
    <w:basedOn w:val="1"/>
    <w:qFormat/>
    <w:uiPriority w:val="0"/>
    <w:pPr>
      <w:ind w:firstLine="200" w:firstLineChars="200"/>
    </w:pPr>
    <w:rPr>
      <w:rFonts w:cs="Times New Roman"/>
    </w:rPr>
  </w:style>
  <w:style w:type="paragraph" w:customStyle="1" w:styleId="25">
    <w:name w:val="列出段落3"/>
    <w:basedOn w:val="1"/>
    <w:qFormat/>
    <w:uiPriority w:val="0"/>
    <w:pPr>
      <w:ind w:firstLine="420" w:firstLineChars="200"/>
    </w:pPr>
    <w:rPr>
      <w:rFonts w:ascii="Times New Roman" w:hAnsi="Times New Roman" w:cs="Times New Roman"/>
      <w:szCs w:val="24"/>
    </w:rPr>
  </w:style>
  <w:style w:type="paragraph" w:customStyle="1" w:styleId="26">
    <w:name w:val="p0"/>
    <w:basedOn w:val="1"/>
    <w:uiPriority w:val="0"/>
    <w:pPr>
      <w:widowControl/>
    </w:pPr>
    <w:rPr>
      <w:rFonts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uiPriority w:val="99"/>
    <w:rPr>
      <w:kern w:val="2"/>
      <w:sz w:val="21"/>
      <w:szCs w:val="22"/>
    </w:rPr>
  </w:style>
  <w:style w:type="character" w:customStyle="1" w:styleId="40">
    <w:name w:val="明显强调1"/>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382</Words>
  <Characters>2184</Characters>
  <Lines>18</Lines>
  <Paragraphs>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2021-02-02T03:19:00Z</dcterms:created>
  <dc:creator>裴建君2</dc:creator>
  <cp:lastModifiedBy>unknow</cp:lastModifiedBy>
  <cp:lastPrinted>2021-02-02T06:20:00Z</cp:lastPrinted>
  <dcterms:modified xsi:type="dcterms:W3CDTF">2023-08-31T08:09:52Z</dcterms:modified>
  <dc:title>编号：57016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