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年1</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申请人注册所在地国家外汇管理局分局（支付机构限于</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申请人注册所在地国家外汇管理局分局（支付机构、审核交易电子信息的银行限于</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分局报备；变更业务范围或业务子项、合作银行、业务流程、风控方案、单笔交易金额限额、交易信息采集及验证方案及公司外汇业务负责人，应向注册地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分局提出登记变更申请，并提供相关说明材料。审核交易电子信息的银行变更业务范围或业务子项、业务流程、风控方案、交易信息采集及验证方案，应向注册地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分局提出注销登记申请及终止外汇业务方案。业务处置完毕后，外汇局注销其登记。审核交易电子信息的银行，主动终止外汇业务，应在作出决定之日起5个工作日内向注册地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30"/>
          <w:szCs w:val="30"/>
        </w:rPr>
        <w:t>进口单位名录登记</w:t>
      </w:r>
      <w:r>
        <w:rPr>
          <w:rFonts w:ascii="Times New Roman" w:hAnsi="Times New Roman" w:eastAsia="仿宋_GB2312" w:cs="Times New Roman"/>
          <w:sz w:val="30"/>
          <w:szCs w:val="30"/>
        </w:rPr>
        <w:t>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申请人可通过国家外汇管理局分局提交申请。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进口单位名录登记可通过政务服务网上办理平台线上办理或现场办理；</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支付机构及审核电子信息的银行相关业务需要现场办理，不支持政务服务网上办平台线上办理。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000000"/>
          <w:kern w:val="0"/>
          <w:sz w:val="30"/>
          <w:szCs w:val="30"/>
          <w:lang w:eastAsia="zh-CN"/>
        </w:rPr>
        <w:t>广东省分局本辖</w:t>
      </w:r>
      <w:r>
        <w:rPr>
          <w:rFonts w:ascii="Times New Roman" w:hAnsi="Times New Roman" w:eastAsia="仿宋_GB2312" w:cs="Times New Roman"/>
          <w:color w:val="000000"/>
          <w:kern w:val="0"/>
          <w:sz w:val="30"/>
          <w:szCs w:val="30"/>
        </w:rPr>
        <w:t>进口单位名录登记</w:t>
      </w:r>
      <w:r>
        <w:rPr>
          <w:rFonts w:ascii="Times New Roman" w:hAnsi="Times New Roman" w:eastAsia="仿宋_GB2312" w:cs="Times New Roman"/>
          <w:sz w:val="30"/>
          <w:szCs w:val="30"/>
        </w:rPr>
        <w:t>申请</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支付机构及审核交易电子信息的银行名录登记</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国家外汇管理局广东省分局辖区地市分局外汇业务咨询电话 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向国家外汇管理局广东省分局或辖内地市分局咨询、进度查询等可通过电话、国家外汇管理局广东省分局官方互联网站公众交流栏目进行。网址为www.safe.gov.cn/guangdong。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000000"/>
          <w:kern w:val="0"/>
          <w:sz w:val="30"/>
          <w:szCs w:val="30"/>
          <w:lang w:eastAsia="zh-CN"/>
        </w:rPr>
        <w:t>广东省分局本辖</w:t>
      </w:r>
      <w:r>
        <w:rPr>
          <w:rFonts w:ascii="Times New Roman" w:hAnsi="Times New Roman" w:eastAsia="仿宋_GB2312" w:cs="Times New Roman"/>
          <w:color w:val="000000"/>
          <w:kern w:val="0"/>
          <w:sz w:val="30"/>
          <w:szCs w:val="30"/>
        </w:rPr>
        <w:t>进口单位名录登记</w:t>
      </w:r>
      <w:r>
        <w:rPr>
          <w:rFonts w:ascii="Times New Roman" w:hAnsi="Times New Roman" w:eastAsia="仿宋_GB2312" w:cs="Times New Roman"/>
          <w:sz w:val="30"/>
          <w:szCs w:val="30"/>
        </w:rPr>
        <w:t>申请</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：020-81883175，辖区地市分局的咨询电话可通过网址（www.safe.gov.cn/guangdong）查询。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支付机构及审核交易电子信息的银行名录登记</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widowControl w:val="0"/>
        <w:numPr>
          <w:numId w:val="0"/>
        </w:numPr>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numPr>
          <w:numId w:val="0"/>
        </w:num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6"/>
          <w:rFonts w:ascii="Times New Roman" w:hAnsi="Times New Roman" w:eastAsia="仿宋_GB2312" w:cs="Times New Roman"/>
          <w:sz w:val="30"/>
          <w:szCs w:val="30"/>
        </w:rPr>
        <w:t>www.safe.gov.cn</w:t>
      </w:r>
      <w:r>
        <w:rPr>
          <w:rStyle w:val="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网址：www.safe.gov.cn/guangdong</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国家外汇管理局广东省分局辖区地市分局的办公地址和时间可通过网址（www.safe.gov.cn/guangdong）查询。</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答：</w:t>
      </w: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8"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6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1"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4"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5"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7"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9"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1"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3"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5"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7"/>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6"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B4EFA"/>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04CF17BB"/>
    <w:rsid w:val="14B01692"/>
    <w:rsid w:val="1F355897"/>
    <w:rsid w:val="21B9079B"/>
    <w:rsid w:val="2C112497"/>
    <w:rsid w:val="307A41BC"/>
    <w:rsid w:val="3A620705"/>
    <w:rsid w:val="3D573A58"/>
    <w:rsid w:val="411B055B"/>
    <w:rsid w:val="49CE4D57"/>
    <w:rsid w:val="58F63811"/>
    <w:rsid w:val="5E326B81"/>
    <w:rsid w:val="62441405"/>
    <w:rsid w:val="6E622A5A"/>
    <w:rsid w:val="72501253"/>
    <w:rsid w:val="77295E34"/>
    <w:rsid w:val="7A8C1494"/>
    <w:rsid w:val="7B9B5FB8"/>
    <w:rsid w:val="7C0372F1"/>
    <w:rsid w:val="7F2123B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unknow</cp:lastModifiedBy>
  <cp:lastPrinted>2020-05-08T08:38:00Z</cp:lastPrinted>
  <dcterms:modified xsi:type="dcterms:W3CDTF">2023-08-31T08:08:31Z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