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beforeLines="0" w:afterLines="0"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r>
        <w:rPr>
          <w:rFonts w:hint="eastAsia" w:ascii="Times New Roman" w:hAnsi="Times New Roman" w:eastAsia="仿宋_GB2312" w:cs="Times New Roman"/>
          <w:sz w:val="30"/>
          <w:szCs w:val="30"/>
          <w:lang w:eastAsia="zh-CN"/>
        </w:rPr>
        <w:t>非上市特殊目的公司对符合条件的境内个人实施股权激励需汇出资金的，可参照办理。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w:t>
            </w:r>
            <w:r>
              <w:rPr>
                <w:rFonts w:hint="eastAsia" w:ascii="Times New Roman" w:hAnsi="Times New Roman" w:eastAsia="仿宋_GB2312" w:cs="Times New Roman"/>
                <w:sz w:val="24"/>
                <w:szCs w:val="24"/>
                <w:lang w:eastAsia="zh-CN"/>
              </w:rPr>
              <w:t>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137号1楼外汇业务大厅3号窗口</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办公时间：周一至周五（法定节假日除外）上午8:30-12:00，下午14:00-17:30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szCs w:val="22"/>
          <w:lang w:val="en-US" w:eastAsia="zh-CN"/>
        </w:rPr>
      </w:pPr>
      <w:r>
        <w:rPr>
          <w:rFonts w:hint="default" w:ascii="Times New Roman" w:hAnsi="Times New Roman" w:eastAsia="黑体" w:cs="Times New Roman"/>
          <w:color w:val="auto"/>
          <w:sz w:val="30"/>
          <w:szCs w:val="22"/>
          <w:lang w:val="en-US" w:eastAsia="zh-CN"/>
        </w:rPr>
        <w:t>（十六）</w:t>
      </w:r>
      <w:r>
        <w:rPr>
          <w:rFonts w:hint="default" w:ascii="Times New Roman" w:hAnsi="Times New Roman" w:eastAsia="黑体" w:cs="Times New Roman"/>
          <w:color w:val="auto"/>
          <w:sz w:val="30"/>
          <w:lang w:eastAsia="zh-CN"/>
        </w:rPr>
        <w:t>咨询及监督投诉电话</w:t>
      </w:r>
    </w:p>
    <w:p>
      <w:pPr>
        <w:widowControl/>
        <w:jc w:val="left"/>
        <w:rPr>
          <w:rFonts w:ascii="Times New Roman" w:hAnsi="Times New Roman" w:eastAsia="仿宋_GB2312" w:cs="Times New Roman"/>
          <w:sz w:val="30"/>
          <w:szCs w:val="30"/>
        </w:rPr>
      </w:pPr>
      <w:r>
        <w:rPr>
          <w:rFonts w:hint="eastAsia" w:ascii="Times New Roman" w:hAnsi="Times New Roman" w:eastAsia="仿宋_GB2312" w:cs="Times New Roman"/>
          <w:color w:val="auto"/>
          <w:sz w:val="30"/>
          <w:szCs w:val="30"/>
          <w:lang w:eastAsia="zh-CN"/>
        </w:rPr>
        <w:t>咨询电话：</w:t>
      </w:r>
      <w:r>
        <w:rPr>
          <w:rFonts w:hint="eastAsia" w:ascii="Times New Roman" w:hAnsi="Times New Roman" w:eastAsia="仿宋_GB2312" w:cs="Times New Roman"/>
          <w:color w:val="auto"/>
          <w:sz w:val="30"/>
          <w:szCs w:val="30"/>
          <w:lang w:val="en-US" w:eastAsia="zh-CN"/>
        </w:rPr>
        <w:t xml:space="preserve">020-81883195；   </w:t>
      </w:r>
      <w:r>
        <w:rPr>
          <w:rFonts w:hint="eastAsia" w:ascii="Times New Roman" w:hAnsi="Times New Roman" w:eastAsia="仿宋_GB2312" w:cs="Times New Roman"/>
          <w:color w:val="auto"/>
          <w:sz w:val="30"/>
          <w:szCs w:val="30"/>
          <w:lang w:eastAsia="zh-CN"/>
        </w:rPr>
        <w:t>监督投诉电话：</w:t>
      </w:r>
      <w:r>
        <w:rPr>
          <w:rFonts w:hint="eastAsia" w:ascii="Times New Roman" w:hAnsi="Times New Roman" w:eastAsia="仿宋_GB2312" w:cs="Times New Roman"/>
          <w:color w:val="auto"/>
          <w:sz w:val="30"/>
          <w:szCs w:val="30"/>
          <w:lang w:val="en-US" w:eastAsia="zh-CN"/>
        </w:rPr>
        <w:t>020-</w:t>
      </w:r>
      <w:r>
        <w:rPr>
          <w:rFonts w:hint="eastAsia" w:ascii="Times New Roman" w:hAnsi="Times New Roman" w:eastAsia="仿宋_GB2312" w:cs="Times New Roman"/>
          <w:color w:val="auto"/>
          <w:sz w:val="30"/>
          <w:szCs w:val="20"/>
          <w:lang w:val="en-US" w:eastAsia="zh-CN"/>
        </w:rPr>
        <w:t>81322244</w:t>
      </w:r>
      <w:bookmarkStart w:id="3" w:name="_GoBack"/>
      <w:bookmarkEnd w:id="3"/>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6" style="position:absolute;left:0;margin-left:-0.65pt;margin-top:16.6pt;height:586.05pt;width:446.05pt;rotation:0f;z-index:251658240;" coordorigin="0,0" coordsize="8921,11721">
            <o:lock v:ext="edit" position="f" selection="f" grouping="f" rotation="f" cropping="f" text="f" aspectratio="f"/>
            <v:rect id="Rectangle 1218"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w:t>
                    </w:r>
                    <w:r>
                      <w:rPr>
                        <w:rFonts w:hint="eastAsia"/>
                        <w:lang w:eastAsia="zh-CN"/>
                      </w:rPr>
                      <w:t>批（</w:t>
                    </w:r>
                    <w:r>
                      <w:rPr>
                        <w:rFonts w:hint="eastAsia"/>
                        <w:lang w:val="en-US" w:eastAsia="zh-CN"/>
                      </w:rPr>
                      <w:t>20个工作日）</w:t>
                    </w:r>
                  </w:p>
                </w:txbxContent>
              </v:textbox>
            </v:rect>
            <v:shape id="AutoShape 1219"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5" style="position:absolute;left:0;top:0;height:7693;width:8921;rotation:0f;" coordorigin="0,0" coordsize="8921,7693">
              <o:lock v:ext="edit" position="f" selection="f" grouping="f" rotation="f" cropping="f" text="f" aspectratio="f"/>
              <v:shape id="AutoShape 1227"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7" style="position:absolute;left:0;top:0;height:7693;width:8921;rotation:0f;" coordorigin="0,0" coordsize="8921,7693">
                <o:lock v:ext="edit" position="f" selection="f" grouping="f" rotation="f" cropping="f" text="f" aspectratio="f"/>
                <v:shape id="AutoShape 1229"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1235"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1236"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237" o:spid="_x0000_s1046" style="position:absolute;left:0;top:0;height:7424;width:4594;rotation:0f;" coordorigin="0,0" coordsize="4594,7424">
                  <o:lock v:ext="edit" position="f" selection="f" grouping="f" rotation="f" cropping="f" text="f" aspectratio="f"/>
                  <v:shape id="AutoShape 1238"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49" style="position:absolute;left:0;top:0;height:3986;width:3629;rotation:0f;" coordorigin="0,0" coordsize="3629,3986">
                    <o:lock v:ext="edit" position="f" selection="f" grouping="f" rotation="f" cropping="f" text="f" aspectratio="f"/>
                    <v:shape id="AutoShape 1241"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pStyle w:val="3"/>
        <w:spacing w:before="0" w:after="0" w:line="240" w:lineRule="auto"/>
        <w:ind w:right="300"/>
        <w:jc w:val="both"/>
        <w:rPr>
          <w:rFonts w:ascii="Times New Roman" w:hAnsi="Times New Roman"/>
          <w:sz w:val="28"/>
          <w:szCs w:val="28"/>
        </w:rPr>
      </w:pPr>
      <w:bookmarkStart w:id="0" w:name="_Toc492328600"/>
      <w:bookmarkStart w:id="1" w:name="_Toc39756175"/>
      <w:bookmarkStart w:id="2" w:name="_Toc41311932"/>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lang w:eastAsia="zh-CN"/>
        </w:rPr>
        <w:t>二</w:t>
      </w:r>
    </w:p>
    <w:p>
      <w:pPr>
        <w:pStyle w:val="3"/>
        <w:spacing w:before="0" w:after="0" w:line="240" w:lineRule="auto"/>
        <w:jc w:val="center"/>
        <w:rPr>
          <w:rFonts w:ascii="Times New Roman" w:hAnsi="Times New Roman"/>
          <w:sz w:val="28"/>
          <w:szCs w:val="28"/>
        </w:rPr>
      </w:pPr>
      <w:r>
        <w:rPr>
          <w:rFonts w:ascii="Times New Roman" w:hAnsi="Times New Roman"/>
          <w:sz w:val="28"/>
          <w:szCs w:val="28"/>
        </w:rPr>
        <w:t>境内居民个人境外投资外汇登记表</w:t>
      </w:r>
      <w:bookmarkEnd w:id="0"/>
      <w:bookmarkEnd w:id="1"/>
      <w:bookmarkEnd w:id="2"/>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pStyle w:val="19"/>
        <w:adjustRightInd w:val="0"/>
        <w:snapToGrid w:val="0"/>
        <w:spacing w:line="264" w:lineRule="auto"/>
        <w:ind w:firstLine="360"/>
        <w:rPr>
          <w:rFonts w:ascii="Times New Roman" w:hAnsi="Times New Roman" w:eastAsia="仿宋_GB2312" w:cs="Times New Roman"/>
          <w:sz w:val="30"/>
          <w:szCs w:val="30"/>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01496113"/>
    <w:rsid w:val="08EA50B9"/>
    <w:rsid w:val="172D2937"/>
    <w:rsid w:val="2136783D"/>
    <w:rsid w:val="37634C2B"/>
    <w:rsid w:val="3E5C0D6A"/>
    <w:rsid w:val="44A17878"/>
    <w:rsid w:val="465A4814"/>
    <w:rsid w:val="4D504A25"/>
    <w:rsid w:val="57762EBD"/>
    <w:rsid w:val="607B355A"/>
    <w:rsid w:val="614F694F"/>
    <w:rsid w:val="62A870BC"/>
    <w:rsid w:val="71E11D3A"/>
    <w:rsid w:val="73565441"/>
    <w:rsid w:val="7C414F5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饶正洪</cp:lastModifiedBy>
  <cp:lastPrinted>2021-08-30T02:04:00Z</cp:lastPrinted>
  <dcterms:modified xsi:type="dcterms:W3CDTF">2021-10-20T07:15:12Z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