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hint="eastAsia" w:ascii="Times New Roman" w:hAnsi="Times New Roman" w:eastAsia="黑体" w:cs="Times New Roman"/>
          <w:sz w:val="48"/>
          <w:szCs w:val="48"/>
        </w:rPr>
        <w:t>编号：</w:t>
      </w:r>
      <w:r>
        <w:rPr>
          <w:rFonts w:ascii="Times New Roman" w:hAnsi="Times New Roman" w:eastAsia="黑体" w:cs="Times New Roman"/>
          <w:sz w:val="48"/>
          <w:szCs w:val="48"/>
        </w:rPr>
        <w:t>57016</w:t>
      </w:r>
      <w:r>
        <w:rPr>
          <w:rFonts w:hint="eastAsia" w:ascii="Times New Roman" w:hAnsi="Times New Roman" w:eastAsia="黑体" w:cs="Times New Roman"/>
          <w:sz w:val="48"/>
          <w:szCs w:val="48"/>
          <w:lang w:val="en-US" w:eastAsia="zh-CN"/>
        </w:rPr>
        <w:t xml:space="preserve">    </w:t>
      </w:r>
      <w:bookmarkStart w:id="0" w:name="_GoBack"/>
      <w:bookmarkEnd w:id="0"/>
      <w:r>
        <w:rPr>
          <w:rFonts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_x0000_i1025" o:spid="_x0000_s1026" type="#_x0000_t75" style="height:69pt;width:86.2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外币现钞提取、调运和携带出境</w:t>
      </w:r>
    </w:p>
    <w:p>
      <w:pPr>
        <w:ind w:right="300"/>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审核</w:t>
      </w:r>
      <w:r>
        <w:rPr>
          <w:rFonts w:ascii="Times New Roman" w:hAnsi="Times New Roman" w:eastAsia="黑体" w:cs="Times New Roman"/>
          <w:sz w:val="52"/>
          <w:szCs w:val="52"/>
        </w:rPr>
        <w:t>”</w:t>
      </w:r>
      <w:r>
        <w:rPr>
          <w:rFonts w:hint="eastAsia"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发布日期：</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月</w:t>
      </w:r>
      <w:r>
        <w:rPr>
          <w:rFonts w:ascii="Times New Roman" w:hAnsi="Times New Roman" w:eastAsia="仿宋_GB2312" w:cs="Times New Roman"/>
          <w:sz w:val="30"/>
          <w:szCs w:val="30"/>
        </w:rPr>
        <w:t>20</w:t>
      </w:r>
      <w:r>
        <w:rPr>
          <w:rFonts w:hint="eastAsia"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实施日期：</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月</w:t>
      </w:r>
      <w:r>
        <w:rPr>
          <w:rFonts w:ascii="Times New Roman" w:hAnsi="Times New Roman" w:eastAsia="仿宋_GB2312" w:cs="Times New Roman"/>
          <w:sz w:val="30"/>
          <w:szCs w:val="30"/>
        </w:rPr>
        <w:t>20</w:t>
      </w:r>
      <w:r>
        <w:rPr>
          <w:rFonts w:hint="eastAsia"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发布机构：国家外汇管理局甘肃省分局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sectPr>
      </w:pPr>
    </w:p>
    <w:p>
      <w:pPr>
        <w:adjustRightInd w:val="0"/>
        <w:snapToGrid w:val="0"/>
        <w:spacing w:line="360" w:lineRule="auto"/>
        <w:ind w:firstLine="31680" w:firstLineChars="200"/>
        <w:jc w:val="left"/>
        <w:rPr>
          <w:rFonts w:ascii="Times New Roman" w:hAnsi="Times New Roman" w:eastAsia="黑体" w:cs="Times New Roman"/>
          <w:sz w:val="30"/>
          <w:szCs w:val="30"/>
        </w:rPr>
      </w:pPr>
      <w:r>
        <w:rPr>
          <w:rFonts w:hint="eastAsia"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项目编号：</w:t>
      </w:r>
      <w:r>
        <w:rPr>
          <w:rFonts w:ascii="Times New Roman" w:hAnsi="Times New Roman" w:eastAsia="仿宋_GB2312" w:cs="Times New Roman"/>
          <w:sz w:val="30"/>
          <w:szCs w:val="30"/>
        </w:rPr>
        <w:t>57016</w:t>
      </w:r>
      <w:r>
        <w:rPr>
          <w:rFonts w:hint="eastAsia"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本指南适用于</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外币现钞提取、调运和携带出境审核</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（一）《中华人民共和国外汇管理条例》（国务院令第</w:t>
      </w:r>
      <w:r>
        <w:rPr>
          <w:rFonts w:ascii="Times New Roman" w:hAnsi="Times New Roman" w:eastAsia="仿宋_GB2312" w:cs="Times New Roman"/>
          <w:sz w:val="30"/>
          <w:szCs w:val="30"/>
        </w:rPr>
        <w:t>532</w:t>
      </w:r>
      <w:r>
        <w:rPr>
          <w:rFonts w:hint="eastAsia" w:ascii="Times New Roman" w:hAnsi="Times New Roman" w:eastAsia="仿宋_GB2312" w:cs="Times New Roman"/>
          <w:sz w:val="30"/>
          <w:szCs w:val="30"/>
        </w:rPr>
        <w:t>号）第十五条：</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携带、申报外币现钞出入境的限额，由国务院外汇管理部门规定</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（二）《国务院对确需保留的行政审批项目设定行政许可的决定》（国务院令第</w:t>
      </w:r>
      <w:r>
        <w:rPr>
          <w:rFonts w:ascii="Times New Roman" w:hAnsi="Times New Roman" w:eastAsia="仿宋_GB2312" w:cs="Times New Roman"/>
          <w:sz w:val="30"/>
          <w:szCs w:val="30"/>
        </w:rPr>
        <w:t>412</w:t>
      </w:r>
      <w:r>
        <w:rPr>
          <w:rFonts w:hint="eastAsia" w:ascii="Times New Roman" w:hAnsi="Times New Roman" w:eastAsia="仿宋_GB2312" w:cs="Times New Roman"/>
          <w:sz w:val="30"/>
          <w:szCs w:val="30"/>
        </w:rPr>
        <w:t>号）附件第</w:t>
      </w:r>
      <w:r>
        <w:rPr>
          <w:rFonts w:ascii="Times New Roman" w:hAnsi="Times New Roman" w:eastAsia="仿宋_GB2312" w:cs="Times New Roman"/>
          <w:sz w:val="30"/>
          <w:szCs w:val="30"/>
        </w:rPr>
        <w:t>495</w:t>
      </w:r>
      <w:r>
        <w:rPr>
          <w:rFonts w:hint="eastAsia" w:ascii="Times New Roman" w:hAnsi="Times New Roman" w:eastAsia="仿宋_GB2312" w:cs="Times New Roman"/>
          <w:sz w:val="30"/>
          <w:szCs w:val="30"/>
        </w:rPr>
        <w:t>项</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机构单笔提取超过规定金额外币现钞审批</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四、个人提取外币现钞（当日累计提取超过等值</w:t>
      </w:r>
      <w:r>
        <w:rPr>
          <w:rFonts w:ascii="Times New Roman" w:hAnsi="Times New Roman" w:eastAsia="黑体" w:cs="Times New Roman"/>
          <w:sz w:val="30"/>
          <w:szCs w:val="30"/>
        </w:rPr>
        <w:t>10000</w:t>
      </w:r>
      <w:r>
        <w:rPr>
          <w:rFonts w:hint="eastAsia" w:ascii="Times New Roman" w:hAnsi="Times New Roman" w:eastAsia="黑体" w:cs="Times New Roman"/>
          <w:sz w:val="30"/>
          <w:szCs w:val="30"/>
        </w:rPr>
        <w:t>美元外币现钞）</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《个人外汇管理办法》（中国人民银行令</w:t>
      </w:r>
      <w:r>
        <w:rPr>
          <w:rFonts w:ascii="Times New Roman" w:hAnsi="Times New Roman" w:eastAsia="仿宋_GB2312" w:cs="Times New Roman"/>
          <w:sz w:val="30"/>
          <w:szCs w:val="30"/>
        </w:rPr>
        <w:t>2006</w:t>
      </w:r>
      <w:r>
        <w:rPr>
          <w:rFonts w:hint="eastAsia" w:ascii="Times New Roman" w:hAnsi="Times New Roman" w:eastAsia="仿宋_GB2312" w:cs="Times New Roman"/>
          <w:sz w:val="30"/>
          <w:szCs w:val="30"/>
        </w:rPr>
        <w:t>年第</w:t>
      </w: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号）；</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《个人外汇管理办法实施细则》（汇发〔</w:t>
      </w:r>
      <w:r>
        <w:rPr>
          <w:rFonts w:ascii="Times New Roman" w:hAnsi="Times New Roman" w:eastAsia="仿宋_GB2312" w:cs="Times New Roman"/>
          <w:sz w:val="30"/>
          <w:szCs w:val="30"/>
        </w:rPr>
        <w:t>2007</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号）。</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bCs/>
          <w:sz w:val="30"/>
          <w:szCs w:val="30"/>
        </w:rPr>
        <w:t>《国家外汇管理局关于印发〈经常项目外汇业务指引（</w:t>
      </w:r>
      <w:r>
        <w:rPr>
          <w:rFonts w:ascii="Times New Roman" w:hAnsi="Times New Roman" w:eastAsia="仿宋_GB2312" w:cs="Times New Roman"/>
          <w:bCs/>
          <w:sz w:val="30"/>
          <w:szCs w:val="30"/>
        </w:rPr>
        <w:t>2020</w:t>
      </w:r>
      <w:r>
        <w:rPr>
          <w:rFonts w:hint="eastAsia" w:ascii="Times New Roman" w:hAnsi="Times New Roman" w:eastAsia="仿宋_GB2312" w:cs="Times New Roman"/>
          <w:bCs/>
          <w:sz w:val="30"/>
          <w:szCs w:val="30"/>
        </w:rPr>
        <w:t>年版）〉的通知》（汇发〔</w:t>
      </w:r>
      <w:r>
        <w:rPr>
          <w:rFonts w:ascii="Times New Roman" w:hAnsi="Times New Roman" w:eastAsia="仿宋_GB2312" w:cs="Times New Roman"/>
          <w:bCs/>
          <w:sz w:val="30"/>
          <w:szCs w:val="30"/>
        </w:rPr>
        <w:t>2020</w:t>
      </w: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14</w:t>
      </w:r>
      <w:r>
        <w:rPr>
          <w:rFonts w:hint="eastAsia" w:ascii="Times New Roman" w:hAnsi="Times New Roman" w:eastAsia="仿宋_GB2312" w:cs="Times New Roman"/>
          <w:bCs/>
          <w:sz w:val="30"/>
          <w:szCs w:val="30"/>
        </w:rPr>
        <w:t>号）</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（二）受理机构</w:t>
      </w:r>
    </w:p>
    <w:p>
      <w:pPr>
        <w:adjustRightInd w:val="0"/>
        <w:snapToGrid w:val="0"/>
        <w:spacing w:line="360" w:lineRule="auto"/>
        <w:ind w:firstLine="31680" w:firstLineChars="200"/>
        <w:rPr>
          <w:rFonts w:ascii="仿宋_GB2312" w:eastAsia="仿宋_GB2312" w:cs="宋体"/>
          <w:color w:val="000000"/>
          <w:sz w:val="30"/>
          <w:szCs w:val="30"/>
        </w:rPr>
      </w:pP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sz w:val="30"/>
          <w:szCs w:val="30"/>
        </w:rPr>
        <w:t>。</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（三）决定机构</w:t>
      </w:r>
    </w:p>
    <w:p>
      <w:pPr>
        <w:adjustRightInd w:val="0"/>
        <w:snapToGrid w:val="0"/>
        <w:spacing w:line="360" w:lineRule="auto"/>
        <w:ind w:firstLine="31680" w:firstLineChars="200"/>
        <w:rPr>
          <w:rFonts w:ascii="仿宋_GB2312" w:eastAsia="仿宋_GB2312" w:cs="宋体"/>
          <w:color w:val="000000"/>
          <w:sz w:val="30"/>
          <w:szCs w:val="30"/>
        </w:rPr>
      </w:pP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sz w:val="30"/>
          <w:szCs w:val="30"/>
        </w:rPr>
        <w:t>。</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（四）审批数量</w:t>
      </w:r>
    </w:p>
    <w:p>
      <w:pPr>
        <w:adjustRightInd w:val="0"/>
        <w:snapToGrid w:val="0"/>
        <w:spacing w:line="360" w:lineRule="auto"/>
        <w:ind w:firstLine="3168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申请人为出境赴战乱、外汇管制严格、金融条件差或金融动乱的国家（或地区）的个人。</w:t>
      </w:r>
    </w:p>
    <w:p>
      <w:pPr>
        <w:adjustRightInd w:val="0"/>
        <w:snapToGrid w:val="0"/>
        <w:spacing w:line="360" w:lineRule="auto"/>
        <w:ind w:firstLine="31680" w:firstLineChars="200"/>
        <w:rPr>
          <w:rFonts w:ascii="Times New Roman" w:hAnsi="Times New Roman" w:eastAsia="仿宋_GB2312" w:cs="Times New Roman"/>
          <w:color w:val="FF0000"/>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（六）申请材料</w:t>
      </w:r>
    </w:p>
    <w:tbl>
      <w:tblPr>
        <w:tblW w:w="917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10"/>
        <w:gridCol w:w="3260"/>
        <w:gridCol w:w="1701"/>
        <w:gridCol w:w="850"/>
        <w:gridCol w:w="1418"/>
        <w:gridCol w:w="709"/>
        <w:gridCol w:w="522"/>
      </w:tblGrid>
      <w:tr>
        <w:tc>
          <w:tcPr>
            <w:tcW w:w="710"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3260"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70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复印件</w:t>
            </w:r>
          </w:p>
        </w:tc>
        <w:tc>
          <w:tcPr>
            <w:tcW w:w="850"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41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电子</w:t>
            </w:r>
          </w:p>
        </w:tc>
        <w:tc>
          <w:tcPr>
            <w:tcW w:w="709"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522"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71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60"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本人有效身份证件</w:t>
            </w:r>
          </w:p>
        </w:tc>
        <w:tc>
          <w:tcPr>
            <w:tcW w:w="170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原件和加盖签章的复印件</w:t>
            </w:r>
          </w:p>
        </w:tc>
        <w:tc>
          <w:tcPr>
            <w:tcW w:w="850" w:type="dxa"/>
            <w:vAlign w:val="top"/>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各</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份</w:t>
            </w:r>
          </w:p>
        </w:tc>
        <w:tc>
          <w:tcPr>
            <w:tcW w:w="14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522" w:type="dxa"/>
            <w:vAlign w:val="center"/>
          </w:tcPr>
          <w:p>
            <w:pPr>
              <w:jc w:val="left"/>
              <w:rPr>
                <w:rFonts w:ascii="Times New Roman" w:hAnsi="Times New Roman" w:eastAsia="仿宋_GB2312" w:cs="Times New Roman"/>
                <w:sz w:val="24"/>
                <w:szCs w:val="24"/>
              </w:rPr>
            </w:pPr>
          </w:p>
        </w:tc>
      </w:tr>
      <w:tr>
        <w:tc>
          <w:tcPr>
            <w:tcW w:w="71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60"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提钞用途材料</w:t>
            </w:r>
          </w:p>
        </w:tc>
        <w:tc>
          <w:tcPr>
            <w:tcW w:w="170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原件和加盖签章的复印件</w:t>
            </w:r>
          </w:p>
        </w:tc>
        <w:tc>
          <w:tcPr>
            <w:tcW w:w="850" w:type="dxa"/>
            <w:vAlign w:val="top"/>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各</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份</w:t>
            </w:r>
          </w:p>
        </w:tc>
        <w:tc>
          <w:tcPr>
            <w:tcW w:w="14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522"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（七）申请接受</w:t>
      </w:r>
    </w:p>
    <w:p>
      <w:pPr>
        <w:adjustRightInd w:val="0"/>
        <w:snapToGrid w:val="0"/>
        <w:spacing w:line="360" w:lineRule="auto"/>
        <w:ind w:right="31680" w:rightChars="-344" w:firstLine="31680" w:firstLineChars="200"/>
        <w:rPr>
          <w:rFonts w:ascii="Times New Roman" w:hAnsi="Times New Roman" w:eastAsia="仿宋_GB2312"/>
          <w:sz w:val="30"/>
          <w:szCs w:val="30"/>
        </w:rPr>
      </w:pPr>
      <w:r>
        <w:rPr>
          <w:rFonts w:hint="eastAsia" w:ascii="Times New Roman" w:hAnsi="Times New Roman" w:eastAsia="仿宋_GB2312" w:cs="Times New Roman"/>
          <w:sz w:val="30"/>
          <w:szCs w:val="30"/>
        </w:rPr>
        <w:t>申请人可通过</w:t>
      </w: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cs="Times New Roman"/>
          <w:sz w:val="30"/>
          <w:szCs w:val="30"/>
        </w:rPr>
        <w:t>窗口提交材料。</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（八）基本办理流程</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申请人提交申请材料；</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分支局受理；</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分支局审查；</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分支局审核；</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材料齐全予以当场办理，材料不全或不符合其他法定形式的，一次性告知补正材料，并依法出具《行政许可补正通知书》或其他文书。</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当场办理：申请、受理、审查、决定、出具有签章的《提取外币现钞备案表》或不予核准的行政许可书面决定。</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（十）审批时限</w:t>
      </w:r>
    </w:p>
    <w:p>
      <w:pPr>
        <w:adjustRightInd w:val="0"/>
        <w:snapToGrid w:val="0"/>
        <w:spacing w:line="360" w:lineRule="auto"/>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当场办理。</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不收费。</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《提取外币现钞备案表》（一人一表）。</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当场告知申请人，现场领取。</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rPr>
        <w:t>（十五）咨询途径、监督和投诉、公开查询等由所在地分支局办理</w:t>
      </w:r>
    </w:p>
    <w:p>
      <w:pPr>
        <w:adjustRightInd w:val="0"/>
        <w:snapToGrid w:val="0"/>
        <w:spacing w:line="360" w:lineRule="auto"/>
        <w:ind w:firstLine="601"/>
        <w:rPr>
          <w:rFonts w:ascii="Times New Roman" w:hAnsi="Times New Roman" w:eastAsia="仿宋_GB2312"/>
          <w:sz w:val="30"/>
          <w:szCs w:val="30"/>
        </w:rPr>
      </w:pPr>
      <w:r>
        <w:rPr>
          <w:rFonts w:hint="eastAsia" w:ascii="Times New Roman" w:hAnsi="Times New Roman" w:eastAsia="仿宋_GB2312"/>
          <w:sz w:val="30"/>
          <w:szCs w:val="30"/>
        </w:rPr>
        <w:t>向国家外汇管理局甘肃省分局进行咨询、办理进程查询、监督和投诉等可通过国家外汇管理局甘肃省分局官方网站的相应栏目进行。网址可通过</w:t>
      </w:r>
      <w:r>
        <w:rPr>
          <w:rFonts w:ascii="Times New Roman" w:hAnsi="Times New Roman" w:eastAsia="仿宋_GB2312" w:cs="Times New Roman"/>
          <w:sz w:val="30"/>
          <w:szCs w:val="30"/>
        </w:rPr>
        <w:t>www.safe.gov.cn</w:t>
      </w:r>
      <w:r>
        <w:rPr>
          <w:rStyle w:val="15"/>
          <w:rFonts w:ascii="Times New Roman" w:hAnsi="Times New Roman" w:eastAsia="仿宋_GB2312"/>
          <w:color w:val="auto"/>
          <w:sz w:val="30"/>
          <w:szCs w:val="30"/>
        </w:rPr>
        <w:t>/gansu/ywzn/index.html</w:t>
      </w:r>
      <w:r>
        <w:rPr>
          <w:rFonts w:hint="eastAsia" w:ascii="Times New Roman" w:hAnsi="Times New Roman" w:eastAsia="仿宋_GB2312"/>
          <w:sz w:val="30"/>
          <w:szCs w:val="30"/>
        </w:rPr>
        <w:t>进行链接，也可通过国家外汇管理局甘肃省分局官方互联网站上公布的电话进行。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（十六）事项审查类型</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即审即办。</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（十七）办公地址和时间</w:t>
      </w:r>
    </w:p>
    <w:p>
      <w:pPr>
        <w:adjustRightInd w:val="0"/>
        <w:snapToGrid w:val="0"/>
        <w:spacing w:line="360" w:lineRule="auto"/>
        <w:ind w:firstLine="31680" w:firstLineChars="500"/>
        <w:rPr>
          <w:rFonts w:ascii="Times New Roman" w:hAnsi="Times New Roman" w:eastAsia="仿宋_GB2312"/>
          <w:sz w:val="30"/>
          <w:szCs w:val="30"/>
        </w:rPr>
      </w:pPr>
      <w:r>
        <w:rPr>
          <w:rFonts w:hint="eastAsia" w:ascii="Times New Roman" w:hAnsi="Times New Roman" w:eastAsia="仿宋_GB2312"/>
          <w:sz w:val="30"/>
          <w:szCs w:val="30"/>
        </w:rPr>
        <w:t>国家外汇管理局甘肃省分局办公详情表</w:t>
      </w:r>
    </w:p>
    <w:tbl>
      <w:tblPr>
        <w:tblW w:w="808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66"/>
        <w:gridCol w:w="6119"/>
      </w:tblGrid>
      <w:tr>
        <w:tc>
          <w:tcPr>
            <w:tcW w:w="1966" w:type="dxa"/>
            <w:vAlign w:val="center"/>
          </w:tcPr>
          <w:p>
            <w:pPr>
              <w:jc w:val="center"/>
              <w:rPr>
                <w:rFonts w:ascii="仿宋_GB2312" w:eastAsia="仿宋_GB2312"/>
                <w:bCs/>
                <w:szCs w:val="21"/>
              </w:rPr>
            </w:pPr>
            <w:r>
              <w:rPr>
                <w:rFonts w:hint="eastAsia" w:ascii="仿宋_GB2312" w:eastAsia="仿宋_GB2312"/>
                <w:bCs/>
                <w:szCs w:val="21"/>
              </w:rPr>
              <w:t>承办部门</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国家外汇管理局甘肃省分局外汇管理处</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办理地点</w:t>
            </w:r>
            <w:r>
              <w:rPr>
                <w:rFonts w:ascii="仿宋_GB2312" w:eastAsia="仿宋_GB2312"/>
                <w:bCs/>
                <w:szCs w:val="21"/>
              </w:rPr>
              <w:t xml:space="preserve"> </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中国人民银行兰州中心支行甘肃金融培训中心（兰州市城关区东岗西路</w:t>
            </w:r>
            <w:r>
              <w:rPr>
                <w:rFonts w:ascii="仿宋_GB2312" w:hAnsi="宋体" w:eastAsia="仿宋_GB2312"/>
                <w:szCs w:val="21"/>
              </w:rPr>
              <w:t>700</w:t>
            </w:r>
            <w:r>
              <w:rPr>
                <w:rFonts w:hint="eastAsia" w:ascii="仿宋_GB2312" w:hAnsi="宋体" w:eastAsia="仿宋_GB2312"/>
                <w:szCs w:val="21"/>
              </w:rPr>
              <w:t>号）</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办公时间</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正常工作日</w:t>
            </w:r>
            <w:r>
              <w:rPr>
                <w:rFonts w:ascii="仿宋_GB2312" w:hAnsi="宋体" w:eastAsia="仿宋_GB2312"/>
                <w:szCs w:val="21"/>
              </w:rPr>
              <w:t>8:30-18:00</w:t>
            </w:r>
            <w:r>
              <w:rPr>
                <w:rFonts w:hint="eastAsia" w:ascii="仿宋_GB2312" w:hAnsi="宋体" w:eastAsia="仿宋_GB2312"/>
                <w:szCs w:val="21"/>
              </w:rPr>
              <w:t>（周一至周五，节假日除外）</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联系电话</w:t>
            </w:r>
          </w:p>
        </w:tc>
        <w:tc>
          <w:tcPr>
            <w:tcW w:w="6119" w:type="dxa"/>
            <w:vAlign w:val="center"/>
          </w:tcPr>
          <w:p>
            <w:pPr>
              <w:adjustRightInd w:val="0"/>
              <w:snapToGrid w:val="0"/>
              <w:rPr>
                <w:rFonts w:ascii="仿宋_GB2312" w:hAnsi="宋体" w:eastAsia="仿宋_GB2312"/>
                <w:szCs w:val="21"/>
              </w:rPr>
            </w:pPr>
            <w:r>
              <w:rPr>
                <w:rFonts w:ascii="仿宋_GB2312" w:hAnsi="宋体" w:eastAsia="仿宋_GB2312"/>
                <w:szCs w:val="21"/>
              </w:rPr>
              <w:t>0931-8800628</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监督电话</w:t>
            </w:r>
          </w:p>
        </w:tc>
        <w:tc>
          <w:tcPr>
            <w:tcW w:w="6119" w:type="dxa"/>
            <w:vAlign w:val="center"/>
          </w:tcPr>
          <w:p>
            <w:pPr>
              <w:adjustRightInd w:val="0"/>
              <w:snapToGrid w:val="0"/>
              <w:rPr>
                <w:rFonts w:ascii="仿宋_GB2312" w:hAnsi="宋体" w:eastAsia="仿宋_GB2312"/>
                <w:szCs w:val="21"/>
              </w:rPr>
            </w:pPr>
            <w:r>
              <w:rPr>
                <w:rFonts w:ascii="仿宋_GB2312" w:hAnsi="宋体" w:eastAsia="仿宋_GB2312"/>
                <w:szCs w:val="21"/>
              </w:rPr>
              <w:t>0931-8800737</w:t>
            </w: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（十八）示范文本及错误范例</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个人申请当日累计提取超过等值</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万美元外币现钞，应提交申请书，说明相关情况并证明其确有提钞需求，并签字。</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例：</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外汇局</w:t>
      </w:r>
      <w:r>
        <w:rPr>
          <w:rFonts w:ascii="Times New Roman" w:hAnsi="Times New Roman" w:eastAsia="仿宋_GB2312" w:cs="Times New Roman"/>
          <w:sz w:val="30"/>
          <w:szCs w:val="30"/>
        </w:rPr>
        <w:t>XXX</w:t>
      </w:r>
      <w:r>
        <w:rPr>
          <w:rFonts w:hint="eastAsia" w:ascii="Times New Roman" w:hAnsi="Times New Roman" w:eastAsia="仿宋_GB2312" w:cs="Times New Roman"/>
          <w:sz w:val="30"/>
          <w:szCs w:val="30"/>
        </w:rPr>
        <w:t>分支局：</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本人某某，身份证号</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护照号为</w:t>
      </w:r>
      <w:r>
        <w:rPr>
          <w:rFonts w:ascii="Times New Roman" w:hAnsi="Times New Roman" w:eastAsia="仿宋_GB2312" w:cs="Times New Roman"/>
          <w:sz w:val="30"/>
          <w:szCs w:val="30"/>
        </w:rPr>
        <w:t>XXXXX</w:t>
      </w:r>
      <w:r>
        <w:rPr>
          <w:rFonts w:hint="eastAsia" w:ascii="Times New Roman" w:hAnsi="Times New Roman" w:eastAsia="仿宋_GB2312" w:cs="Times New Roman"/>
          <w:sz w:val="30"/>
          <w:szCs w:val="30"/>
        </w:rPr>
        <w:t>，今因公务原因</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回国</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须前往</w:t>
      </w:r>
      <w:r>
        <w:rPr>
          <w:rFonts w:ascii="Times New Roman" w:hAnsi="Times New Roman" w:eastAsia="仿宋_GB2312" w:cs="Times New Roman"/>
          <w:sz w:val="30"/>
          <w:szCs w:val="30"/>
        </w:rPr>
        <w:t>XX</w:t>
      </w:r>
      <w:r>
        <w:rPr>
          <w:rFonts w:hint="eastAsia" w:ascii="Times New Roman" w:hAnsi="Times New Roman" w:eastAsia="仿宋_GB2312" w:cs="Times New Roman"/>
          <w:sz w:val="30"/>
          <w:szCs w:val="30"/>
        </w:rPr>
        <w:t>国，</w:t>
      </w:r>
      <w:r>
        <w:rPr>
          <w:rFonts w:ascii="Times New Roman" w:hAnsi="Times New Roman" w:eastAsia="仿宋_GB2312" w:cs="Times New Roman"/>
          <w:sz w:val="30"/>
          <w:szCs w:val="30"/>
        </w:rPr>
        <w:t>XX</w:t>
      </w:r>
      <w:r>
        <w:rPr>
          <w:rFonts w:hint="eastAsia" w:ascii="Times New Roman" w:hAnsi="Times New Roman" w:eastAsia="仿宋_GB2312" w:cs="Times New Roman"/>
          <w:sz w:val="30"/>
          <w:szCs w:val="30"/>
        </w:rPr>
        <w:t>国系战乱</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金融管制</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国家，本人须提取外币现钞</w:t>
      </w:r>
      <w:r>
        <w:rPr>
          <w:rFonts w:ascii="Times New Roman" w:hAnsi="Times New Roman" w:eastAsia="仿宋_GB2312" w:cs="Times New Roman"/>
          <w:sz w:val="30"/>
          <w:szCs w:val="30"/>
        </w:rPr>
        <w:t>XXX</w:t>
      </w:r>
      <w:r>
        <w:rPr>
          <w:rFonts w:hint="eastAsia" w:ascii="Times New Roman" w:hAnsi="Times New Roman" w:eastAsia="仿宋_GB2312" w:cs="Times New Roman"/>
          <w:sz w:val="30"/>
          <w:szCs w:val="30"/>
        </w:rPr>
        <w:t>元，币种为</w:t>
      </w:r>
      <w:r>
        <w:rPr>
          <w:rFonts w:ascii="Times New Roman" w:hAnsi="Times New Roman" w:eastAsia="仿宋_GB2312" w:cs="Times New Roman"/>
          <w:sz w:val="30"/>
          <w:szCs w:val="30"/>
        </w:rPr>
        <w:t>XX</w:t>
      </w:r>
      <w:r>
        <w:rPr>
          <w:rFonts w:hint="eastAsia" w:ascii="Times New Roman" w:hAnsi="Times New Roman" w:eastAsia="仿宋_GB2312" w:cs="Times New Roman"/>
          <w:sz w:val="30"/>
          <w:szCs w:val="30"/>
        </w:rPr>
        <w:t>。本人外币现钞来源为</w:t>
      </w:r>
      <w:r>
        <w:rPr>
          <w:rFonts w:ascii="Times New Roman" w:hAnsi="Times New Roman" w:eastAsia="仿宋_GB2312" w:cs="Times New Roman"/>
          <w:sz w:val="30"/>
          <w:szCs w:val="30"/>
        </w:rPr>
        <w:t>XXX/</w:t>
      </w:r>
      <w:r>
        <w:rPr>
          <w:rFonts w:hint="eastAsia" w:ascii="Times New Roman" w:hAnsi="Times New Roman" w:eastAsia="仿宋_GB2312" w:cs="Times New Roman"/>
          <w:sz w:val="30"/>
          <w:szCs w:val="30"/>
        </w:rPr>
        <w:t>提取外币现钞用途为</w:t>
      </w:r>
      <w:r>
        <w:rPr>
          <w:rFonts w:ascii="Times New Roman" w:hAnsi="Times New Roman" w:eastAsia="仿宋_GB2312" w:cs="Times New Roman"/>
          <w:sz w:val="30"/>
          <w:szCs w:val="30"/>
        </w:rPr>
        <w:t>XXX</w:t>
      </w:r>
      <w:r>
        <w:rPr>
          <w:rFonts w:hint="eastAsia" w:ascii="Times New Roman" w:hAnsi="Times New Roman" w:eastAsia="仿宋_GB2312" w:cs="Times New Roman"/>
          <w:sz w:val="30"/>
          <w:szCs w:val="30"/>
        </w:rPr>
        <w:t>，望批准。</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right="600" w:firstLine="31680" w:firstLineChars="19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签名</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日期</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错误范例：金额、申请人姓名、提钞来源</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用途、提钞金额及币种等项目遗漏，未签章确认，或提钞用途不符合外汇局提取外币现钞相关要求。</w:t>
      </w:r>
    </w:p>
    <w:p>
      <w:pPr>
        <w:widowControl/>
        <w:jc w:val="left"/>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Calibri" w:hAnsi="Calibri" w:eastAsia="宋体" w:cs="黑体"/>
          <w:kern w:val="2"/>
          <w:sz w:val="21"/>
          <w:szCs w:val="22"/>
          <w:lang w:val="en-US" w:eastAsia="zh-CN" w:bidi="ar-SA"/>
        </w:rPr>
        <w:pict>
          <v:group id="组合 1026" o:spid="_x0000_s1027" style="position:absolute;left:0;margin-left:-21.85pt;margin-top:10.45pt;height:226.15pt;width:453.05pt;rotation:0f;z-index:251658240;" coordorigin="1363,2897" coordsize="9061,4523">
            <o:lock v:ext="edit" position="f" selection="f" grouping="f" rotation="f" cropping="f" text="f" aspectratio="f"/>
            <v:shape id="AutoShape 211" o:spid="_x0000_s1028" type="#_x0000_t116" style="position:absolute;left:1943;top:2897;height:1172;width:1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shape>
            <v:roundrect id="AutoShape 213" o:spid="_x0000_s1029" style="position:absolute;left:7495;top:3918;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v:roundrect id="AutoShape 214" o:spid="_x0000_s1030" style="position:absolute;left:4839;top:5537;height:871;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v:roundrect id="AutoShape 215" o:spid="_x0000_s1031" style="position:absolute;left:4839;top:6684;height:63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p/>
                </w:txbxContent>
              </v:textbox>
            </v:roundrect>
            <v:shape id="AutoShape 216" o:spid="_x0000_s1032" type="#_x0000_t32" style="position:absolute;left:2835;top:4069;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7" o:spid="_x0000_s1033" type="#_x0000_t32" style="position:absolute;left:3667;top:6084;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8" o:spid="_x0000_s1034" type="#_x0000_t32" style="position:absolute;left:3667;top:6894;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9" o:spid="_x0000_s1035" type="#_x0000_t32" style="position:absolute;left:8707;top:4642;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20" o:spid="_x0000_s1036" type="#_x0000_t32" style="position:absolute;left:2852;top:4275;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33" o:spid="_x0000_s1037" type="#_x0000_t110" style="position:absolute;left:1363;top:5537;height:1883;width:291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adjustRightInd w:val="0"/>
                      <w:snapToGrid w:val="0"/>
                    </w:pPr>
                    <w:r>
                      <w:rPr>
                        <w:rFonts w:hint="eastAsia"/>
                      </w:rPr>
                      <w:t>分支局受理、审查、审核</w:t>
                    </w:r>
                  </w:p>
                </w:txbxContent>
              </v:textbox>
            </v:shape>
          </v:group>
        </w:pict>
      </w: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nhideWhenUsed="0" w:uiPriority="99" w:name="footnote text"/>
    <w:lsdException w:unhideWhenUsed="0" w:uiPriority="99" w:semiHidden="0" w:name="annotation text"/>
    <w:lsdException w:unhideWhenUsed="0" w:uiPriority="99" w:semiHidden="0" w:name="header"/>
    <w:lsdException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nhideWhenUsed="0" w:uiPriority="99" w:semiHidden="0" w:name="footnote reference"/>
    <w:lsdException w:unhideWhenUsed="0" w:uiPriority="99" w:semiHidden="0" w:name="annotation reference"/>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unhideWhenUsed="0" w:uiPriority="99" w:semiHidden="0" w:name="Document Map"/>
    <w:lsdException w:uiPriority="0" w:name="Plain Text" w:locked="1"/>
    <w:lsdException w:uiPriority="0" w:name="E-mail Signature" w:locked="1"/>
    <w:lsdException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nhideWhenUsed="0" w:uiPriority="99" w:semiHidden="0" w:name="HTML Preformatted"/>
    <w:lsdException w:uiPriority="0" w:name="HTML Sample" w:locked="1"/>
    <w:lsdException w:uiPriority="0" w:name="HTML Typewriter" w:locked="1"/>
    <w:lsdException w:uiPriority="0" w:name="HTML Variable" w:locked="1"/>
    <w:lsdException w:uiPriority="0" w:name="annotation subject" w:locked="1"/>
    <w:lsdException w:unhideWhenUsed="0"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6"/>
    <w:qFormat/>
    <w:uiPriority w:val="9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7"/>
    <w:qFormat/>
    <w:uiPriority w:val="9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8"/>
    <w:qFormat/>
    <w:uiPriority w:val="99"/>
    <w:pPr>
      <w:ind w:right="300"/>
      <w:outlineLvl w:val="2"/>
    </w:pPr>
    <w:rPr>
      <w:rFonts w:ascii="仿宋_GB2312" w:eastAsia="仿宋_GB2312" w:cs="Times New Roman"/>
      <w:sz w:val="30"/>
      <w:szCs w:val="30"/>
    </w:rPr>
  </w:style>
  <w:style w:type="character" w:default="1" w:styleId="12">
    <w:name w:val="Default Paragraph Font"/>
    <w:semiHidden/>
    <w:uiPriority w:val="99"/>
  </w:style>
  <w:style w:type="paragraph" w:styleId="5">
    <w:name w:val="Document Map"/>
    <w:basedOn w:val="1"/>
    <w:link w:val="29"/>
    <w:uiPriority w:val="99"/>
    <w:rPr>
      <w:rFonts w:ascii="宋体"/>
      <w:sz w:val="18"/>
      <w:szCs w:val="18"/>
    </w:rPr>
  </w:style>
  <w:style w:type="paragraph" w:styleId="6">
    <w:name w:val="annotation text"/>
    <w:basedOn w:val="1"/>
    <w:link w:val="30"/>
    <w:uiPriority w:val="99"/>
    <w:pPr>
      <w:jc w:val="left"/>
    </w:pPr>
    <w:rPr>
      <w:rFonts w:cs="Times New Roman"/>
    </w:rPr>
  </w:style>
  <w:style w:type="paragraph" w:styleId="7">
    <w:name w:val="Balloon Text"/>
    <w:basedOn w:val="1"/>
    <w:link w:val="31"/>
    <w:uiPriority w:val="99"/>
    <w:rPr>
      <w:sz w:val="18"/>
      <w:szCs w:val="18"/>
    </w:rPr>
  </w:style>
  <w:style w:type="paragraph" w:styleId="8">
    <w:name w:val="footer"/>
    <w:basedOn w:val="1"/>
    <w:link w:val="32"/>
    <w:uiPriority w:val="99"/>
    <w:pPr>
      <w:tabs>
        <w:tab w:val="center" w:pos="4153"/>
        <w:tab w:val="right" w:pos="8306"/>
      </w:tabs>
      <w:snapToGrid w:val="0"/>
      <w:jc w:val="left"/>
    </w:pPr>
    <w:rPr>
      <w:sz w:val="18"/>
      <w:szCs w:val="18"/>
    </w:rPr>
  </w:style>
  <w:style w:type="paragraph" w:styleId="9">
    <w:name w:val="header"/>
    <w:basedOn w:val="1"/>
    <w:link w:val="33"/>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uiPriority w:val="99"/>
    <w:pPr>
      <w:snapToGrid w:val="0"/>
      <w:jc w:val="left"/>
    </w:pPr>
    <w:rPr>
      <w:rFonts w:cs="Times New Roman"/>
      <w:kern w:val="2"/>
      <w:sz w:val="18"/>
      <w:szCs w:val="18"/>
    </w:rPr>
  </w:style>
  <w:style w:type="character" w:customStyle="1" w:styleId="11">
    <w:name w:val="脚注文本 Char"/>
    <w:basedOn w:val="12"/>
    <w:semiHidden/>
    <w:uiPriority w:val="99"/>
    <w:rPr>
      <w:rFonts w:cs="Times New Roman"/>
      <w:kern w:val="2"/>
      <w:sz w:val="18"/>
      <w:szCs w:val="18"/>
    </w:rPr>
  </w:style>
  <w:style w:type="paragraph" w:styleId="13">
    <w:name w:val="HTML Preformatted"/>
    <w:basedOn w:val="1"/>
    <w:link w:val="35"/>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iPriority w:val="99"/>
    <w:rPr>
      <w:rFonts w:ascii="??" w:hAnsi="??" w:cs="Times New Roman"/>
      <w:color w:val="0453CC"/>
      <w:sz w:val="20"/>
      <w:szCs w:val="20"/>
      <w:u w:val="none"/>
    </w:rPr>
  </w:style>
  <w:style w:type="character" w:styleId="16">
    <w:name w:val="annotation reference"/>
    <w:basedOn w:val="12"/>
    <w:uiPriority w:val="99"/>
    <w:rPr>
      <w:rFonts w:cs="Times New Roman"/>
      <w:sz w:val="21"/>
      <w:szCs w:val="21"/>
    </w:rPr>
  </w:style>
  <w:style w:type="character" w:styleId="17">
    <w:name w:val="footnote reference"/>
    <w:basedOn w:val="12"/>
    <w:uiPriority w:val="99"/>
    <w:rPr>
      <w:rFonts w:ascii="Times New Roman" w:hAnsi="Times New Roman" w:cs="Times New Roman"/>
      <w:vertAlign w:val="superscript"/>
    </w:rPr>
  </w:style>
  <w:style w:type="paragraph" w:customStyle="1" w:styleId="18">
    <w:name w:val="列出段落1"/>
    <w:basedOn w:val="1"/>
    <w:uiPriority w:val="99"/>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rPr>
  </w:style>
  <w:style w:type="paragraph" w:customStyle="1" w:styleId="20">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uiPriority w:val="99"/>
    <w:rPr>
      <w:rFonts w:ascii="Calibri" w:hAnsi="Calibri" w:cs="黑体"/>
    </w:rPr>
  </w:style>
  <w:style w:type="paragraph" w:customStyle="1" w:styleId="22">
    <w:name w:val="列出段落11"/>
    <w:basedOn w:val="1"/>
    <w:uiPriority w:val="99"/>
    <w:pPr>
      <w:ind w:firstLine="420" w:firstLineChars="200"/>
    </w:pPr>
    <w:rPr>
      <w:rFonts w:cs="Times New Roman"/>
    </w:rPr>
  </w:style>
  <w:style w:type="paragraph" w:customStyle="1" w:styleId="23">
    <w:name w:val="列出段落4"/>
    <w:basedOn w:val="1"/>
    <w:uiPriority w:val="99"/>
    <w:pPr>
      <w:ind w:firstLine="200" w:firstLineChars="200"/>
    </w:pPr>
    <w:rPr>
      <w:rFonts w:cs="Times New Roman"/>
    </w:rPr>
  </w:style>
  <w:style w:type="paragraph" w:customStyle="1" w:styleId="24">
    <w:name w:val="列出段落3"/>
    <w:basedOn w:val="1"/>
    <w:uiPriority w:val="99"/>
    <w:pPr>
      <w:ind w:firstLine="420" w:firstLineChars="200"/>
    </w:pPr>
    <w:rPr>
      <w:rFonts w:ascii="Times New Roman" w:hAnsi="Times New Roman" w:cs="Times New Roman"/>
      <w:szCs w:val="24"/>
    </w:rPr>
  </w:style>
  <w:style w:type="paragraph" w:customStyle="1" w:styleId="25">
    <w:name w:val="p0"/>
    <w:basedOn w:val="1"/>
    <w:uiPriority w:val="99"/>
    <w:pPr>
      <w:widowControl/>
    </w:pPr>
    <w:rPr>
      <w:rFonts w:cs="宋体"/>
      <w:kern w:val="0"/>
      <w:szCs w:val="21"/>
    </w:rPr>
  </w:style>
  <w:style w:type="character" w:customStyle="1" w:styleId="26">
    <w:name w:val="Heading 1 Char"/>
    <w:basedOn w:val="12"/>
    <w:link w:val="2"/>
    <w:uiPriority w:val="99"/>
    <w:rPr>
      <w:rFonts w:ascii="黑体" w:hAnsi="黑体" w:eastAsia="黑体" w:cs="宋体"/>
      <w:color w:val="000000"/>
      <w:kern w:val="0"/>
      <w:sz w:val="30"/>
      <w:szCs w:val="30"/>
    </w:rPr>
  </w:style>
  <w:style w:type="character" w:customStyle="1" w:styleId="27">
    <w:name w:val="Heading 2 Char"/>
    <w:basedOn w:val="12"/>
    <w:link w:val="3"/>
    <w:uiPriority w:val="99"/>
    <w:rPr>
      <w:rFonts w:ascii="Cambria" w:hAnsi="Cambria" w:eastAsia="宋体" w:cs="Times New Roman"/>
      <w:b/>
      <w:bCs/>
      <w:sz w:val="32"/>
      <w:szCs w:val="32"/>
    </w:rPr>
  </w:style>
  <w:style w:type="character" w:customStyle="1" w:styleId="28">
    <w:name w:val="Heading 3 Char"/>
    <w:basedOn w:val="12"/>
    <w:link w:val="4"/>
    <w:uiPriority w:val="99"/>
    <w:rPr>
      <w:rFonts w:ascii="仿宋_GB2312" w:hAnsi="Calibri" w:eastAsia="仿宋_GB2312" w:cs="Times New Roman"/>
      <w:sz w:val="30"/>
      <w:szCs w:val="30"/>
    </w:rPr>
  </w:style>
  <w:style w:type="character" w:customStyle="1" w:styleId="29">
    <w:name w:val="Document Map Char Char"/>
    <w:basedOn w:val="12"/>
    <w:link w:val="5"/>
    <w:uiPriority w:val="99"/>
    <w:rPr>
      <w:rFonts w:ascii="宋体" w:cs="Times New Roman"/>
      <w:sz w:val="18"/>
      <w:szCs w:val="18"/>
    </w:rPr>
  </w:style>
  <w:style w:type="character" w:customStyle="1" w:styleId="30">
    <w:name w:val="Comment Text Char"/>
    <w:basedOn w:val="12"/>
    <w:link w:val="6"/>
    <w:uiPriority w:val="99"/>
    <w:rPr>
      <w:rFonts w:ascii="Calibri" w:hAnsi="Calibri" w:eastAsia="宋体" w:cs="Times New Roman"/>
    </w:rPr>
  </w:style>
  <w:style w:type="character" w:customStyle="1" w:styleId="31">
    <w:name w:val="Balloon Text Char Char"/>
    <w:basedOn w:val="12"/>
    <w:link w:val="7"/>
    <w:uiPriority w:val="99"/>
    <w:rPr>
      <w:rFonts w:cs="Times New Roman"/>
      <w:sz w:val="18"/>
      <w:szCs w:val="18"/>
    </w:rPr>
  </w:style>
  <w:style w:type="character" w:customStyle="1" w:styleId="32">
    <w:name w:val="Footer Char"/>
    <w:basedOn w:val="12"/>
    <w:link w:val="8"/>
    <w:uiPriority w:val="99"/>
    <w:rPr>
      <w:rFonts w:cs="Times New Roman"/>
      <w:sz w:val="18"/>
      <w:szCs w:val="18"/>
    </w:rPr>
  </w:style>
  <w:style w:type="character" w:customStyle="1" w:styleId="33">
    <w:name w:val="Header Char"/>
    <w:basedOn w:val="12"/>
    <w:link w:val="9"/>
    <w:uiPriority w:val="99"/>
    <w:rPr>
      <w:rFonts w:cs="Times New Roman"/>
      <w:sz w:val="18"/>
      <w:szCs w:val="18"/>
    </w:rPr>
  </w:style>
  <w:style w:type="character" w:customStyle="1" w:styleId="34">
    <w:name w:val="Footnote Text Char"/>
    <w:basedOn w:val="12"/>
    <w:link w:val="10"/>
    <w:uiPriority w:val="99"/>
    <w:rPr>
      <w:rFonts w:ascii="Times New Roman" w:hAnsi="Times New Roman" w:cs="Times New Roman"/>
      <w:sz w:val="18"/>
      <w:szCs w:val="18"/>
    </w:rPr>
  </w:style>
  <w:style w:type="character" w:customStyle="1" w:styleId="35">
    <w:name w:val="HTML Preformatted Char Char"/>
    <w:basedOn w:val="12"/>
    <w:link w:val="13"/>
    <w:uiPriority w:val="99"/>
    <w:rPr>
      <w:rFonts w:ascii="宋体" w:hAnsi="宋体" w:eastAsia="宋体" w:cs="宋体"/>
      <w:kern w:val="0"/>
      <w:sz w:val="24"/>
      <w:szCs w:val="24"/>
    </w:rPr>
  </w:style>
  <w:style w:type="character" w:customStyle="1" w:styleId="36">
    <w:name w:val="标题 4 Char Char"/>
    <w:uiPriority w:val="99"/>
    <w:rPr>
      <w:rFonts w:ascii="Calibri" w:hAnsi="Calibri"/>
      <w:b/>
      <w:sz w:val="28"/>
      <w:lang w:eastAsia="en-US"/>
    </w:rPr>
  </w:style>
  <w:style w:type="character" w:customStyle="1" w:styleId="37">
    <w:name w:val="批注文字 Char1"/>
    <w:basedOn w:val="12"/>
    <w:semiHidden/>
    <w:uiPriority w:val="99"/>
    <w:rPr>
      <w:rFonts w:cs="Times New Roman"/>
      <w:kern w:val="2"/>
      <w:sz w:val="22"/>
      <w:szCs w:val="22"/>
    </w:rPr>
  </w:style>
  <w:style w:type="character" w:customStyle="1" w:styleId="38">
    <w:name w:val="明显强调1"/>
    <w:basedOn w:val="12"/>
    <w:uiPriority w:val="99"/>
    <w:rPr>
      <w:rFonts w:cs="Times New Roman"/>
      <w:b/>
      <w:bCs/>
      <w:i/>
      <w:iCs/>
      <w:color w:val="4F81BD"/>
    </w:rPr>
  </w:style>
  <w:style w:type="character" w:customStyle="1" w:styleId="39">
    <w:name w:val="文档结构图 Char1"/>
    <w:basedOn w:val="12"/>
    <w:semiHidden/>
    <w:uiPriority w:val="99"/>
    <w:rPr>
      <w:rFonts w:ascii="宋体" w:eastAsia="宋体" w:cs="Times New Roman"/>
      <w:sz w:val="18"/>
      <w:szCs w:val="18"/>
    </w:rPr>
  </w:style>
  <w:style w:type="character" w:customStyle="1" w:styleId="40">
    <w:name w:val="脚注文本 Char2"/>
    <w:basedOn w:val="12"/>
    <w:semiHidden/>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269</Words>
  <Characters>1538</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2020-02-27T03:48:00Z</dcterms:created>
  <dc:creator>裴建君2</dc:creator>
  <cp:lastModifiedBy>张乃丹</cp:lastModifiedBy>
  <cp:lastPrinted>2020-09-23T02:38:00Z</cp:lastPrinted>
  <dcterms:modified xsi:type="dcterms:W3CDTF">2021-09-13T08:15:32Z</dcterms:modified>
  <dc:title>编号：57016               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