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pStyle w:val="2"/>
        <w:ind w:firstLine="0" w:firstLineChars="0"/>
        <w:jc w:val="center"/>
        <w:rPr>
          <w:sz w:val="44"/>
          <w:szCs w:val="44"/>
        </w:rPr>
      </w:pPr>
      <w:bookmarkStart w:id="0" w:name="_Toc118729020"/>
      <w:r>
        <w:rPr>
          <w:sz w:val="44"/>
          <w:szCs w:val="44"/>
        </w:rPr>
        <w:t>“</w:t>
      </w:r>
      <w:r>
        <w:rPr>
          <w:rFonts w:hint="eastAsia"/>
          <w:sz w:val="44"/>
          <w:szCs w:val="44"/>
        </w:rPr>
        <w:t>非银行金融机构（不含保险公司）资本金（或营运资金）本外币转换管理</w:t>
      </w:r>
      <w:r>
        <w:rPr>
          <w:sz w:val="44"/>
          <w:szCs w:val="44"/>
        </w:rPr>
        <w:t>”行政审批服务指南</w:t>
      </w:r>
      <w:bookmarkEnd w:id="0"/>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sz w:val="30"/>
          <w:szCs w:val="30"/>
        </w:rPr>
        <w:t>发布机构：国家外汇管理局安徽</w:t>
      </w:r>
      <w:r>
        <w:rPr>
          <w:rFonts w:hint="eastAsia" w:ascii="Times New Roman" w:hAnsi="Times New Roman" w:eastAsia="仿宋_GB2312"/>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rPr>
          <w:rFonts w:ascii="Times New Roman" w:hAnsi="Times New Roman" w:eastAsia="黑体" w:cs="Times New Roman"/>
          <w:sz w:val="30"/>
          <w:szCs w:val="30"/>
        </w:rPr>
      </w:pPr>
      <w:bookmarkStart w:id="1" w:name="_Toc8322_WPSOffice_Level1"/>
      <w:r>
        <w:rPr>
          <w:rFonts w:ascii="Times New Roman" w:hAnsi="Times New Roman" w:eastAsia="黑体" w:cs="Times New Roman"/>
          <w:sz w:val="30"/>
          <w:szCs w:val="30"/>
        </w:rPr>
        <w:t>一、项目信息</w:t>
      </w:r>
      <w:bookmarkEnd w:id="1"/>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子项名称：非银行金融机构（不含保险公司）资本金（或营运资金）本外币转换管理；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bookmarkStart w:id="2" w:name="_Toc4675_WPSOffice_Level1"/>
      <w:r>
        <w:rPr>
          <w:rFonts w:ascii="Times New Roman" w:hAnsi="Times New Roman" w:eastAsia="黑体" w:cs="Times New Roman"/>
          <w:sz w:val="30"/>
          <w:szCs w:val="30"/>
        </w:rPr>
        <w:t>二、适用范围</w:t>
      </w:r>
      <w:bookmarkEnd w:id="2"/>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本指南适用于“非银行金融机构（不含保险公司）资本金（或营运资金）本外币转换管理”的申请和办理。</w:t>
      </w:r>
    </w:p>
    <w:p>
      <w:pPr>
        <w:adjustRightInd w:val="0"/>
        <w:snapToGrid w:val="0"/>
        <w:spacing w:line="360" w:lineRule="auto"/>
        <w:ind w:firstLine="585"/>
        <w:rPr>
          <w:rFonts w:ascii="Times New Roman" w:hAnsi="Times New Roman" w:eastAsia="黑体" w:cs="Times New Roman"/>
          <w:sz w:val="30"/>
          <w:szCs w:val="30"/>
        </w:rPr>
      </w:pPr>
      <w:bookmarkStart w:id="3" w:name="_Toc30790_WPSOffice_Level1"/>
      <w:r>
        <w:rPr>
          <w:rFonts w:ascii="Times New Roman" w:hAnsi="Times New Roman" w:eastAsia="黑体" w:cs="Times New Roman"/>
          <w:sz w:val="30"/>
          <w:szCs w:val="30"/>
        </w:rPr>
        <w:t>三、设定依据</w:t>
      </w:r>
      <w:bookmarkEnd w:id="3"/>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bookmarkStart w:id="4" w:name="_Toc20759_WPSOffice_Level1"/>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bookmarkEnd w:id="4"/>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7"/>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7"/>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pStyle w:val="7"/>
        <w:adjustRightInd w:val="0"/>
        <w:snapToGrid w:val="0"/>
        <w:spacing w:line="360" w:lineRule="auto"/>
        <w:ind w:firstLine="600"/>
        <w:rPr>
          <w:rFonts w:ascii="Times New Roman" w:hAnsi="Times New Roman" w:eastAsia="仿宋_GB2312"/>
          <w:color w:val="auto"/>
          <w:sz w:val="30"/>
          <w:szCs w:val="30"/>
        </w:rPr>
      </w:pPr>
      <w:bookmarkStart w:id="5" w:name="_GoBack"/>
      <w:bookmarkEnd w:id="5"/>
      <w:r>
        <w:rPr>
          <w:rFonts w:ascii="Times New Roman" w:hAnsi="Times New Roman" w:eastAsia="仿宋_GB2312"/>
          <w:color w:val="auto"/>
          <w:sz w:val="30"/>
          <w:szCs w:val="30"/>
        </w:rPr>
        <w:t>申请人所在地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w:t>
      </w:r>
      <w:r>
        <w:rPr>
          <w:rFonts w:hint="eastAsia" w:ascii="Times New Roman" w:hAnsi="Times New Roman" w:eastAsia="仿宋_GB2312"/>
          <w:color w:val="auto"/>
          <w:sz w:val="30"/>
        </w:rPr>
        <w:t>辖内中心支局（支局）</w:t>
      </w:r>
      <w:r>
        <w:rPr>
          <w:rFonts w:ascii="Times New Roman" w:hAnsi="Times New Roman" w:eastAsia="仿宋_GB2312"/>
          <w:color w:val="auto"/>
          <w:sz w:val="30"/>
          <w:szCs w:val="30"/>
        </w:rPr>
        <w:t>。</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pStyle w:val="7"/>
        <w:adjustRightInd w:val="0"/>
        <w:snapToGrid w:val="0"/>
        <w:spacing w:line="360" w:lineRule="auto"/>
        <w:ind w:firstLine="600"/>
        <w:rPr>
          <w:rFonts w:ascii="Times New Roman" w:hAnsi="Times New Roman" w:eastAsia="仿宋_GB2312"/>
          <w:color w:val="auto"/>
          <w:sz w:val="30"/>
          <w:szCs w:val="30"/>
        </w:rPr>
      </w:pPr>
      <w:r>
        <w:rPr>
          <w:rFonts w:ascii="Times New Roman" w:hAnsi="Times New Roman" w:eastAsia="仿宋_GB2312"/>
          <w:color w:val="auto"/>
          <w:sz w:val="30"/>
          <w:szCs w:val="30"/>
        </w:rPr>
        <w:t>申请人所在地</w:t>
      </w:r>
      <w:r>
        <w:rPr>
          <w:rFonts w:hint="eastAsia" w:ascii="Times New Roman" w:hAnsi="Times New Roman" w:eastAsia="仿宋_GB2312"/>
          <w:color w:val="auto"/>
          <w:sz w:val="30"/>
        </w:rPr>
        <w:t>国家外汇管理局安徽省分局</w:t>
      </w:r>
      <w:r>
        <w:rPr>
          <w:rFonts w:hint="eastAsia" w:ascii="Times New Roman" w:hAnsi="Times New Roman" w:eastAsia="仿宋_GB2312"/>
          <w:color w:val="auto"/>
          <w:sz w:val="30"/>
          <w:lang w:eastAsia="zh-CN"/>
        </w:rPr>
        <w:t>或</w:t>
      </w:r>
      <w:r>
        <w:rPr>
          <w:rFonts w:hint="eastAsia" w:ascii="Times New Roman" w:hAnsi="Times New Roman" w:eastAsia="仿宋_GB2312"/>
          <w:color w:val="auto"/>
          <w:sz w:val="30"/>
        </w:rPr>
        <w:t>辖内中心支局（支局）</w:t>
      </w:r>
      <w:r>
        <w:rPr>
          <w:rFonts w:ascii="Times New Roman" w:hAnsi="Times New Roman" w:eastAsia="仿宋_GB2312"/>
          <w:color w:val="auto"/>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7"/>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7"/>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7"/>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6"/>
        <w:tblW w:w="8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sz w:val="30"/>
          <w:szCs w:val="30"/>
        </w:rPr>
      </w:pPr>
      <w:r>
        <w:rPr>
          <w:rFonts w:ascii="Times New Roman" w:hAnsi="Times New Roman" w:eastAsia="黑体"/>
          <w:sz w:val="30"/>
          <w:szCs w:val="30"/>
        </w:rPr>
        <w:t>（十五）咨询途径、监督和投诉、公开查询等由国家外汇管理局安徽省分局</w:t>
      </w:r>
      <w:r>
        <w:rPr>
          <w:rFonts w:hint="eastAsia" w:ascii="Times New Roman" w:hAnsi="Times New Roman" w:eastAsia="黑体"/>
          <w:sz w:val="30"/>
          <w:szCs w:val="30"/>
        </w:rPr>
        <w:t>办理</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向国家外汇管理局安徽省分局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进行咨询、进程查询、监督和投诉等可通过国家外汇管理局</w:t>
      </w:r>
      <w:r>
        <w:rPr>
          <w:rFonts w:hint="eastAsia" w:ascii="Times New Roman" w:hAnsi="Times New Roman" w:eastAsia="仿宋_GB2312"/>
          <w:sz w:val="30"/>
          <w:szCs w:val="30"/>
        </w:rPr>
        <w:t>安徽省</w:t>
      </w:r>
      <w:r>
        <w:rPr>
          <w:rFonts w:ascii="Times New Roman" w:hAnsi="Times New Roman" w:eastAsia="仿宋_GB2312"/>
          <w:sz w:val="30"/>
          <w:szCs w:val="30"/>
        </w:rPr>
        <w:t>分局官方互联网站的相应栏目进行。网址可通过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sz w:val="30"/>
          <w:szCs w:val="30"/>
        </w:rPr>
        <w:t>www.safe.gov.cn</w:t>
      </w:r>
      <w:r>
        <w:rPr>
          <w:rFonts w:ascii="Times New Roman" w:hAnsi="Times New Roman" w:eastAsia="仿宋_GB2312"/>
          <w:sz w:val="30"/>
          <w:szCs w:val="30"/>
        </w:rPr>
        <w:fldChar w:fldCharType="end"/>
      </w:r>
      <w:r>
        <w:rPr>
          <w:rFonts w:ascii="Times New Roman" w:hAnsi="Times New Roman" w:eastAsia="仿宋_GB2312"/>
          <w:sz w:val="30"/>
          <w:szCs w:val="30"/>
        </w:rPr>
        <w:t>进行链接，也可通过</w:t>
      </w:r>
      <w:r>
        <w:fldChar w:fldCharType="begin"/>
      </w:r>
      <w:r>
        <w:instrText xml:space="preserve"> HYPERLINK "http://www.safe.gov.cn/anhui/" </w:instrText>
      </w:r>
      <w:r>
        <w:fldChar w:fldCharType="separate"/>
      </w:r>
      <w:r>
        <w:rPr>
          <w:rFonts w:ascii="Times New Roman" w:hAnsi="Times New Roman" w:eastAsia="仿宋_GB2312"/>
          <w:sz w:val="30"/>
          <w:szCs w:val="30"/>
        </w:rPr>
        <w:t>www.safe.gov.cn</w:t>
      </w:r>
      <w:r>
        <w:rPr>
          <w:rFonts w:hint="eastAsia" w:ascii="Times New Roman" w:hAnsi="Times New Roman" w:eastAsia="仿宋_GB2312"/>
          <w:sz w:val="30"/>
          <w:szCs w:val="30"/>
        </w:rPr>
        <w:t>/anhui/</w:t>
      </w:r>
      <w:r>
        <w:rPr>
          <w:rFonts w:hint="eastAsia" w:ascii="Times New Roman" w:hAnsi="Times New Roman" w:eastAsia="仿宋_GB2312"/>
          <w:sz w:val="30"/>
          <w:szCs w:val="30"/>
        </w:rPr>
        <w:fldChar w:fldCharType="end"/>
      </w:r>
      <w:r>
        <w:rPr>
          <w:rFonts w:ascii="Times New Roman" w:hAnsi="Times New Roman" w:eastAsia="仿宋_GB2312"/>
          <w:sz w:val="30"/>
          <w:szCs w:val="30"/>
        </w:rPr>
        <w:t>进</w:t>
      </w:r>
      <w:r>
        <w:rPr>
          <w:rFonts w:ascii="Times New Roman" w:hAnsi="Times New Roman" w:eastAsia="仿宋_GB2312"/>
          <w:sz w:val="30"/>
        </w:rPr>
        <w:t>行访问</w:t>
      </w:r>
      <w:r>
        <w:rPr>
          <w:rFonts w:hint="eastAsia" w:ascii="Times New Roman" w:hAnsi="Times New Roman" w:eastAsia="仿宋_GB2312"/>
          <w:sz w:val="30"/>
        </w:rPr>
        <w:t>，安徽省分局咨询电话：0551-63691123</w:t>
      </w:r>
      <w:r>
        <w:rPr>
          <w:rFonts w:ascii="Times New Roman" w:hAnsi="Times New Roman" w:eastAsia="仿宋_GB2312"/>
          <w:sz w:val="30"/>
          <w:szCs w:val="30"/>
        </w:rPr>
        <w:t>。</w:t>
      </w:r>
    </w:p>
    <w:p>
      <w:pPr>
        <w:adjustRightInd w:val="0"/>
        <w:snapToGrid w:val="0"/>
        <w:spacing w:line="360" w:lineRule="auto"/>
        <w:ind w:firstLine="600"/>
        <w:rPr>
          <w:rFonts w:ascii="Times New Roman" w:hAnsi="Times New Roman" w:eastAsia="黑体"/>
          <w:sz w:val="30"/>
          <w:szCs w:val="30"/>
        </w:rPr>
      </w:pPr>
      <w:r>
        <w:rPr>
          <w:rFonts w:hint="eastAsia" w:ascii="Times New Roman" w:hAnsi="Times New Roman" w:eastAsia="黑体"/>
          <w:sz w:val="30"/>
          <w:szCs w:val="30"/>
        </w:rPr>
        <w:t>（十六）</w:t>
      </w:r>
      <w:r>
        <w:rPr>
          <w:rFonts w:ascii="Times New Roman" w:hAnsi="Times New Roman" w:eastAsia="黑体"/>
          <w:sz w:val="30"/>
          <w:szCs w:val="30"/>
        </w:rPr>
        <w:t>办公地址和时间</w:t>
      </w:r>
    </w:p>
    <w:p>
      <w:pPr>
        <w:adjustRightInd w:val="0"/>
        <w:snapToGrid w:val="0"/>
        <w:spacing w:line="360" w:lineRule="auto"/>
        <w:ind w:firstLine="600"/>
        <w:rPr>
          <w:rFonts w:hint="eastAsia" w:ascii="Times New Roman" w:hAnsi="Times New Roman" w:eastAsia="仿宋_GB2312"/>
          <w:sz w:val="30"/>
          <w:szCs w:val="30"/>
        </w:rPr>
      </w:pPr>
      <w:r>
        <w:rPr>
          <w:rFonts w:ascii="Times New Roman" w:hAnsi="Times New Roman" w:eastAsia="仿宋_GB2312"/>
          <w:sz w:val="30"/>
          <w:szCs w:val="30"/>
        </w:rPr>
        <w:t>该项行政许可具体由国家外汇管理局</w:t>
      </w:r>
      <w:r>
        <w:rPr>
          <w:rFonts w:hint="eastAsia" w:ascii="Times New Roman" w:hAnsi="Times New Roman" w:eastAsia="仿宋_GB2312"/>
          <w:sz w:val="30"/>
          <w:szCs w:val="30"/>
        </w:rPr>
        <w:t>及辖内中心支局（支局）</w:t>
      </w:r>
      <w:r>
        <w:rPr>
          <w:rFonts w:ascii="Times New Roman" w:hAnsi="Times New Roman" w:eastAsia="仿宋_GB2312"/>
          <w:sz w:val="30"/>
          <w:szCs w:val="30"/>
        </w:rPr>
        <w:t>办理</w:t>
      </w:r>
      <w:r>
        <w:rPr>
          <w:rFonts w:hint="eastAsia" w:ascii="Times New Roman" w:hAnsi="Times New Roman" w:eastAsia="仿宋_GB2312"/>
          <w:sz w:val="30"/>
          <w:szCs w:val="30"/>
        </w:rPr>
        <w:t>。</w:t>
      </w:r>
      <w:r>
        <w:rPr>
          <w:rFonts w:ascii="Times New Roman" w:hAnsi="Times New Roman" w:eastAsia="仿宋_GB2312"/>
          <w:sz w:val="30"/>
          <w:szCs w:val="30"/>
        </w:rPr>
        <w:t>安徽省分局办公地址</w:t>
      </w:r>
      <w:r>
        <w:rPr>
          <w:rFonts w:hint="eastAsia" w:ascii="Times New Roman" w:hAnsi="Times New Roman" w:eastAsia="仿宋_GB2312"/>
          <w:sz w:val="30"/>
          <w:szCs w:val="30"/>
        </w:rPr>
        <w:t>：合肥市滨湖新区洞庭湖路3366号，办公时间：工作日上午8:30-12:00，下午14:00-17:00。</w:t>
      </w:r>
    </w:p>
    <w:p>
      <w:pPr>
        <w:adjustRightInd w:val="0"/>
        <w:snapToGrid w:val="0"/>
        <w:spacing w:line="360" w:lineRule="auto"/>
        <w:ind w:firstLine="600"/>
        <w:rPr>
          <w:rFonts w:hint="eastAsia" w:ascii="Times New Roman" w:hAnsi="Times New Roman" w:eastAsia="仿宋_GB2312"/>
          <w:sz w:val="30"/>
          <w:szCs w:val="30"/>
        </w:rPr>
      </w:pPr>
      <w:r>
        <w:rPr>
          <w:rFonts w:hint="eastAsia" w:ascii="Times New Roman" w:hAnsi="Times New Roman" w:eastAsia="仿宋_GB2312"/>
          <w:sz w:val="30"/>
          <w:szCs w:val="30"/>
        </w:rPr>
        <w:t>辖内中心支局（支局）办公地址和办公时间见国家外汇管理局安徽省分局官方互联网站的相应栏目。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9" o:spid="_x0000_s1030" o:spt="203" style="position:absolute;left:0pt;margin-left:-9pt;margin-top:10.1pt;height:586.05pt;width:450.7pt;z-index:251658240;mso-width-relative:page;mso-height-relative:page;" coordsize="9014,11721">
            <o:lock v:ext="edit" position="f" selection="f" grouping="f" rotation="f" cropping="f" text="f" aspectratio="f"/>
            <v:rect id="矩形 1030" o:spid="_x0000_s1031" o:spt="1" style="position:absolute;left:3001;top:8319;height:534;width:298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t>审核</w:t>
                    </w:r>
                  </w:p>
                </w:txbxContent>
              </v:textbox>
            </v:rect>
            <v:shape id="流程图: 终止 1031" o:spid="_x0000_s1032" o:spt="116" type="#_x0000_t116" style="position:absolute;left:4513;top:10681;height:1037;width:3675;"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流程图: 终止 1032" o:spid="_x0000_s1033" o:spt="116" type="#_x0000_t116" style="position:absolute;left:788;top:10663;height:1058;width:3461;"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直接连接符 1033" o:spid="_x0000_s1034" o:spt="32" type="#_x0000_t32" style="position:absolute;left:4475;top:7693;height:626;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4" o:spid="_x0000_s1035" o:spt="32" type="#_x0000_t32" style="position:absolute;left:6424;top:9568;height:1095;width:17;"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5" o:spid="_x0000_s1036" o:spt="32" type="#_x0000_t32" style="position:absolute;left:2451;top:9568;height:1035;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36" o:spid="_x0000_s1037" o:spt="32" type="#_x0000_t32" style="position:absolute;left:4476;top:8853;height:715;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37" o:spid="_x0000_s1038" o:spt="32" type="#_x0000_t32" style="position:absolute;left:2452;top:9568;height:0;width:3972;"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38" o:spid="_x0000_s1039" o:spt="203" style="position:absolute;left:0;top:0;height:7693;width:9014;" coordsize="9014,7693">
              <o:lock v:ext="edit" position="f" selection="f" grouping="f" rotation="f" cropping="f" text="f" aspectratio="f"/>
              <v:shape id="直接连接符 1039" o:spid="_x0000_s1040" o:spt="32" type="#_x0000_t32" style="position:absolute;left:5986;top:6566;height:60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id="组合 1040" o:spid="_x0000_s1041" o:spt="203" style="position:absolute;left:0;top:0;height:7693;width:9014;" coordsize="9014,7693">
                <o:lock v:ext="edit" position="f" selection="f" grouping="f" rotation="f" cropping="f" text="f" aspectratio="f"/>
                <v:shape id="肘形连接符 1041" o:spid="_x0000_s1042" o:spt="34" type="#_x0000_t34" style="position:absolute;left:6456;top:3151;height:1285;width:3823;rotation:17694720f;" fillcolor="#FFFFFF" filled="t" o:preferrelative="t" stroked="t" coordsize="21600,21600" adj="33">
                  <v:path arrowok="t"/>
                  <v:fill on="t" focussize="0,0"/>
                  <v:stroke color="#000000" color2="#FFFFFF" opacity="65536f" miterlimit="2"/>
                  <v:imagedata gain="65536f" blacklevel="0f" gamma="0" o:title=""/>
                  <o:lock v:ext="edit" position="f" selection="f" grouping="f" rotation="f" cropping="f" text="f" aspectratio="f"/>
                </v:shape>
                <v:rect id="矩形 1042" o:spid="_x0000_s1043" o:spt="1" style="position:absolute;left:8089;top:2297;height:2553;width:754;"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rect>
                <v:shape id="直接连接符 1043" o:spid="_x0000_s1044" o:spt="32" type="#_x0000_t32" style="position:absolute;left:5986;top:4472;height:378;width:0;"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44" o:spid="_x0000_s1045" o:spt="1" style="position:absolute;left:2661;top:6566;height:477;width:2737;"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pPr>
                          <w:jc w:val="center"/>
                        </w:pPr>
                        <w:r>
                          <w:rPr>
                            <w:rFonts w:hint="eastAsia"/>
                          </w:rPr>
                          <w:t>材料齐全并符合受理要求</w:t>
                        </w:r>
                      </w:p>
                    </w:txbxContent>
                  </v:textbox>
                </v:rect>
                <v:shape id="菱形 1045" o:spid="_x0000_s1046" o:spt="4" type="#_x0000_t4" style="position:absolute;left:4249;top:4833;height:1733;width:348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rPr>
                          <w:t>申请人补充材料</w:t>
                        </w:r>
                      </w:p>
                    </w:txbxContent>
                  </v:textbox>
                </v:shape>
                <v:rect id="矩形 1046" o:spid="_x0000_s1047" o:spt="1" style="position:absolute;left:2661;top:7174;height:519;width:4816;"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矩形 1047" o:spid="_x0000_s1048" o:spt="1" style="position:absolute;left:4659;top:3341;height:1114;width:3190;"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流程图: 终止 1048" o:spid="_x0000_s1049" o:spt="116" type="#_x0000_t116" style="position:absolute;left:4659;top:1110;height:1530;width:3039;"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9" o:spid="_x0000_s1050" o:spt="203" style="position:absolute;left:0;top:0;height:7424;width:4687;" coordsize="4687,7424">
                  <o:lock v:ext="edit" position="f" selection="f" grouping="f" rotation="f" cropping="f" text="f" aspectratio="f"/>
                  <v:shape id="直接连接符 1050" o:spid="_x0000_s1051" o:spt="32" type="#_x0000_t32" style="position:absolute;left:3756;top:3910;height:0;width:93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1" o:spid="_x0000_s1052" o:spt="32" type="#_x0000_t32" style="position:absolute;left:1448;top:3986;height:3437;width:1;"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group id="组合 1052" o:spid="_x0000_s1053" o:spt="203" style="position:absolute;left:0;top:0;height:3986;width:3737;" coordsize="3737,3986">
                    <o:lock v:ext="edit" position="f" selection="f" grouping="f" rotation="f" cropping="f" text="f" aspectratio="f"/>
                    <v:shape id="直接连接符 1053" o:spid="_x0000_s1054" o:spt="32" type="#_x0000_t32" style="position:absolute;left:1489;top:1172;height:764;width:1;"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4" o:spid="_x0000_s1055" o:spt="32" type="#_x0000_t32" style="position:absolute;left:2983;top:2961;height:6;width:754;"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菱形 1055" o:spid="_x0000_s1056" o:spt="4" type="#_x0000_t4" style="position:absolute;left:0;top:1936;height:2050;width:2968;"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流程图: 终止 1056" o:spid="_x0000_s1057" o:spt="116" type="#_x0000_t116" style="position:absolute;left:277;top:0;height:1172;width:2724;"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jc w:val="center"/>
                            </w:pPr>
                            <w:r>
                              <w:rPr>
                                <w:rFonts w:hint="eastAsia"/>
                              </w:rPr>
                              <w:t>申请人提出书面申请，并提交材料</w:t>
                            </w:r>
                          </w:p>
                        </w:txbxContent>
                      </v:textbox>
                    </v:shape>
                  </v:group>
                  <v:shape id="直接连接符 1057" o:spid="_x0000_s1058" o:spt="32" type="#_x0000_t32" style="position:absolute;left:1448;top:7423;height:1;width:121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shape id="直接连接符 1058" o:spid="_x0000_s1059" o:spt="32" type="#_x0000_t32" style="position:absolute;left:3756;top:1999;height:1921;width:0;" fillcolor="#FFFFFF" filled="t" o:preferrelative="t" stroked="t" coordsize="21600,21600">
                    <v:path arrowok="t"/>
                    <v:fill on="t" focussize="0,0"/>
                    <v:stroke color="#000000" color2="#FFFFFF" opacity="65536f" miterlimit="2"/>
                    <v:imagedata gain="65536f" blacklevel="0f" gamma="0" o:title=""/>
                    <o:lock v:ext="edit" position="f" selection="f" grouping="f" rotation="f" cropping="f" text="f" aspectratio="f"/>
                  </v:shape>
                  <v:shape id="直接连接符 1059" o:spid="_x0000_s1060" o:spt="32" type="#_x0000_t32" style="position:absolute;left:3756;top:1989;height:1;width:903;"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rect id="矩形 1060" o:spid="_x0000_s1061" o:spt="1" style="position:absolute;left:690;top:5280;height:1152;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w:txbxContent>
                        <w:p>
                          <w:r>
                            <w:rPr>
                              <w:rFonts w:hint="eastAsia"/>
                            </w:rPr>
                            <w:t>是</w:t>
                          </w:r>
                        </w:p>
                      </w:txbxContent>
                    </v:textbox>
                  </v:rect>
                  <v:rect id="矩形 1061" o:spid="_x0000_s1062" o:spt="1" style="position:absolute;left:2892;top:2220;height:471;width:508;" fillcolor="#FFFFFF" filled="t" o:preferrelative="t" stroked="t" coordsize="21600,21600">
                    <v:path/>
                    <v:fill on="t" focussize="0,0"/>
                    <v:stroke color="#FFFFFF" color2="#FFFFFF" opacity="65536f" miterlimit="2"/>
                    <v:imagedata gain="65536f" blacklevel="0f" gamma="0" o:title=""/>
                    <o:lock v:ext="edit" position="f" selection="f" grouping="f" rotation="f" cropping="f" text="f" aspectratio="f"/>
                    <v:textbox style="mso-fit-shape-to-text:t;">
                      <w:txbxContent>
                        <w:p>
                          <w:r>
                            <w:rPr>
                              <w:rFonts w:hint="eastAsia"/>
                            </w:rPr>
                            <w:t>否</w:t>
                          </w:r>
                        </w:p>
                      </w:txbxContent>
                    </v:textbox>
                  </v:rect>
                </v:group>
                <v:shape id="直接连接符 1062" o:spid="_x0000_s1063" o:spt="32" type="#_x0000_t32" style="position:absolute;left:7698;top:1875;flip:x y;height:11;width:1316;" fillcolor="#FFFFFF" filled="t" o:preferrelative="t" stroked="t" coordsize="21600,21600">
                  <v:path arrowok="t"/>
                  <v:fill on="t" focussize="0,0"/>
                  <v:stroke color="#000000" color2="#FFFFFF" opacity="65536f" miterlimit="2" endarrow="block"/>
                  <v:imagedata gain="65536f" blacklevel="0f" gamma="0" o:title=""/>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7"/>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p>
      <w:pPr>
        <w:adjustRightInd w:val="0"/>
        <w:snapToGrid w:val="0"/>
        <w:spacing w:line="360" w:lineRule="auto"/>
        <w:ind w:firstLine="960" w:firstLineChars="200"/>
        <w:rPr>
          <w:rFonts w:ascii="Times New Roman" w:hAnsi="Times New Roman" w:eastAsia="黑体" w:cs="Times New Roman"/>
          <w:sz w:val="48"/>
          <w:szCs w:val="48"/>
        </w:rPr>
      </w:pPr>
    </w:p>
    <w:p>
      <w:pPr>
        <w:adjustRightInd w:val="0"/>
        <w:snapToGrid w:val="0"/>
        <w:spacing w:line="360" w:lineRule="auto"/>
        <w:ind w:firstLine="960" w:firstLineChars="200"/>
        <w:rPr>
          <w:rFonts w:ascii="Times New Roman" w:hAnsi="Times New Roman" w:eastAsia="黑体" w:cs="Times New Roman"/>
          <w:sz w:val="48"/>
          <w:szCs w:val="48"/>
        </w:rPr>
      </w:pPr>
    </w:p>
    <w:p>
      <w:pPr>
        <w:pStyle w:val="8"/>
        <w:adjustRightInd w:val="0"/>
        <w:snapToGrid w:val="0"/>
        <w:spacing w:line="360" w:lineRule="auto"/>
        <w:ind w:firstLine="600"/>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cs="Times New Roman"/>
        </w:rPr>
      </w:pPr>
    </w:p>
    <w:p>
      <w:pPr>
        <w:rPr>
          <w:rFonts w:ascii="Times New Roman" w:hAnsi="Times New Roman" w:eastAsia="仿宋_GB2312" w:cs="Times New Roman"/>
          <w:sz w:val="30"/>
          <w:szCs w:val="30"/>
        </w:rPr>
      </w:pPr>
    </w:p>
    <w:p>
      <w:pPr>
        <w:widowControl/>
        <w:ind w:firstLine="600" w:firstLineChars="200"/>
        <w:rPr>
          <w:rFonts w:ascii="Times New Roman" w:hAnsi="Times New Roman" w:eastAsia="仿宋_GB2312" w:cs="Times New Roman"/>
          <w:sz w:val="30"/>
          <w:szCs w:val="30"/>
        </w:rPr>
      </w:pPr>
    </w:p>
    <w:p>
      <w:pPr>
        <w:ind w:firstLine="420" w:firstLineChars="200"/>
        <w:rPr>
          <w:rFonts w:ascii="Times New Roman" w:hAnsi="Times New Roman" w:eastAsia="华文仿宋" w:cs="Times New Roman"/>
        </w:rPr>
      </w:pPr>
    </w:p>
    <w:p/>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2"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252</w:t>
                </w:r>
                <w:r>
                  <w:rPr>
                    <w:rFonts w:hint="eastAsia"/>
                    <w:sz w:val="18"/>
                  </w:rPr>
                  <w:fldChar w:fldCharType="end"/>
                </w:r>
              </w:p>
            </w:txbxContent>
          </v:textbox>
        </v:rect>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251</w:t>
                </w:r>
                <w:r>
                  <w:rPr>
                    <w:rFonts w:hint="eastAsia"/>
                    <w:sz w:val="18"/>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3" o:spid="_x0000_s2051"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rect>
      </w:pic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w:pict>
        <v:rect id="文本框 38" o:spid="_x0000_s2052"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265</w:t>
                </w:r>
                <w:r>
                  <w:rPr>
                    <w:rFonts w:hint="eastAsia"/>
                    <w:sz w:val="18"/>
                  </w:rPr>
                  <w:fldChar w:fldCharType="end"/>
                </w:r>
              </w:p>
            </w:txbxContent>
          </v:textbox>
        </v:rect>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73706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直接连接符 1033"/>
        <o:r id="V:Rule2" type="connector" idref="#直接连接符 1034"/>
        <o:r id="V:Rule3" type="connector" idref="#直接连接符 1035"/>
        <o:r id="V:Rule4" type="connector" idref="#直接连接符 1036"/>
        <o:r id="V:Rule5" type="connector" idref="#直接连接符 1037"/>
        <o:r id="V:Rule6" type="connector" idref="#直接连接符 1039"/>
        <o:r id="V:Rule7" type="connector" idref="#肘形连接符 1041"/>
        <o:r id="V:Rule8" type="connector" idref="#直接连接符 1043"/>
        <o:r id="V:Rule9" type="connector" idref="#直接连接符 1050"/>
        <o:r id="V:Rule10" type="connector" idref="#直接连接符 1051"/>
        <o:r id="V:Rule11" type="connector" idref="#直接连接符 1053"/>
        <o:r id="V:Rule12" type="connector" idref="#直接连接符 1054"/>
        <o:r id="V:Rule13" type="connector" idref="#直接连接符 1057"/>
        <o:r id="V:Rule14" type="connector" idref="#直接连接符 1058"/>
        <o:r id="V:Rule15" type="connector" idref="#直接连接符 1059"/>
        <o:r id="V:Rule16" type="connector" idref="#直接连接符 106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ind w:firstLine="600" w:firstLineChars="200"/>
      <w:outlineLvl w:val="0"/>
    </w:pPr>
    <w:rPr>
      <w:rFonts w:ascii="黑体" w:hAnsi="黑体" w:eastAsia="黑体" w:cs="宋体"/>
      <w:color w:val="000000"/>
      <w:kern w:val="0"/>
      <w:sz w:val="30"/>
      <w:szCs w:val="30"/>
    </w:rPr>
  </w:style>
  <w:style w:type="character" w:default="1" w:styleId="5">
    <w:name w:val="Default Paragraph Font"/>
    <w:semiHidden/>
    <w:qFormat/>
    <w:uiPriority w:val="0"/>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4"/>
    <w:basedOn w:val="1"/>
    <w:qFormat/>
    <w:uiPriority w:val="0"/>
    <w:pPr>
      <w:ind w:firstLine="200" w:firstLineChars="200"/>
    </w:pPr>
    <w:rPr>
      <w:rFonts w:cs="Times New Roman"/>
    </w:rPr>
  </w:style>
  <w:style w:type="paragraph" w:customStyle="1" w:styleId="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1"/>
    <customShpInfo spid="_x0000_s2052"/>
    <customShpInfo spid="_x0000_s1031"/>
    <customShpInfo spid="_x0000_s1032"/>
    <customShpInfo spid="_x0000_s1033"/>
    <customShpInfo spid="_x0000_s1034" textRotate="1"/>
    <customShpInfo spid="_x0000_s1035" textRotate="1"/>
    <customShpInfo spid="_x0000_s1036" textRotate="1"/>
    <customShpInfo spid="_x0000_s1037" textRotate="1"/>
    <customShpInfo spid="_x0000_s1038" textRotate="1"/>
    <customShpInfo spid="_x0000_s1040" textRotate="1"/>
    <customShpInfo spid="_x0000_s1042" textRotate="1"/>
    <customShpInfo spid="_x0000_s1043"/>
    <customShpInfo spid="_x0000_s1044" textRotate="1"/>
    <customShpInfo spid="_x0000_s1045"/>
    <customShpInfo spid="_x0000_s1046"/>
    <customShpInfo spid="_x0000_s1047"/>
    <customShpInfo spid="_x0000_s1048"/>
    <customShpInfo spid="_x0000_s1049"/>
    <customShpInfo spid="_x0000_s1051" textRotate="1"/>
    <customShpInfo spid="_x0000_s1052" textRotate="1"/>
    <customShpInfo spid="_x0000_s1054" textRotate="1"/>
    <customShpInfo spid="_x0000_s1055" textRotate="1"/>
    <customShpInfo spid="_x0000_s1056"/>
    <customShpInfo spid="_x0000_s1057"/>
    <customShpInfo spid="_x0000_s1053"/>
    <customShpInfo spid="_x0000_s1058" textRotate="1"/>
    <customShpInfo spid="_x0000_s1059" textRotate="1"/>
    <customShpInfo spid="_x0000_s1060" textRotate="1"/>
    <customShpInfo spid="_x0000_s1061"/>
    <customShpInfo spid="_x0000_s1062"/>
    <customShpInfo spid="_x0000_s1050"/>
    <customShpInfo spid="_x0000_s1063" textRotate="1"/>
    <customShpInfo spid="_x0000_s1041"/>
    <customShpInfo spid="_x0000_s103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2023-08-17T09:30:00Z</dcterms:created>
  <dc:creator>悲伤还是快乐</dc:creator>
  <cp:lastModifiedBy>匿名用户</cp:lastModifiedBy>
  <dcterms:modified xsi:type="dcterms:W3CDTF">2023-08-18T02:39:45Z</dcterms:modified>
  <dc:title>“非银行金融机构（不含保险公司）资本金（或营运资金）本外币转换管理”行政审批服务指南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FEAA4B7784BC4415B42FF49A3D035C7F_11</vt:lpwstr>
  </property>
</Properties>
</file>