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省级分局和计划单列市分局办理的内保外贷登记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【000171108003】</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境内机构外债、跨境担保核准【00017110800Y】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省级分局和计划单列市分局办理的内保外贷登记【000171108003】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（1）省级分局和计划单列市分局办理的内保外贷签约登记(00017110800301)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（2）省级分局和计划单列市分局办理的内保外贷变更登记(00017110800302)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（3）省级分局和计划单列市分局办理的内保外贷注销登记(00017110800303)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（1）《中华人民共和国外汇管理条例》第十九条</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（2）《国务院对确需保留的行政审批项目设定行政许可的决定》附件第471项</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（1）《跨境担保外汇管理规定》第三条、第六条、第九条、第十条、第十六条、附件2</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（2）《国家外汇管理局关于对部分非银行机构内保外贷业务实行集中登记管理的通知》</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（3）《国家外汇管理局关于优化外汇管理支持涉外业务发展的通知》第一条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（4）《国家外汇管理局行政许可实施办法》</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内保外贷登记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省级分局和计划单列市分局办理的内保外贷签约登记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注册地在境内的非银行金融机构或企业（以下简称非银行机构），为债务人和债权人注册地均在境外的跨境担保的担保人提供内保外贷，按照行业主管部门规定，应具有相应担保业务经营资格。</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省级分局和计划单列市分局办理的内保外贷变更登记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担保合同或担保项下债务合同主要条款及内容发生变更的（同一内保外贷业务下存在多个境内担保人的，可自行约定其中一个担保人到所在地外汇局办理登记手续）。</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省级分局和计划单列市分局办理的内保外贷注销登记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非金融企业内保外贷责任已解除且未发生内保外贷履约的情况下，可到所属省级分局和计划单列市分局辖内银行直接办理内保外贷注销登记。不符合上述条件的，由担保人注册所在地或户籍所在地外汇局办理（同一内保外贷业务下存在多个境内担保人的，可自行约定其中一个担保人到所在地外汇局办理登记手续）。</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（1）《跨境担保外汇管理规定》第三、九、十、十六条第三条：“……内保外贷是指担保人注册地在境内、债务人和债权人注册地均在境外的跨境担保……。”</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九条：“……担保人为非银行金融机构或企业（以下简称非银行机构）的，应在签订担保合同后15个工作日内到所在地外汇局办理内保外贷签约登记手续。担保合同主要条款发生变更的，应当办理内保外贷签约变更登记手续……。”</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第十条：“银行、非银行金融机构作为担保人提供内保外贷，按照行业主管部门规定，应具有相应担保业务经营资格。”</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第十六条：“境内个人可作为担保人并参照非银行机构办理内保外贷业务”。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跨境担保外汇管理规定》附件2《跨境担保外汇管理操作指引》第一部分……4.同一内保外贷业务下存在多个境内担保人的，可自行约定其中一个担保人到所在地外汇局办理登记手续。外汇局在办理内保外贷登记时，应在备注栏中注明其他担保人。</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……（二）担保人为非银行金融机构或企业（以下简称为非银行机构）的，应在签订担保合同后 15个工作日内到所在地外汇局办理内保外贷签约登记手续。担保合同或担保项下债务合同主要条款发生变更的（包括债务合同展期以及债务或担保金额、债务或担保期限、债权人等发生变更），应当在 15 个工作日内办理内保外贷变更登记手续……。</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内保外贷项下债务人还清担保项下债务、担保人付款责任到期或发生担保履约后，担保人应办理内保外贷登记注销手续。其中，银行可通过数据接口程序或其他方式向外汇局资本项目系统报送内保外贷更新数据；非银行机构应在15个工作日内到外汇局申请注销相关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关于优化外汇管理支持涉外业务发展的通知》第一条……将符合条件的内保外贷和境外放款注销登记下放至银行办理。非金融企业内保外贷责任已解除且未发生内保外贷履约的情况下，可到其所属省级分局和计划单列市分局辖内银行直接办理内保外贷注销登记……。</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开展“双随机、一公开”监管，依法查处违规行为，适时公开相关案例。</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依法及时处理投诉举报。</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（1）省级分局和计划单列市分局办理的内保外贷签约登记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加盖公章的书面申请原件1件</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担保合同、担保项下主债务合同和加盖公章的担保合同和担保项下主债务合同主要条款及内容复印件各1份（验原件，留存复印件）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发改委、商务部门关于境外投资项目的批准文件、被担保人主体资格合法性证明、担保的商业合理性证明、被担保人还款能力证明等材料原件及加盖公章的复印件各1份（验原件，留存复印件）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营业执照（统一社会信用代码证）原件或加盖公章的复印件1份。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（2）省级分局和计划单列市分局办理的内保外贷变更登记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加盖公章的书面申请原件1件</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担保合同、担保项下主债务合同原件和加盖公章的担保合同和担保项下的主债务合同主要条款及内容复印件各1份（验原件，留存复印件）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发改委、商务部门关于境外投资项目的批准文件、被担保人主体资格合法性证明、担保的商业合理性证明、被担保人还款能力证明等材料原件及加盖公章的复印件各1份（验原件，留存复印件）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办理内保外贷签约变更登记时，还应提供变更事项的真实性证明材料原件及加盖公章的复印件各1份（验原件，留存复印件）</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（3）省级分局和计划单列市分局办理的内保外贷注销登记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加盖公章的书面申请原件1份，（附原《内保外贷登记表》）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内保外贷责任解除的相关证明材料原件及加盖公章的复印件各1份（验原件，留存复印件）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（1）《跨境担保外汇管理规定》第四、六条第四条：国家外汇管理局及其分支局负责规范跨境担保产生的各类国际收支交易。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第六条：外汇局对内保外贷和外保内贷实行登记管理。</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（2）《跨境担保外汇管理规定》附件2《跨境担保外汇管理操作指引》第一部分第二条1、非银行机构到外汇局办理内保外贷签约登记时，应提供以下材料：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办理内保外贷签约登记的书面申请报告（内容包括公司基本情况、已办理且未了结的各项跨境担保余额、本次担保交易内容要点、预计还款资金来源、其他需要说明的事项。有共同担保人的，应在申请报告中说明）；</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（2）担保合同和担保项下主债务合同（合同文本内容较多的，提供合同简明条款并加盖印章；合同为外文的，须提供中文翻译件并加盖印章）；</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（3）外汇局根据本规定认为需要补充的相关证明材料（如发改委、商务部门关于境外投资项目的批准文件、办理变更登记时需要提供的变更材料等）。</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（3）《资本项目外汇业务操作指引（2020年版）》第二部分“2.4内保外贷签约登记及变更、注销登记”“审核材料”一、内保外贷签约（变更）登记二、内保外贷注销登记（二）非银行机构</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1.书面申请，并附原《内保外贷登记表》。2.内保外贷责任解除的相关证明材料。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《国家外汇管理局行政许可实施办法》第十条外汇局收到行政许可申请后，应区分下列情况分别作出处理：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ascii="方正仿宋_GBK" w:hAnsi="方正仿宋_GBK" w:eastAsia="方正仿宋_GBK" w:cs="方正仿宋_GBK"/>
          <w:sz w:val="28"/>
          <w:szCs w:val="28"/>
        </w:rPr>
        <w:t>（4）申请事项属于本局职责范围，申请材料齐全、符合法定形式，或者申请人按照要求提交全部补正申请材料的，应受理行政许可申请，出具行政许可受理通知书。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《内保外贷登记表》《业务登记凭证》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w:t>
      </w:r>
      <w:r>
        <w:rPr>
          <w:rFonts w:hint="eastAsia" w:ascii="方正仿宋_GBK" w:hAnsi="方正仿宋_GBK" w:eastAsia="方正仿宋_GBK" w:cs="方正仿宋_GBK"/>
          <w:sz w:val="28"/>
          <w:szCs w:val="28"/>
          <w:lang w:eastAsia="zh-CN"/>
        </w:rPr>
        <w:t>管理</w:t>
      </w:r>
      <w:r>
        <w:rPr>
          <w:rFonts w:hint="eastAsia" w:ascii="方正仿宋_GBK" w:hAnsi="方正仿宋_GBK" w:eastAsia="方正仿宋_GBK" w:cs="方正仿宋_GBK"/>
          <w:sz w:val="28"/>
          <w:szCs w:val="28"/>
        </w:rPr>
        <w:t>局北京市分局</w:t>
      </w:r>
    </w:p>
    <w:p>
      <w:pPr>
        <w:spacing w:line="540" w:lineRule="exact"/>
        <w:outlineLvl w:val="1"/>
        <w:rPr>
          <w:rFonts w:ascii="Times New Roman" w:hAnsi="Times New Roman" w:eastAsia="黑体"/>
          <w:sz w:val="28"/>
          <w:szCs w:val="28"/>
        </w:rPr>
      </w:pPr>
      <w:bookmarkStart w:id="0" w:name="_GoBack"/>
      <w:bookmarkEnd w:id="0"/>
      <w:r>
        <w:rPr>
          <w:rFonts w:hint="eastAsia" w:ascii="Times New Roman" w:hAnsi="Times New Roman" w:eastAsia="黑体"/>
          <w:sz w:val="28"/>
          <w:szCs w:val="28"/>
        </w:rPr>
        <w:t>十五、备注</w:t>
      </w:r>
    </w:p>
    <w:p>
      <w:pPr>
        <w:rPr>
          <w:rFonts w:ascii="仿宋_GB2312" w:hAnsi="Times New Roman" w:eastAsia="仿宋_GB2312"/>
          <w:b/>
          <w:bCs/>
          <w:sz w:val="28"/>
          <w:szCs w:val="28"/>
        </w:rPr>
      </w:pPr>
      <w:r>
        <w:rPr>
          <w:rFonts w:hint="eastAsia" w:ascii="仿宋_GB2312" w:hAnsi="Times New Roman" w:eastAsia="仿宋_GB2312"/>
          <w:b/>
          <w:bCs/>
          <w:sz w:val="28"/>
          <w:szCs w:val="28"/>
        </w:rPr>
        <w:t xml:space="preserve">    国家外汇管理局北京市分局</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办理地址：</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北京市海淀区莲花池东路39号西金大厦9、10层，邮编100036</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办理时间：</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周一至周五（法定节假日除外）上午8：30-11：30，下午13：00-17：00</w:t>
      </w:r>
    </w:p>
    <w:p>
      <w:pPr>
        <w:rPr>
          <w:rFonts w:hint="eastAsia" w:ascii="仿宋_GB2312" w:hAnsi="Times New Roman" w:eastAsia="仿宋_GB2312"/>
          <w:b/>
          <w:bCs/>
          <w:sz w:val="28"/>
          <w:szCs w:val="28"/>
        </w:rPr>
      </w:pPr>
      <w:r>
        <w:rPr>
          <w:rFonts w:hint="eastAsia" w:ascii="仿宋_GB2312" w:hAnsi="Times New Roman" w:eastAsia="仿宋_GB2312"/>
          <w:b/>
          <w:bCs/>
          <w:sz w:val="28"/>
          <w:szCs w:val="28"/>
        </w:rPr>
        <w:t xml:space="preserve">    咨询方式：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（一）咨询窗口：国家外汇管理局北京市分局经常项目管理处11-14窗口， 资本项目管理处1-4、7-10 窗口， 国际收支处11-14窗口</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（二）咨询电话：（010）68559550</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（三）咨询网址：http://www.safe.gov.cn/beijing（留言反馈）</w:t>
      </w:r>
    </w:p>
    <w:p>
      <w:pPr>
        <w:rPr>
          <w:rFonts w:hint="eastAsia" w:ascii="仿宋_GB2312" w:hAnsi="Times New Roman" w:eastAsia="仿宋_GB2312"/>
          <w:bCs/>
          <w:sz w:val="28"/>
          <w:szCs w:val="28"/>
        </w:rPr>
      </w:pPr>
      <w:r>
        <w:rPr>
          <w:rFonts w:hint="eastAsia" w:ascii="仿宋_GB2312" w:hAnsi="Times New Roman" w:eastAsia="仿宋_GB2312"/>
          <w:bCs/>
          <w:sz w:val="28"/>
          <w:szCs w:val="28"/>
        </w:rPr>
        <w:t>监督投诉方式：</w:t>
      </w:r>
    </w:p>
    <w:p>
      <w:pPr>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http://www.safe.gov.cn/beijing（留言反馈）</w:t>
      </w:r>
    </w:p>
    <w:p>
      <w:pPr>
        <w:spacing w:line="540" w:lineRule="exact"/>
        <w:outlineLvl w:val="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0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23B6A"/>
    <w:rsid w:val="00023B6A"/>
    <w:rsid w:val="00122408"/>
    <w:rsid w:val="00156416"/>
    <w:rsid w:val="001C5820"/>
    <w:rsid w:val="00210052"/>
    <w:rsid w:val="002116AF"/>
    <w:rsid w:val="00293734"/>
    <w:rsid w:val="00407FD2"/>
    <w:rsid w:val="00491452"/>
    <w:rsid w:val="0055486F"/>
    <w:rsid w:val="005A6A69"/>
    <w:rsid w:val="005E7CD6"/>
    <w:rsid w:val="006B595E"/>
    <w:rsid w:val="007106E1"/>
    <w:rsid w:val="00784591"/>
    <w:rsid w:val="008227CF"/>
    <w:rsid w:val="008A2D8E"/>
    <w:rsid w:val="00B02E8B"/>
    <w:rsid w:val="00B05ABF"/>
    <w:rsid w:val="00C7125C"/>
    <w:rsid w:val="00C90AC9"/>
    <w:rsid w:val="00FE16D6"/>
    <w:rsid w:val="0A7C1BF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829</Words>
  <Characters>4727</Characters>
  <Lines>39</Lines>
  <Paragraphs>11</Paragraphs>
  <TotalTime>0</TotalTime>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2023-09-28T09:19:00Z</dcterms:created>
  <dc:creator>kylin</dc:creator>
  <cp:lastModifiedBy>yangling</cp:lastModifiedBy>
  <dcterms:modified xsi:type="dcterms:W3CDTF">2024-03-25T07:39:42Z</dcterms:modified>
  <dc:title>省级分局和计划单列市分局办理的内保外贷登记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