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省级分局和计划单列市分局办理的融资租赁形成对外债权登记</w:t>
      </w:r>
    </w:p>
    <w:p>
      <w:pPr>
        <w:jc w:val="center"/>
        <w:rPr>
          <w:rFonts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【000171109003】</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一、基本要素</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1.</w:t>
      </w:r>
      <w:r>
        <w:rPr>
          <w:rFonts w:ascii="Times New Roman" w:hAnsi="Times New Roman" w:eastAsia="仿宋GB2312"/>
          <w:b/>
          <w:bCs/>
          <w:sz w:val="28"/>
          <w:szCs w:val="28"/>
        </w:rPr>
        <w:t>行政许可事项名称</w:t>
      </w:r>
      <w:r>
        <w:rPr>
          <w:rFonts w:hint="eastAsia" w:ascii="Times New Roman" w:hAnsi="Times New Roman" w:eastAsia="仿宋GB2312"/>
          <w:b/>
          <w:bCs/>
          <w:sz w:val="28"/>
          <w:szCs w:val="28"/>
        </w:rPr>
        <w:t>及编码</w:t>
      </w:r>
    </w:p>
    <w:p>
      <w:pPr>
        <w:spacing w:line="540" w:lineRule="exact"/>
        <w:ind w:firstLine="560" w:firstLineChars="200"/>
        <w:outlineLvl w:val="2"/>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境内机构（不含银行业金融机构）对外债权核准【00017110900Y】</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行政许可</w:t>
      </w:r>
      <w:r>
        <w:rPr>
          <w:rFonts w:hint="eastAsia" w:ascii="Times New Roman" w:hAnsi="Times New Roman" w:eastAsia="仿宋GB2312"/>
          <w:b/>
          <w:bCs/>
          <w:sz w:val="28"/>
          <w:szCs w:val="28"/>
        </w:rPr>
        <w:t>事项子项名称及编码</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省级分局和计划单列市分局办理的融资租赁形成对外债权登记【000171109003】</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3.行政许可事项业务办理项名称及编码</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（1）省级分局和计划单列市分局办理的融资租赁形成对外债权登记(00017110900301)</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（2）省级分局和计划单列市分局办理的融资租赁形成对外债权变更登记(00017110900302)</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（3）省级分局和计划单列市分局办理的融资租赁形成对外债权注销登记(00017110900303)</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4.设定依据</w:t>
      </w:r>
    </w:p>
    <w:p>
      <w:pPr>
        <w:spacing w:line="540" w:lineRule="exact"/>
        <w:ind w:firstLine="560" w:firstLineChars="200"/>
        <w:outlineLvl w:val="2"/>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（1）《中华人民共和国外汇管理条例》第二十条</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5.实施依据</w:t>
      </w:r>
    </w:p>
    <w:p>
      <w:pPr>
        <w:spacing w:line="540" w:lineRule="exact"/>
        <w:ind w:firstLine="560" w:firstLineChars="200"/>
        <w:outlineLvl w:val="2"/>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（1）《国家外汇管理局关于进一步改进和调整资本项目外汇管理政策的通知》（汇发〔2014〕2号）第一条</w:t>
      </w:r>
    </w:p>
    <w:p>
      <w:pPr>
        <w:spacing w:line="540" w:lineRule="exact"/>
        <w:ind w:firstLine="560" w:firstLineChars="200"/>
        <w:outlineLvl w:val="2"/>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（2）《国家外汇管理局行政许可实施办法》（国家外汇管理局公告2021年第1号）</w:t>
      </w:r>
    </w:p>
    <w:p>
      <w:pPr>
        <w:spacing w:line="540" w:lineRule="exact"/>
        <w:ind w:firstLine="560" w:firstLineChars="200"/>
        <w:outlineLvl w:val="2"/>
        <w:rPr>
          <w:rFonts w:ascii="方正仿宋_GBK" w:hAnsi="方正仿宋_GBK" w:eastAsia="方正仿宋_GBK" w:cs="方正仿宋_GBK"/>
          <w:sz w:val="28"/>
          <w:szCs w:val="28"/>
        </w:rPr>
      </w:pPr>
      <w:r>
        <w:rPr>
          <w:rFonts w:ascii="方正仿宋_GBK" w:hAnsi="方正仿宋_GBK" w:eastAsia="方正仿宋_GBK" w:cs="方正仿宋_GBK"/>
          <w:sz w:val="28"/>
          <w:szCs w:val="28"/>
        </w:rPr>
        <w:t>（3）《资本项目外汇业务指引（2020版）》（汇综发〔2020〕89号文印发）2.9融资租赁对外债权登记</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6.监管依据</w:t>
      </w:r>
    </w:p>
    <w:p>
      <w:pPr>
        <w:spacing w:line="540" w:lineRule="exact"/>
        <w:ind w:firstLine="560" w:firstLineChars="200"/>
        <w:outlineLvl w:val="2"/>
        <w:rPr>
          <w:rFonts w:ascii="方正仿宋_GBK" w:hAnsi="方正仿宋_GBK" w:eastAsia="方正仿宋_GBK" w:cs="方正仿宋_GBK"/>
          <w:sz w:val="28"/>
          <w:szCs w:val="28"/>
        </w:rPr>
      </w:pPr>
      <w:r>
        <w:rPr>
          <w:rFonts w:ascii="方正仿宋_GBK" w:hAnsi="方正仿宋_GBK" w:eastAsia="方正仿宋_GBK" w:cs="方正仿宋_GBK"/>
          <w:sz w:val="28"/>
          <w:szCs w:val="28"/>
        </w:rPr>
        <w:t>《中华人民共和国外汇管理条例》</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7.</w:t>
      </w:r>
      <w:r>
        <w:rPr>
          <w:rFonts w:ascii="Times New Roman" w:hAnsi="Times New Roman" w:eastAsia="仿宋GB2312"/>
          <w:b/>
          <w:bCs/>
          <w:sz w:val="28"/>
          <w:szCs w:val="28"/>
        </w:rPr>
        <w:t>实施机关</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国家外汇局省级分局和计划单列市分局</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8.</w:t>
      </w:r>
      <w:r>
        <w:rPr>
          <w:rFonts w:ascii="Times New Roman" w:hAnsi="Times New Roman" w:eastAsia="仿宋GB2312"/>
          <w:b/>
          <w:bCs/>
          <w:sz w:val="28"/>
          <w:szCs w:val="28"/>
        </w:rPr>
        <w:t>审批层级</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国家级</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9.行使</w:t>
      </w:r>
      <w:r>
        <w:rPr>
          <w:rFonts w:ascii="Times New Roman" w:hAnsi="Times New Roman" w:eastAsia="仿宋GB2312"/>
          <w:b/>
          <w:bCs/>
          <w:sz w:val="28"/>
          <w:szCs w:val="28"/>
        </w:rPr>
        <w:t>层级</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省级/直属</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10.</w:t>
      </w:r>
      <w:r>
        <w:rPr>
          <w:rFonts w:ascii="Times New Roman" w:hAnsi="Times New Roman" w:eastAsia="仿宋GB2312"/>
          <w:b/>
          <w:bCs/>
          <w:sz w:val="28"/>
          <w:szCs w:val="28"/>
        </w:rPr>
        <w:t>是否由审批机关受理</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是</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11.</w:t>
      </w:r>
      <w:r>
        <w:rPr>
          <w:rFonts w:ascii="Times New Roman" w:hAnsi="Times New Roman" w:eastAsia="仿宋GB2312"/>
          <w:b/>
          <w:bCs/>
          <w:sz w:val="28"/>
          <w:szCs w:val="28"/>
        </w:rPr>
        <w:t>受理层级</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省级</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12.</w:t>
      </w:r>
      <w:r>
        <w:rPr>
          <w:rFonts w:ascii="Times New Roman" w:hAnsi="Times New Roman" w:eastAsia="仿宋GB2312"/>
          <w:b/>
          <w:bCs/>
          <w:sz w:val="28"/>
          <w:szCs w:val="28"/>
        </w:rPr>
        <w:t>是否存在初审环节</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highlight w:val="yellow"/>
        </w:rPr>
      </w:pPr>
      <w:r>
        <w:rPr>
          <w:rFonts w:hint="eastAsia" w:ascii="Times New Roman" w:hAnsi="Times New Roman" w:eastAsia="仿宋GB2312"/>
          <w:b/>
          <w:bCs/>
          <w:sz w:val="28"/>
          <w:szCs w:val="28"/>
        </w:rPr>
        <w:t>13.</w:t>
      </w:r>
      <w:r>
        <w:rPr>
          <w:rFonts w:ascii="Times New Roman" w:hAnsi="Times New Roman" w:eastAsia="仿宋GB2312"/>
          <w:b/>
          <w:bCs/>
          <w:sz w:val="28"/>
          <w:szCs w:val="28"/>
        </w:rPr>
        <w:t>初审层级</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无</w:t>
      </w:r>
    </w:p>
    <w:p>
      <w:pPr>
        <w:spacing w:line="600" w:lineRule="exact"/>
        <w:ind w:firstLine="562" w:firstLineChars="200"/>
        <w:jc w:val="left"/>
        <w:rPr>
          <w:rFonts w:ascii="方正仿宋_GBK" w:hAnsi="方正仿宋_GBK" w:eastAsia="方正仿宋_GBK" w:cs="方正仿宋_GBK"/>
          <w:sz w:val="28"/>
          <w:szCs w:val="28"/>
        </w:rPr>
      </w:pPr>
      <w:r>
        <w:rPr>
          <w:rFonts w:hint="eastAsia" w:ascii="Times New Roman" w:hAnsi="Times New Roman" w:eastAsia="仿宋GB2312"/>
          <w:b/>
          <w:bCs/>
          <w:sz w:val="28"/>
          <w:szCs w:val="28"/>
        </w:rPr>
        <w:t>14.</w:t>
      </w:r>
      <w:r>
        <w:rPr>
          <w:rFonts w:ascii="Times New Roman" w:hAnsi="Times New Roman" w:eastAsia="仿宋GB2312"/>
          <w:b/>
          <w:bCs/>
          <w:sz w:val="28"/>
          <w:szCs w:val="28"/>
        </w:rPr>
        <w:t>对应政务服务事项国家级基本目录名称</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融资租赁对外债权登记</w:t>
      </w:r>
    </w:p>
    <w:p>
      <w:pPr>
        <w:spacing w:line="600" w:lineRule="exact"/>
        <w:ind w:firstLine="562" w:firstLineChars="200"/>
        <w:jc w:val="left"/>
        <w:rPr>
          <w:rFonts w:ascii="方正仿宋_GBK" w:hAnsi="方正仿宋_GBK" w:eastAsia="方正仿宋_GBK" w:cs="方正仿宋_GBK"/>
          <w:sz w:val="28"/>
          <w:szCs w:val="28"/>
        </w:rPr>
      </w:pPr>
      <w:r>
        <w:rPr>
          <w:rFonts w:hint="eastAsia" w:ascii="Times New Roman" w:hAnsi="Times New Roman" w:eastAsia="仿宋GB2312"/>
          <w:b/>
          <w:bCs/>
          <w:sz w:val="28"/>
          <w:szCs w:val="28"/>
        </w:rPr>
        <w:t>15.要素统一情况：</w:t>
      </w:r>
      <w:r>
        <w:rPr>
          <w:rFonts w:hint="eastAsia" w:ascii="方正仿宋_GBK" w:hAnsi="方正仿宋_GBK" w:eastAsia="方正仿宋_GBK" w:cs="方正仿宋_GBK"/>
          <w:sz w:val="28"/>
          <w:szCs w:val="28"/>
        </w:rPr>
        <w:t>全部要素全国统一</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二、行政许可事项类型</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条件型</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三、行政许可条件</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1.准予行政许可的条件</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r>
        <w:rPr>
          <w:rFonts w:ascii="方正仿宋_GBK" w:hAnsi="方正仿宋_GBK" w:eastAsia="方正仿宋_GBK" w:cs="方正仿宋_GBK"/>
          <w:sz w:val="28"/>
          <w:szCs w:val="28"/>
        </w:rPr>
        <w:t>省级分局和计划单列市分局办理的融资租赁对外债权登记</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融资租赁类公司或其项目公司开展对外融资租赁业务。</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融资租赁类公司，包括银行业监管部门批准设立的金融租赁公司、商务主管部门审批设立的外商投资租赁公司，以及商务部和国家税务总局联合确认的内资融资租赁公司等三类主体。</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w:t>
      </w:r>
      <w:r>
        <w:rPr>
          <w:rFonts w:ascii="方正仿宋_GBK" w:hAnsi="方正仿宋_GBK" w:eastAsia="方正仿宋_GBK" w:cs="方正仿宋_GBK"/>
          <w:sz w:val="28"/>
          <w:szCs w:val="28"/>
        </w:rPr>
        <w:t>省级分局和计划单列市分局办理的融资租赁对外债权变更登记</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已办理融资租赁对外债权登记且债务金额、期限、币种等发生变更的。</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w:t>
      </w:r>
      <w:r>
        <w:rPr>
          <w:rFonts w:ascii="方正仿宋_GBK" w:hAnsi="方正仿宋_GBK" w:eastAsia="方正仿宋_GBK" w:cs="方正仿宋_GBK"/>
          <w:sz w:val="28"/>
          <w:szCs w:val="28"/>
        </w:rPr>
        <w:t>省级分局和计划单列市分局办理的融资租赁对外债权注销登记</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已办理融资租赁对外债权登记。</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境外放款专用账户为零或已关闭。</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规定行政许可条件的依据</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资本项目外汇业务指引（2020版）》2.9融资租赁对外债权登记。审核原则。1.融资租赁类公司包括经批准设立的金融租赁公司、外商投资租赁公司、内资融资租赁公司等三类主体。2.融资租赁类公司或其项目公司开展对外融资租赁业务时，应在融资租赁对外债权发生后15个工作日内，到所在地外汇局办理融资租赁对外债权登记。</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国家外汇管理局关于进一步改进和调整资本项目外汇管理政策的通知》（汇发〔2014〕2号）第一条（一）融资租赁类公司包括银行业监管部门批准设立的金融租赁公司、财务主管部门批准设立的外商投资租赁公司，以及商务部和国家税务总局联合确认的内资融资租赁公司等三类主体。（二）融资租赁类公司或其项目公司开展对外融资租赁业务时，应在融资租赁对外债权发生后15个工作日内，持以下材料到所在地外汇局办理融资租赁对外债权登记。</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四、</w:t>
      </w:r>
      <w:r>
        <w:rPr>
          <w:rFonts w:ascii="Times New Roman" w:hAnsi="Times New Roman" w:eastAsia="黑体"/>
          <w:sz w:val="28"/>
          <w:szCs w:val="28"/>
        </w:rPr>
        <w:t>行政许可服务对象类型</w:t>
      </w:r>
      <w:r>
        <w:rPr>
          <w:rFonts w:hint="eastAsia" w:ascii="Times New Roman" w:hAnsi="Times New Roman" w:eastAsia="黑体"/>
          <w:sz w:val="28"/>
          <w:szCs w:val="28"/>
        </w:rPr>
        <w:t>与改革举措</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1.服务对象类型：</w:t>
      </w:r>
      <w:r>
        <w:rPr>
          <w:rFonts w:ascii="方正仿宋_GBK" w:hAnsi="方正仿宋_GBK" w:eastAsia="方正仿宋_GBK" w:cs="方正仿宋_GBK"/>
          <w:sz w:val="28"/>
          <w:szCs w:val="28"/>
        </w:rPr>
        <w:t>企业法人</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2.是否为涉企许可事项：</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3.涉企经营许可事项名称：</w:t>
      </w:r>
      <w:r>
        <w:rPr>
          <w:rFonts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4.许可证件名称：</w:t>
      </w:r>
      <w:r>
        <w:rPr>
          <w:rFonts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5.改革方式：</w:t>
      </w:r>
      <w:r>
        <w:rPr>
          <w:rFonts w:ascii="方正仿宋_GBK" w:hAnsi="方正仿宋_GBK" w:eastAsia="方正仿宋_GBK" w:cs="方正仿宋_GBK"/>
          <w:sz w:val="28"/>
          <w:szCs w:val="28"/>
        </w:rPr>
        <w:t>无</w:t>
      </w:r>
    </w:p>
    <w:p>
      <w:pPr>
        <w:spacing w:line="540" w:lineRule="exact"/>
        <w:ind w:firstLine="562" w:firstLineChars="200"/>
        <w:rPr>
          <w:rFonts w:ascii="Times New Roman" w:hAnsi="Times New Roman" w:eastAsia="仿宋GB2312"/>
          <w:b/>
          <w:bCs/>
          <w:sz w:val="28"/>
          <w:szCs w:val="28"/>
        </w:rPr>
      </w:pPr>
      <w:r>
        <w:rPr>
          <w:rFonts w:hint="eastAsia" w:ascii="Times New Roman" w:hAnsi="Times New Roman" w:eastAsia="仿宋GB2312"/>
          <w:b/>
          <w:bCs/>
          <w:sz w:val="28"/>
          <w:szCs w:val="28"/>
        </w:rPr>
        <w:t>6.具体改革举措：</w:t>
      </w:r>
      <w:r>
        <w:rPr>
          <w:rFonts w:ascii="方正仿宋_GBK" w:hAnsi="方正仿宋_GBK" w:eastAsia="方正仿宋_GBK" w:cs="方正仿宋_GBK"/>
          <w:sz w:val="28"/>
          <w:szCs w:val="28"/>
        </w:rPr>
        <w:t>无</w:t>
      </w:r>
    </w:p>
    <w:p>
      <w:pPr>
        <w:spacing w:line="540" w:lineRule="exact"/>
        <w:ind w:firstLine="562" w:firstLineChars="200"/>
        <w:rPr>
          <w:rFonts w:ascii="Times New Roman" w:hAnsi="Times New Roman" w:eastAsia="仿宋GB2312"/>
          <w:b/>
          <w:bCs/>
          <w:sz w:val="28"/>
          <w:szCs w:val="28"/>
        </w:rPr>
      </w:pPr>
      <w:r>
        <w:rPr>
          <w:rFonts w:hint="eastAsia" w:ascii="Times New Roman" w:hAnsi="Times New Roman" w:eastAsia="仿宋GB2312"/>
          <w:b/>
          <w:bCs/>
          <w:sz w:val="28"/>
          <w:szCs w:val="28"/>
        </w:rPr>
        <w:t>7.加强事中事后监管措施</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r>
        <w:rPr>
          <w:rFonts w:ascii="方正仿宋_GBK" w:hAnsi="方正仿宋_GBK" w:eastAsia="方正仿宋_GBK" w:cs="方正仿宋_GBK"/>
          <w:sz w:val="28"/>
          <w:szCs w:val="28"/>
        </w:rPr>
        <w:t>开展“双随机、一公开”监管，依法查处违规行为，适时公开相关案例。</w:t>
      </w:r>
      <w:r>
        <w:rPr>
          <w:rFonts w:hint="eastAsia" w:ascii="方正仿宋_GBK" w:hAnsi="方正仿宋_GBK" w:eastAsia="方正仿宋_GBK" w:cs="方正仿宋_GBK"/>
          <w:sz w:val="28"/>
          <w:szCs w:val="28"/>
        </w:rPr>
        <w:t>（2）</w:t>
      </w:r>
      <w:r>
        <w:rPr>
          <w:rFonts w:ascii="方正仿宋_GBK" w:hAnsi="方正仿宋_GBK" w:eastAsia="方正仿宋_GBK" w:cs="方正仿宋_GBK"/>
          <w:sz w:val="28"/>
          <w:szCs w:val="28"/>
        </w:rPr>
        <w:t>依法及时处理投诉举报。</w:t>
      </w:r>
      <w:r>
        <w:rPr>
          <w:rFonts w:hint="eastAsia" w:ascii="方正仿宋_GBK" w:hAnsi="方正仿宋_GBK" w:eastAsia="方正仿宋_GBK" w:cs="方正仿宋_GBK"/>
          <w:sz w:val="28"/>
          <w:szCs w:val="28"/>
        </w:rPr>
        <w:t>（3）</w:t>
      </w:r>
      <w:r>
        <w:rPr>
          <w:rFonts w:ascii="方正仿宋_GBK" w:hAnsi="方正仿宋_GBK" w:eastAsia="方正仿宋_GBK" w:cs="方正仿宋_GBK"/>
          <w:sz w:val="28"/>
          <w:szCs w:val="28"/>
        </w:rPr>
        <w:t>开展数据统计与监测，掌握外汇业务情况。</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五、申请材料</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1.申请材料名称</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（1）省级分局和计划单列市分局办理的融资租赁对外债权登记</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加盖公章的书面申请（包括公司及租赁项目基本情况）原件1份</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ab/>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上一年度经审计的财务报告或最近一期财务报表原件及加盖公章的复印件各1份（验原件，留存复印件）</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租赁合同及租赁物转移的证明材料（如报关单、备案清单、发票等）原件及加盖公章的复印件各1份（验原件，留存复印件）</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营业执照（统一社会信用代码）证原件或加盖公章的复印件1份。</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（2）省级分局和计划单列市分局办理的融资租赁对外债权变更登记</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加盖公章的书面申请（包括公司及租赁项目基本情况）原件1份上一年度经审计的财务报告或最近一期财务报表原件及加盖公章的复印件各1份（验原件，留存复印件）</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租赁合同及租赁物转移的证明材料（如报关单、备案清单、发票等）原件及加盖公章的复印件各1份（验原件，留存复印件）</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（3）省级分局和计划单列市分局办理的融资租赁对外债权注销登记</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加盖公章的书面申请（包括公司及租赁项目基本情况）原件1份业务登记凭证。</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规定申请材料的依据</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资本项目外汇业务指引（2020版）》2.9融资租赁对外债权登记。审核材料。1.书面申请，包括公司基本情况及租赁项目的基本情况。2.上年度经审计的财务报告及最近一期财务报表。3.租赁合同及租赁物转移的证明材料（如报关单、备案清单、发票等）。</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（2）《国家外汇管理局行政许可实施办法》（国家外汇管理局公告2021年第1号）第八条……申请人为机构的，应出示统一社会信用代码证或营业执照原件，或加盖公章的上述证件复印件……。</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六、中介服务</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1.有无法定中介服务事项：</w:t>
      </w:r>
      <w:r>
        <w:rPr>
          <w:rFonts w:ascii="方正仿宋_GBK" w:hAnsi="方正仿宋_GBK" w:eastAsia="方正仿宋_GBK" w:cs="方正仿宋_GBK"/>
          <w:sz w:val="28"/>
          <w:szCs w:val="28"/>
        </w:rPr>
        <w:t>无</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中介服务事项名称</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b/>
          <w:bCs/>
          <w:sz w:val="28"/>
          <w:szCs w:val="28"/>
        </w:rPr>
      </w:pPr>
      <w:r>
        <w:rPr>
          <w:rFonts w:hint="eastAsia" w:ascii="Times New Roman" w:hAnsi="Times New Roman" w:eastAsia="仿宋GB2312"/>
          <w:b/>
          <w:bCs/>
          <w:sz w:val="28"/>
          <w:szCs w:val="28"/>
        </w:rPr>
        <w:t>3.</w:t>
      </w:r>
      <w:r>
        <w:rPr>
          <w:rFonts w:ascii="Times New Roman" w:hAnsi="Times New Roman" w:eastAsia="仿宋GB2312"/>
          <w:b/>
          <w:bCs/>
          <w:sz w:val="28"/>
          <w:szCs w:val="28"/>
        </w:rPr>
        <w:t>设定中介服务事项的依据</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w:t>
      </w:r>
      <w:r>
        <w:rPr>
          <w:rFonts w:ascii="Times New Roman" w:hAnsi="Times New Roman" w:eastAsia="仿宋GB2312"/>
          <w:b/>
          <w:bCs/>
          <w:sz w:val="28"/>
          <w:szCs w:val="28"/>
        </w:rPr>
        <w:t>提供中介服务的机构</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w:t>
      </w:r>
      <w:r>
        <w:rPr>
          <w:rFonts w:ascii="Times New Roman" w:hAnsi="Times New Roman" w:eastAsia="仿宋GB2312"/>
          <w:b/>
          <w:bCs/>
          <w:sz w:val="28"/>
          <w:szCs w:val="28"/>
        </w:rPr>
        <w:t>中介服务事项的收费性质</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七、审批程序</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1.办理行政许可的程序环节</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（1）申请人申请；</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（2）审批机构受理/不予受理；</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（3）审批机构审查；</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（4）决定作出许可决定书/不予许可决定书</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2.规定行政许可程序的依据</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《国家外汇管理局行政许可实施办法》第十条；第十四条外汇局收到行政许可申请后，应区分下列情况分别作出处理：</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（1）申请事项属于本局职责范围，但依法不需要取得行政许可的，应即时告知申请人不受理，出具不予受理行政许可通知书；</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（2）申请事项不属于本局职责范围，应即时作出不予受理的决定，出具不予受理行政许可通知书，并告知申请人向有关行政机关申请；</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3）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申请人拒不补正，或者自补正告知书送达之日起30日内未能提交全部且符合法定形式的补正材料的，应不予受理，出具不予受理行政许可通知书；</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申请材料存在文字笔误等可当场更正的错误的，应允许申请人当场更正，并告知其在修改处签字或盖章确认；</w:t>
      </w:r>
    </w:p>
    <w:p>
      <w:pPr>
        <w:spacing w:line="60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w:t>
      </w:r>
      <w:r>
        <w:rPr>
          <w:rFonts w:ascii="方正仿宋_GBK" w:hAnsi="方正仿宋_GBK" w:eastAsia="方正仿宋_GBK" w:cs="方正仿宋_GBK"/>
          <w:sz w:val="28"/>
          <w:szCs w:val="28"/>
        </w:rPr>
        <w:t>（4）申请事项属于本局职责范围，申请材料齐全、符合法定形式，或者申请人按照要求提交全部补正申请材料的，应受理行政许可申请，出具行政许可受理通知书。</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第十四条 外汇局对行政许可申请审查后，应区分下列情况分别作出处理：</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（1）申请符合法定条件、拟准予行政许可的，应出具准予行政许可的书面决定。准予行政许可的书面决定应载明名称、出具单位、被许可人姓名或名称、行政许可事项、颁发日期、有效期（如有）等；</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（2）申请不符合法定条件、拟不予行政许可的，应出具不予行政许可决定书，并说明不予行政许可的理由，告知申请人享有依法申请行政复议的权利。</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3.</w:t>
      </w:r>
      <w:r>
        <w:rPr>
          <w:rFonts w:ascii="Times New Roman" w:hAnsi="Times New Roman" w:eastAsia="仿宋GB2312"/>
          <w:b/>
          <w:bCs/>
          <w:sz w:val="28"/>
          <w:szCs w:val="28"/>
        </w:rPr>
        <w:t>是否需要现场勘验</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w:t>
      </w:r>
      <w:r>
        <w:rPr>
          <w:rFonts w:ascii="Times New Roman" w:hAnsi="Times New Roman" w:eastAsia="仿宋GB2312"/>
          <w:b/>
          <w:bCs/>
          <w:sz w:val="28"/>
          <w:szCs w:val="28"/>
        </w:rPr>
        <w:t>是否需要组织听证</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w:t>
      </w:r>
      <w:r>
        <w:rPr>
          <w:rFonts w:ascii="Times New Roman" w:hAnsi="Times New Roman" w:eastAsia="仿宋GB2312"/>
          <w:b/>
          <w:bCs/>
          <w:sz w:val="28"/>
          <w:szCs w:val="28"/>
        </w:rPr>
        <w:t>是否需要招标、拍卖、挂牌交易</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6.</w:t>
      </w:r>
      <w:r>
        <w:rPr>
          <w:rFonts w:ascii="Times New Roman" w:hAnsi="Times New Roman" w:eastAsia="仿宋GB2312"/>
          <w:b/>
          <w:bCs/>
          <w:sz w:val="28"/>
          <w:szCs w:val="28"/>
        </w:rPr>
        <w:t>是否需要检验、检测、检疫</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7.</w:t>
      </w:r>
      <w:r>
        <w:rPr>
          <w:rFonts w:ascii="Times New Roman" w:hAnsi="Times New Roman" w:eastAsia="仿宋GB2312"/>
          <w:b/>
          <w:bCs/>
          <w:sz w:val="28"/>
          <w:szCs w:val="28"/>
        </w:rPr>
        <w:t>是否需要鉴定</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8.</w:t>
      </w:r>
      <w:r>
        <w:rPr>
          <w:rFonts w:ascii="Times New Roman" w:hAnsi="Times New Roman" w:eastAsia="仿宋GB2312"/>
          <w:b/>
          <w:bCs/>
          <w:sz w:val="28"/>
          <w:szCs w:val="28"/>
        </w:rPr>
        <w:t>是否需要专家评审</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9.</w:t>
      </w:r>
      <w:r>
        <w:rPr>
          <w:rFonts w:ascii="Times New Roman" w:hAnsi="Times New Roman" w:eastAsia="仿宋GB2312"/>
          <w:b/>
          <w:bCs/>
          <w:sz w:val="28"/>
          <w:szCs w:val="28"/>
        </w:rPr>
        <w:t>是否需要向社会公示</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10.</w:t>
      </w:r>
      <w:r>
        <w:rPr>
          <w:rFonts w:ascii="Times New Roman" w:hAnsi="Times New Roman" w:eastAsia="仿宋GB2312"/>
          <w:b/>
          <w:bCs/>
          <w:sz w:val="28"/>
          <w:szCs w:val="28"/>
        </w:rPr>
        <w:t>是否实行告知承诺办理</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b/>
          <w:bCs/>
          <w:sz w:val="28"/>
          <w:szCs w:val="28"/>
        </w:rPr>
      </w:pPr>
      <w:r>
        <w:rPr>
          <w:rFonts w:hint="eastAsia" w:ascii="Times New Roman" w:hAnsi="Times New Roman" w:eastAsia="仿宋GB2312"/>
          <w:b/>
          <w:bCs/>
          <w:sz w:val="28"/>
          <w:szCs w:val="28"/>
        </w:rPr>
        <w:t>11.审批机关是否委托服务机构开展技术性服务：</w:t>
      </w:r>
      <w:r>
        <w:rPr>
          <w:rFonts w:hint="eastAsia" w:ascii="方正仿宋_GBK" w:hAnsi="方正仿宋_GBK" w:eastAsia="方正仿宋_GBK" w:cs="方正仿宋_GBK"/>
          <w:sz w:val="28"/>
          <w:szCs w:val="28"/>
        </w:rPr>
        <w:t>否</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八、受理和审批时限</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1.承诺受理时限：</w:t>
      </w:r>
      <w:r>
        <w:rPr>
          <w:rFonts w:ascii="方正仿宋_GBK" w:hAnsi="方正仿宋_GBK" w:eastAsia="方正仿宋_GBK" w:cs="方正仿宋_GBK"/>
          <w:sz w:val="28"/>
          <w:szCs w:val="28"/>
        </w:rPr>
        <w:t>5个工作日</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2.法定审批时限：</w:t>
      </w:r>
      <w:r>
        <w:rPr>
          <w:rFonts w:hint="eastAsia" w:ascii="方正仿宋_GBK" w:hAnsi="方正仿宋_GBK" w:eastAsia="方正仿宋_GBK" w:cs="方正仿宋_GBK"/>
          <w:sz w:val="28"/>
          <w:szCs w:val="28"/>
        </w:rPr>
        <w:t>20个工作日</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3.规定法定审批时限依据</w:t>
      </w:r>
    </w:p>
    <w:p>
      <w:pPr>
        <w:spacing w:line="600" w:lineRule="exact"/>
        <w:ind w:firstLine="560" w:firstLineChars="200"/>
        <w:rPr>
          <w:rFonts w:ascii="Times New Roman" w:hAnsi="Times New Roman" w:eastAsia="仿宋GB2312"/>
          <w:sz w:val="32"/>
          <w:szCs w:val="32"/>
        </w:rPr>
      </w:pPr>
      <w:r>
        <w:rPr>
          <w:rFonts w:ascii="方正仿宋_GBK" w:hAnsi="方正仿宋_GBK" w:eastAsia="方正仿宋_GBK" w:cs="方正仿宋_GBK"/>
          <w:sz w:val="28"/>
          <w:szCs w:val="28"/>
        </w:rPr>
        <w:t>（1）《国家外汇管理局行政许可实施办法》第十五条外汇局应根据以下要求确保行政许可依法按时完成：</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（一）能当场作出决定的，应当场作出行政许可决定。当场作出行政许可决定的，可不出具行政许可受理通知书；</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外汇局征求其他部门意见的时间计算在以上办理时限内；依法需要听证、检验、检测、鉴定、专家评审等的时间，不计算在上述办理时限内。</w:t>
      </w:r>
    </w:p>
    <w:p>
      <w:pPr>
        <w:spacing w:line="600" w:lineRule="exact"/>
        <w:ind w:firstLine="560" w:firstLineChars="200"/>
        <w:rPr>
          <w:rFonts w:ascii="Times New Roman" w:hAnsi="Times New Roman" w:eastAsia="仿宋GB2312"/>
          <w:sz w:val="32"/>
          <w:szCs w:val="32"/>
        </w:rPr>
      </w:pPr>
      <w:r>
        <w:rPr>
          <w:rFonts w:ascii="方正仿宋_GBK" w:hAnsi="方正仿宋_GBK" w:eastAsia="方正仿宋_GBK" w:cs="方正仿宋_GBK"/>
          <w:sz w:val="28"/>
          <w:szCs w:val="28"/>
        </w:rPr>
        <w:t>各级外汇局对行政许可办理时限具有对外承诺的，应按照其承诺的时限完成；对外承诺的时限应短于20个工作日。</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4.承诺审批时限：</w:t>
      </w:r>
      <w:r>
        <w:rPr>
          <w:rFonts w:ascii="方正仿宋_GBK" w:hAnsi="方正仿宋_GBK" w:eastAsia="方正仿宋_GBK" w:cs="方正仿宋_GBK"/>
          <w:sz w:val="28"/>
          <w:szCs w:val="28"/>
        </w:rPr>
        <w:t>20个工作日</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九、收费</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1.办理行政许可是否收费：</w:t>
      </w:r>
      <w:r>
        <w:rPr>
          <w:rFonts w:hint="eastAsia" w:ascii="方正仿宋_GBK" w:hAnsi="方正仿宋_GBK" w:eastAsia="方正仿宋_GBK" w:cs="方正仿宋_GBK"/>
          <w:sz w:val="28"/>
          <w:szCs w:val="28"/>
        </w:rPr>
        <w:t>否</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2.收费项目的名称、收费项目的标准、设定收费项目的依据、规定收费标准的依据：</w:t>
      </w:r>
      <w:r>
        <w:rPr>
          <w:rFonts w:hint="eastAsia" w:ascii="方正仿宋_GBK"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十、行政许可证件</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1.审批结果类型：</w:t>
      </w:r>
      <w:r>
        <w:rPr>
          <w:rFonts w:ascii="方正仿宋_GBK" w:hAnsi="方正仿宋_GBK" w:eastAsia="方正仿宋_GBK" w:cs="方正仿宋_GBK"/>
          <w:sz w:val="28"/>
          <w:szCs w:val="28"/>
        </w:rPr>
        <w:t>批文</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2.审批结果名称：</w:t>
      </w:r>
      <w:r>
        <w:rPr>
          <w:rFonts w:hint="eastAsia" w:ascii="方正仿宋_GBK" w:hAnsi="方正仿宋_GBK" w:eastAsia="方正仿宋_GBK" w:cs="方正仿宋_GBK"/>
          <w:sz w:val="28"/>
          <w:szCs w:val="28"/>
        </w:rPr>
        <w:t>《业务登记凭证》</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3.审批结果的有效期限：</w:t>
      </w:r>
      <w:r>
        <w:rPr>
          <w:rFonts w:hint="eastAsia" w:ascii="方正仿宋_GBK" w:hAnsi="方正仿宋_GBK" w:eastAsia="方正仿宋_GBK" w:cs="方正仿宋_GBK"/>
          <w:sz w:val="28"/>
          <w:szCs w:val="28"/>
        </w:rPr>
        <w:t>当次</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4.规定审批结果有效期限的依据：</w:t>
      </w: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5.是否需要办理审批结果变更手续：</w:t>
      </w:r>
      <w:r>
        <w:rPr>
          <w:rFonts w:ascii="方正仿宋_GBK" w:hAnsi="方正仿宋_GBK" w:eastAsia="方正仿宋_GBK" w:cs="方正仿宋_GBK"/>
          <w:sz w:val="28"/>
          <w:szCs w:val="28"/>
        </w:rPr>
        <w:t>否</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6.办理审批结果变更手续的要求：</w:t>
      </w: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7.是否需要办理审批结果延续手续：</w:t>
      </w:r>
      <w:r>
        <w:rPr>
          <w:rFonts w:hint="eastAsia" w:ascii="方正仿宋_GBK" w:hAnsi="方正仿宋_GBK" w:eastAsia="方正仿宋_GBK" w:cs="方正仿宋_GBK"/>
          <w:sz w:val="28"/>
          <w:szCs w:val="28"/>
        </w:rPr>
        <w:t>否</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8.办理审批结果延续手续的要求：</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9.审批结果的有效地域范围：</w:t>
      </w:r>
      <w:r>
        <w:rPr>
          <w:rFonts w:hint="eastAsia" w:ascii="方正仿宋_GBK" w:hAnsi="方正仿宋_GBK" w:eastAsia="方正仿宋_GBK" w:cs="方正仿宋_GBK"/>
          <w:sz w:val="28"/>
          <w:szCs w:val="28"/>
        </w:rPr>
        <w:t>全国</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10.规定审批结果有效地域范围的依据：</w:t>
      </w:r>
      <w:r>
        <w:rPr>
          <w:rFonts w:hint="eastAsia" w:ascii="方正仿宋_GBK"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十一、行政许可数量限制</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1.有无行政许可数量限制：</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2.公布数量限制的方式：</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3.公布数量限制的周期：</w:t>
      </w: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4.在数量限制条件下实施行政许可的方式：</w:t>
      </w:r>
      <w:r>
        <w:rPr>
          <w:rFonts w:hint="eastAsia" w:ascii="方正仿宋_GBK" w:hAnsi="方正仿宋_GBK" w:eastAsia="方正仿宋_GBK" w:cs="方正仿宋_GBK"/>
          <w:sz w:val="28"/>
          <w:szCs w:val="28"/>
        </w:rPr>
        <w:t>无</w:t>
      </w:r>
    </w:p>
    <w:p>
      <w:pPr>
        <w:spacing w:line="600" w:lineRule="exact"/>
        <w:ind w:firstLine="562" w:firstLineChars="200"/>
        <w:jc w:val="left"/>
        <w:rPr>
          <w:rFonts w:ascii="Times New Roman" w:hAnsi="Times New Roman" w:eastAsia="仿宋GB2312"/>
          <w:b/>
          <w:bCs/>
          <w:sz w:val="28"/>
          <w:szCs w:val="28"/>
        </w:rPr>
      </w:pPr>
      <w:r>
        <w:rPr>
          <w:rFonts w:hint="eastAsia" w:ascii="Times New Roman" w:hAnsi="Times New Roman" w:eastAsia="仿宋GB2312"/>
          <w:b/>
          <w:bCs/>
          <w:sz w:val="28"/>
          <w:szCs w:val="28"/>
        </w:rPr>
        <w:t>5.规定在数量限制条件下实施行政许可方式的依据：</w:t>
      </w:r>
      <w:r>
        <w:rPr>
          <w:rFonts w:hint="eastAsia" w:ascii="方正仿宋_GBK"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十二、行政许可后年检</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1.有无年检要求：</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2.设定年检要求的依据：</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3.年检周期：</w:t>
      </w: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4.年检是否要求报送材料：</w:t>
      </w: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5.年检报送材料名称：</w:t>
      </w: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6.年检是否收费：</w:t>
      </w: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b/>
          <w:bCs/>
          <w:sz w:val="28"/>
          <w:szCs w:val="28"/>
        </w:rPr>
      </w:pPr>
      <w:r>
        <w:rPr>
          <w:rFonts w:hint="eastAsia" w:ascii="Times New Roman" w:hAnsi="Times New Roman" w:eastAsia="仿宋GB2312"/>
          <w:b/>
          <w:bCs/>
          <w:sz w:val="28"/>
          <w:szCs w:val="28"/>
        </w:rPr>
        <w:t>7.年检收费项目的名称、年检收费项目的标准、设定年检收费项目的依据、规定年检项目收费标准的依据：</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8.通过年检的证明或者标志：</w:t>
      </w:r>
      <w:r>
        <w:rPr>
          <w:rFonts w:hint="eastAsia" w:ascii="方正仿宋_GBK"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十三、行政许可后年报</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w:t>
      </w:r>
      <w:r>
        <w:rPr>
          <w:rFonts w:ascii="Times New Roman" w:hAnsi="Times New Roman" w:eastAsia="仿宋GB2312"/>
          <w:b/>
          <w:bCs/>
          <w:sz w:val="28"/>
          <w:szCs w:val="28"/>
        </w:rPr>
        <w:t>有无年报要求</w:t>
      </w:r>
      <w:r>
        <w:rPr>
          <w:rFonts w:hint="eastAsia" w:ascii="Times New Roman" w:hAnsi="Times New Roman" w:eastAsia="仿宋GB2312"/>
          <w:b/>
          <w:bCs/>
          <w:sz w:val="28"/>
          <w:szCs w:val="28"/>
        </w:rPr>
        <w:t>：</w:t>
      </w: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年报报送材料名称</w:t>
      </w:r>
      <w:r>
        <w:rPr>
          <w:rFonts w:hint="eastAsia" w:ascii="Times New Roman" w:hAnsi="Times New Roman" w:eastAsia="仿宋GB2312"/>
          <w:b/>
          <w:bCs/>
          <w:sz w:val="28"/>
          <w:szCs w:val="28"/>
        </w:rPr>
        <w:t>：</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3.</w:t>
      </w:r>
      <w:r>
        <w:rPr>
          <w:rFonts w:ascii="Times New Roman" w:hAnsi="Times New Roman" w:eastAsia="仿宋GB2312"/>
          <w:b/>
          <w:bCs/>
          <w:sz w:val="28"/>
          <w:szCs w:val="28"/>
        </w:rPr>
        <w:t>设定年报要求的依据</w:t>
      </w:r>
      <w:r>
        <w:rPr>
          <w:rFonts w:hint="eastAsia" w:ascii="Times New Roman" w:hAnsi="Times New Roman" w:eastAsia="仿宋GB2312"/>
          <w:b/>
          <w:bCs/>
          <w:sz w:val="28"/>
          <w:szCs w:val="28"/>
        </w:rPr>
        <w:t>：</w:t>
      </w: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w:t>
      </w:r>
      <w:r>
        <w:rPr>
          <w:rFonts w:ascii="Times New Roman" w:hAnsi="Times New Roman" w:eastAsia="仿宋GB2312"/>
          <w:b/>
          <w:bCs/>
          <w:sz w:val="28"/>
          <w:szCs w:val="28"/>
        </w:rPr>
        <w:t>年报周期</w:t>
      </w:r>
      <w:r>
        <w:rPr>
          <w:rFonts w:hint="eastAsia" w:ascii="Times New Roman" w:hAnsi="Times New Roman" w:eastAsia="仿宋GB2312"/>
          <w:b/>
          <w:bCs/>
          <w:sz w:val="28"/>
          <w:szCs w:val="28"/>
        </w:rPr>
        <w:t>：</w:t>
      </w:r>
      <w:r>
        <w:rPr>
          <w:rFonts w:hint="eastAsia" w:ascii="方正仿宋_GBK"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十四、监管主体</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国家外汇</w:t>
      </w:r>
      <w:r>
        <w:rPr>
          <w:rFonts w:hint="eastAsia" w:ascii="方正仿宋_GBK" w:hAnsi="方正仿宋_GBK" w:eastAsia="方正仿宋_GBK" w:cs="方正仿宋_GBK"/>
          <w:sz w:val="28"/>
          <w:szCs w:val="28"/>
          <w:lang w:eastAsia="zh-CN"/>
        </w:rPr>
        <w:t>管理</w:t>
      </w:r>
      <w:r>
        <w:rPr>
          <w:rFonts w:hint="eastAsia" w:ascii="方正仿宋_GBK" w:hAnsi="方正仿宋_GBK" w:eastAsia="方正仿宋_GBK" w:cs="方正仿宋_GBK"/>
          <w:sz w:val="28"/>
          <w:szCs w:val="28"/>
        </w:rPr>
        <w:t>局北京市分局</w:t>
      </w:r>
    </w:p>
    <w:p>
      <w:pPr>
        <w:spacing w:line="540" w:lineRule="exact"/>
        <w:outlineLvl w:val="1"/>
        <w:rPr>
          <w:rFonts w:ascii="Times New Roman" w:hAnsi="Times New Roman" w:eastAsia="黑体"/>
          <w:sz w:val="28"/>
          <w:szCs w:val="28"/>
        </w:rPr>
      </w:pPr>
      <w:bookmarkStart w:id="0" w:name="_GoBack"/>
      <w:bookmarkEnd w:id="0"/>
      <w:r>
        <w:rPr>
          <w:rFonts w:hint="eastAsia" w:ascii="Times New Roman" w:hAnsi="Times New Roman" w:eastAsia="黑体"/>
          <w:sz w:val="28"/>
          <w:szCs w:val="28"/>
        </w:rPr>
        <w:t>十五、备注</w:t>
      </w:r>
    </w:p>
    <w:p>
      <w:pPr>
        <w:rPr>
          <w:rFonts w:ascii="仿宋_GB2312" w:hAnsi="Times New Roman" w:eastAsia="仿宋_GB2312"/>
          <w:b/>
          <w:bCs/>
          <w:sz w:val="28"/>
          <w:szCs w:val="28"/>
        </w:rPr>
      </w:pPr>
      <w:r>
        <w:rPr>
          <w:rFonts w:hint="eastAsia" w:ascii="仿宋_GB2312" w:hAnsi="Times New Roman" w:eastAsia="仿宋_GB2312"/>
          <w:b/>
          <w:bCs/>
          <w:sz w:val="28"/>
          <w:szCs w:val="28"/>
        </w:rPr>
        <w:t xml:space="preserve">    国家外汇管理局北京市分局</w:t>
      </w:r>
    </w:p>
    <w:p>
      <w:pPr>
        <w:rPr>
          <w:rFonts w:hint="eastAsia" w:ascii="仿宋_GB2312" w:hAnsi="Times New Roman" w:eastAsia="仿宋_GB2312"/>
          <w:b/>
          <w:bCs/>
          <w:sz w:val="28"/>
          <w:szCs w:val="28"/>
        </w:rPr>
      </w:pPr>
      <w:r>
        <w:rPr>
          <w:rFonts w:hint="eastAsia" w:ascii="仿宋_GB2312" w:hAnsi="Times New Roman" w:eastAsia="仿宋_GB2312"/>
          <w:b/>
          <w:bCs/>
          <w:sz w:val="28"/>
          <w:szCs w:val="28"/>
        </w:rPr>
        <w:t xml:space="preserve">    办理地址：</w:t>
      </w:r>
    </w:p>
    <w:p>
      <w:pPr>
        <w:rPr>
          <w:rFonts w:hint="eastAsia" w:ascii="仿宋_GB2312" w:hAnsi="Times New Roman" w:eastAsia="仿宋_GB2312"/>
          <w:bCs/>
          <w:sz w:val="28"/>
          <w:szCs w:val="28"/>
        </w:rPr>
      </w:pPr>
      <w:r>
        <w:rPr>
          <w:rFonts w:hint="eastAsia" w:ascii="仿宋_GB2312" w:hAnsi="Times New Roman" w:eastAsia="仿宋_GB2312"/>
          <w:bCs/>
          <w:sz w:val="28"/>
          <w:szCs w:val="28"/>
        </w:rPr>
        <w:t xml:space="preserve">    北京市海淀区莲花池东路39号西金大厦9、10层，邮编100036</w:t>
      </w:r>
    </w:p>
    <w:p>
      <w:pPr>
        <w:rPr>
          <w:rFonts w:hint="eastAsia" w:ascii="仿宋_GB2312" w:hAnsi="Times New Roman" w:eastAsia="仿宋_GB2312"/>
          <w:b/>
          <w:bCs/>
          <w:sz w:val="28"/>
          <w:szCs w:val="28"/>
        </w:rPr>
      </w:pPr>
      <w:r>
        <w:rPr>
          <w:rFonts w:hint="eastAsia" w:ascii="仿宋_GB2312" w:hAnsi="Times New Roman" w:eastAsia="仿宋_GB2312"/>
          <w:b/>
          <w:bCs/>
          <w:sz w:val="28"/>
          <w:szCs w:val="28"/>
        </w:rPr>
        <w:t xml:space="preserve">    办理时间：</w:t>
      </w:r>
    </w:p>
    <w:p>
      <w:pPr>
        <w:rPr>
          <w:rFonts w:hint="eastAsia" w:ascii="仿宋_GB2312" w:hAnsi="Times New Roman" w:eastAsia="仿宋_GB2312"/>
          <w:bCs/>
          <w:sz w:val="28"/>
          <w:szCs w:val="28"/>
        </w:rPr>
      </w:pPr>
      <w:r>
        <w:rPr>
          <w:rFonts w:hint="eastAsia" w:ascii="仿宋_GB2312" w:hAnsi="Times New Roman" w:eastAsia="仿宋_GB2312"/>
          <w:bCs/>
          <w:sz w:val="28"/>
          <w:szCs w:val="28"/>
        </w:rPr>
        <w:t xml:space="preserve">    周一至周五（法定节假日除外）上午8：30-11：30，下午13：00-17：00</w:t>
      </w:r>
    </w:p>
    <w:p>
      <w:pPr>
        <w:rPr>
          <w:rFonts w:hint="eastAsia" w:ascii="仿宋_GB2312" w:hAnsi="Times New Roman" w:eastAsia="仿宋_GB2312"/>
          <w:b/>
          <w:bCs/>
          <w:sz w:val="28"/>
          <w:szCs w:val="28"/>
        </w:rPr>
      </w:pPr>
      <w:r>
        <w:rPr>
          <w:rFonts w:hint="eastAsia" w:ascii="仿宋_GB2312" w:hAnsi="Times New Roman" w:eastAsia="仿宋_GB2312"/>
          <w:b/>
          <w:bCs/>
          <w:sz w:val="28"/>
          <w:szCs w:val="28"/>
        </w:rPr>
        <w:t xml:space="preserve">    咨询方式：</w:t>
      </w:r>
    </w:p>
    <w:p>
      <w:pPr>
        <w:rPr>
          <w:rFonts w:hint="eastAsia" w:ascii="仿宋_GB2312" w:hAnsi="Times New Roman" w:eastAsia="仿宋_GB2312"/>
          <w:bCs/>
          <w:sz w:val="28"/>
          <w:szCs w:val="28"/>
        </w:rPr>
      </w:pPr>
      <w:r>
        <w:rPr>
          <w:rFonts w:hint="eastAsia" w:ascii="仿宋_GB2312" w:hAnsi="Times New Roman" w:eastAsia="仿宋_GB2312"/>
          <w:bCs/>
          <w:sz w:val="28"/>
          <w:szCs w:val="28"/>
        </w:rPr>
        <w:t xml:space="preserve">   （一）咨询窗口：国家外汇管理局北京市分局经常项目管理处11-14窗口， 资本项目管理处1-4、7-10 窗口， 国际收支处11-14窗口</w:t>
      </w:r>
    </w:p>
    <w:p>
      <w:pPr>
        <w:rPr>
          <w:rFonts w:hint="eastAsia" w:ascii="仿宋_GB2312" w:hAnsi="Times New Roman" w:eastAsia="仿宋_GB2312"/>
          <w:bCs/>
          <w:sz w:val="28"/>
          <w:szCs w:val="28"/>
        </w:rPr>
      </w:pPr>
      <w:r>
        <w:rPr>
          <w:rFonts w:hint="eastAsia" w:ascii="仿宋_GB2312" w:hAnsi="Times New Roman" w:eastAsia="仿宋_GB2312"/>
          <w:bCs/>
          <w:sz w:val="28"/>
          <w:szCs w:val="28"/>
        </w:rPr>
        <w:t xml:space="preserve">   （二）咨询电话：（010）68559550</w:t>
      </w:r>
    </w:p>
    <w:p>
      <w:pPr>
        <w:rPr>
          <w:rFonts w:hint="eastAsia" w:ascii="仿宋_GB2312" w:hAnsi="Times New Roman" w:eastAsia="仿宋_GB2312"/>
          <w:bCs/>
          <w:sz w:val="28"/>
          <w:szCs w:val="28"/>
        </w:rPr>
      </w:pPr>
      <w:r>
        <w:rPr>
          <w:rFonts w:hint="eastAsia" w:ascii="仿宋_GB2312" w:hAnsi="Times New Roman" w:eastAsia="仿宋_GB2312"/>
          <w:bCs/>
          <w:sz w:val="28"/>
          <w:szCs w:val="28"/>
        </w:rPr>
        <w:t xml:space="preserve">   （三）咨询网址：http://www.safe.gov.cn/beijing（留言反馈）</w:t>
      </w:r>
    </w:p>
    <w:p>
      <w:pPr>
        <w:rPr>
          <w:rFonts w:hint="eastAsia" w:ascii="仿宋_GB2312" w:hAnsi="Times New Roman" w:eastAsia="仿宋_GB2312"/>
          <w:bCs/>
          <w:sz w:val="28"/>
          <w:szCs w:val="28"/>
        </w:rPr>
      </w:pPr>
      <w:r>
        <w:rPr>
          <w:rFonts w:hint="eastAsia" w:ascii="仿宋_GB2312" w:hAnsi="Times New Roman" w:eastAsia="仿宋_GB2312"/>
          <w:bCs/>
          <w:sz w:val="28"/>
          <w:szCs w:val="28"/>
        </w:rPr>
        <w:t>监督投诉方式：</w:t>
      </w:r>
    </w:p>
    <w:p>
      <w:pPr>
        <w:rPr>
          <w:rFonts w:hint="eastAsia" w:ascii="仿宋_GB2312" w:hAnsi="Times New Roman" w:eastAsia="仿宋_GB2312"/>
          <w:bCs/>
          <w:sz w:val="28"/>
          <w:szCs w:val="28"/>
        </w:rPr>
      </w:pPr>
      <w:r>
        <w:rPr>
          <w:rFonts w:hint="eastAsia" w:ascii="仿宋_GB2312" w:hAnsi="Times New Roman" w:eastAsia="仿宋_GB2312"/>
          <w:bCs/>
          <w:sz w:val="28"/>
          <w:szCs w:val="28"/>
        </w:rPr>
        <w:t xml:space="preserve">    http://www.safe.gov.cn/beijing（留言反馈）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GB2312">
    <w:altName w:val="仿宋"/>
    <w:panose1 w:val="00000000000000000000"/>
    <w:charset w:val="86"/>
    <w:family w:val="auto"/>
    <w:pitch w:val="default"/>
    <w:sig w:usb0="00000000" w:usb1="00000000" w:usb2="00000000" w:usb3="00000000" w:csb0="00040001" w:csb1="00000000"/>
  </w:font>
  <w:font w:name="方正仿宋_GBK">
    <w:altName w:val="微软雅黑"/>
    <w:panose1 w:val="00000000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703A4E"/>
    <w:rsid w:val="002E5365"/>
    <w:rsid w:val="00383086"/>
    <w:rsid w:val="00427875"/>
    <w:rsid w:val="004B740B"/>
    <w:rsid w:val="005165A6"/>
    <w:rsid w:val="005D256B"/>
    <w:rsid w:val="00687865"/>
    <w:rsid w:val="00703A4E"/>
    <w:rsid w:val="00805887"/>
    <w:rsid w:val="00874E0C"/>
    <w:rsid w:val="00915BCB"/>
    <w:rsid w:val="00A82D2B"/>
    <w:rsid w:val="00B21CED"/>
    <w:rsid w:val="00B43543"/>
    <w:rsid w:val="00D757C5"/>
    <w:rsid w:val="00E52D82"/>
    <w:rsid w:val="00F30B5B"/>
    <w:rsid w:val="57301B5B"/>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7"/>
    <w:unhideWhenUsed/>
    <w:uiPriority w:val="99"/>
    <w:pPr>
      <w:tabs>
        <w:tab w:val="center" w:pos="4153"/>
        <w:tab w:val="right" w:pos="8306"/>
      </w:tabs>
      <w:snapToGrid w:val="0"/>
      <w:jc w:val="left"/>
    </w:pPr>
    <w:rPr>
      <w:rFonts w:ascii="Calibri" w:hAnsi="Calibri" w:eastAsia="宋体" w:cs="黑体"/>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Calibri" w:hAnsi="Calibri" w:eastAsia="宋体" w:cs="黑体"/>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670</Words>
  <Characters>3819</Characters>
  <Lines>31</Lines>
  <Paragraphs>8</Paragraphs>
  <TotalTime>0</TotalTime>
  <ScaleCrop>false</ScaleCrop>
  <LinksUpToDate>false</LinksUpToDate>
  <CharactersWithSpaces>0</CharactersWithSpaces>
  <Application>WPS Office_9.1.0.5041_{F1E327BC-269C-435d-A152-05C5408002CA}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2023-09-28T09:44:00Z</dcterms:created>
  <dc:creator>kylin</dc:creator>
  <cp:lastModifiedBy>yangling</cp:lastModifiedBy>
  <dcterms:modified xsi:type="dcterms:W3CDTF">2024-03-25T07:38:53Z</dcterms:modified>
  <dc:title>省级分局和计划单列市分局办理的融资租赁形成对外债权登记</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2052-9.1.0.5041</vt:lpwstr>
  </property>
</Properties>
</file>