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省级分局和计划单列市分局办理的境内机构短期外债余额指标核准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【000171108001】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及编码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境内机构外债、跨境担保核准【00017110800Y】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行政许可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省级分局和计划单列市分局办理的境内机构短期外债余额指标核准【000171108001】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3.行政许可事项业务办理项名称及编码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省级分局和计划单列市分局办理的境内机构短期外债余额指标核准(00017110800101)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4.设定依据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（1）《中华人民共和国外汇管理条例》第十八条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（2）《国务院对确需保留的行政审批项目设定行政许可的决定》附件第471项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（1）《外债管理暂行办法》第十六条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（2）《外债登记管理办法》第三、六条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（3）《外债统计监测暂行规定》（1987年公布）第二条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（4）《跨境担保外汇管理规定》第六、二十条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（5）《国家外汇管理局关于支持高新技术和“专精特新”企业开展跨境融资便利化试点的通知》第一条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（6）《国家外汇管理局关于优化外汇管理支持涉外业务发展的通知》（汇发〔2020〕8号）第一条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（7）《国家外汇管理局行政许可实施办法》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（8）《国家外汇管理局关于进一步促进跨境贸易投资便利化的通知》第六条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（9）《跨国公司跨境资金集中运营管理规定》第七、十四条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《中华人民共和国外汇管理条例》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实施机关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国家外汇局省级分局和计划单列市分局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审批层级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国家级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9.行使</w:t>
      </w:r>
      <w:r>
        <w:rPr>
          <w:rFonts w:ascii="Times New Roman" w:hAnsi="Times New Roman" w:eastAsia="仿宋GB2312"/>
          <w:b/>
          <w:bCs/>
          <w:sz w:val="28"/>
          <w:szCs w:val="28"/>
        </w:rPr>
        <w:t>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国家级/局（署、会）,省级/直属,市级/隶属,县级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是否由审批机关受理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ascii="Times New Roman" w:hAnsi="Times New Roman" w:eastAsia="仿宋GB2312"/>
          <w:b/>
          <w:bCs/>
          <w:sz w:val="28"/>
          <w:szCs w:val="28"/>
        </w:rPr>
        <w:t>受理层级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国家级,省级,设区的市级,县级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是否存在初审环节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ascii="Times New Roman" w:hAnsi="Times New Roman" w:eastAsia="仿宋GB2312"/>
          <w:b/>
          <w:bCs/>
          <w:sz w:val="28"/>
          <w:szCs w:val="28"/>
        </w:rPr>
        <w:t>初审层级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ascii="Times New Roman" w:hAnsi="Times New Roman" w:eastAsia="仿宋GB2312"/>
          <w:b/>
          <w:bCs/>
          <w:sz w:val="28"/>
          <w:szCs w:val="28"/>
        </w:rPr>
        <w:t>对应政务服务事项国家级基本目录名称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境内机构短期外债余额指标核准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15.要素统一情况：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全部要素全国统一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条件型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1.准予行政许可的条件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申请人所在地区为适用外债便利化政策的地区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且符合以下条件：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（1）注册在试点区域、成立时间一年（含）以上且存在实际经营活动的非金融企业（房地产企业、地方政府融资平台企业除外）。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（2）获得国家或地方相关部门认证的高新技术或“专精特新”企业。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（3）如为货物贸易外汇收支名录内企业，其货物贸易外汇管理分类结果应为A类。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（4）近两年无外汇行政处罚记录（成立不满两年的，自成立之日起无外汇行政处罚记录）。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（1）《外债管理暂行办法》（国家发展计划委员会 财政部 国家外汇管理局令2003年28号）第十六条国家对境内中资机构举借短期国际商业贷款实行余额管理，余额由国家外汇管理局核定。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（2）《国家外汇管理局关于支持高新技术和“专精特新”企业开展跨境融资便利化试点的通知》（汇发〔2022〕16号）第一条允许符合条件的相关企业在一定额度内自主借用外债。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3）《国家外汇管理局关于支持高新技术和“专精特新”企业开展跨境融资便利化试点的通知》（汇发〔2022〕16号）附件《高新技术和“专精特新”企业跨境融资便利化试点业务指引》第三条试点企业应符合以下条件：（一）注册在试点区域、成立时间一年（含）以上且存在实际经营活动的非金融企业（房地产企业、地方政府融资平台企业除外）。（二）获得国家或地方相关部门认证的高新技术或“专精特新”企业。（三）如为货物贸易外汇收支名录内企业，其货物贸易外汇管理分类结果应为A类。（四）近两年无外汇行政处罚记录（成立不满两年的，自成立之日起无外汇行政处罚记录）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</w:t>
      </w:r>
      <w:r>
        <w:rPr>
          <w:rFonts w:ascii="Times New Roman" w:hAnsi="Times New Roman" w:eastAsia="黑体"/>
          <w:sz w:val="28"/>
          <w:szCs w:val="28"/>
        </w:rPr>
        <w:t>行政许可服务对象类型</w:t>
      </w:r>
      <w:r>
        <w:rPr>
          <w:rFonts w:hint="eastAsia" w:ascii="Times New Roman" w:hAnsi="Times New Roman" w:eastAsia="黑体"/>
          <w:sz w:val="28"/>
          <w:szCs w:val="28"/>
        </w:rPr>
        <w:t>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1.服务对象类型：</w:t>
      </w:r>
      <w:r>
        <w:rPr>
          <w:rFonts w:ascii="方正仿宋_GBK" w:hAnsi="方正仿宋_GBK" w:eastAsia="方正仿宋_GBK" w:cs="方正仿宋_GBK"/>
          <w:sz w:val="28"/>
          <w:szCs w:val="28"/>
        </w:rPr>
        <w:t>企业法人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2.是否为涉企许可事项：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3.涉企经营许可事项名称：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4.许可证件名称：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5.改革方式：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6.具体改革举措：</w:t>
      </w:r>
      <w:r>
        <w:rPr>
          <w:rFonts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1.申请材料名称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申请书（含企业基本情况、自身资产负债情况、拟申请的试点业务额度、外债资金使用计划、近两年无外汇行政处罚记录的情况说明、外债还款资金来源说明等）。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营业执照（统一社会信用代码证）复印件。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国家或地方相关部门认证为高新技术或“专精特新”企业的证明材料原件和复印件。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借款意向书或借款合同原件及其主要条款复印件。文本为外文的，应另附主要条款的中文译本。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上一年度或最近一期经审计的财务报告原件和复印件。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国家外汇管理局关于支持高新技术和“专精特新”企业开展跨境融资便利化试点的通知》（汇发〔2022〕16号）附件《高新技术和“专精特新”企业跨境融资便利化试点业务指引（试行）》第四条（一）申请书（含企业基本情况、自身资产负债情况、拟申请的试点业务额度、外债资金使用计划、近两年无外汇行政处罚记录的情况说明、外债还款资金来源说明等）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（二）营业执照（统一社会信用代码证）复印件。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（三）国家或地方相关部门认证为高新技术或“专精特新”企业的证明材料原件和复印件。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（四）借款意向书或借款合同原件及其主要条款复印件。文本为外文的，应另附主要条款的中文译本。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（五）上一年度或最近一期经审计的财务报告原件和复印件。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以上材料原件验后返还，复印件加盖企业公章由所在地外汇局留存。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1.有无法定中介服务事项：</w:t>
      </w:r>
      <w:r>
        <w:rPr>
          <w:rFonts w:ascii="方正仿宋_GBK" w:hAnsi="方正仿宋_GBK" w:eastAsia="方正仿宋_GBK" w:cs="方正仿宋_GBK"/>
          <w:sz w:val="28"/>
          <w:szCs w:val="28"/>
        </w:rPr>
        <w:t>有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经审计的财务报告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设定中介服务事项的依据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国家外汇管理局关于支持高新技术和“专精特新”企业开展跨境融资便利化试点的通知》（汇发〔2022〕16号）附件《高新技术和“专精特新”企业跨境融资便利化试点业务指引》第四条（五）上一年度或最近一期经审计的财务报告原件和复印件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提供中介服务的机构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会计师事务所等具有财务报告审计资格的机构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中介服务事项的收费性质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经营服务性收费（市场调节价）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1.办理行政许可的程序环节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申请人申请；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审批机构受理/不予受理；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审批机构审查；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决定作出许可决定书/不予许可决定书。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《国家外汇管理局行政许可实施办法》（国家外汇管理局公告2021年第1号） 第十条外汇局收到行政许可申请后，应区分下列情况分别作出处理：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《国家外汇管理局行政许可实施办法》（国家外汇管理局公告2021年第1号）第十四条外汇局对行政许可申请审查后，应区分下列情况分别作出处理：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是否需要现场勘验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是否需要组织听证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是否需要招标、拍卖、挂牌交易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是否需要检验、检测、检疫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是否需要鉴定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是否需要专家评审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是否需要向社会公示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ascii="Times New Roman" w:hAnsi="Times New Roman" w:eastAsia="仿宋GB2312"/>
          <w:b/>
          <w:bCs/>
          <w:sz w:val="28"/>
          <w:szCs w:val="28"/>
        </w:rPr>
        <w:t>是否实行告知承诺办理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11.审批机关是否委托服务机构开展技术性服务：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1.承诺受理时限：</w:t>
      </w:r>
      <w:r>
        <w:rPr>
          <w:rFonts w:ascii="方正仿宋_GBK" w:hAnsi="方正仿宋_GBK" w:eastAsia="方正仿宋_GBK" w:cs="方正仿宋_GBK"/>
          <w:sz w:val="28"/>
          <w:szCs w:val="28"/>
        </w:rPr>
        <w:t>5个工作日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《国家外汇管理局行政许可实施办法》（国家外汇管理局公告2021年第1号）第十五条外汇局应根据以下要求确保行政许可依法按时完成：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ascii="方正仿宋_GBK" w:hAnsi="方正仿宋_GBK" w:eastAsia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4.承诺审批时限：</w:t>
      </w:r>
      <w:r>
        <w:rPr>
          <w:rFonts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2.收费项目的名称、收费项目的标准、设定收费项目的依据、规定收费标准的依据：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1.审批结果类型：</w:t>
      </w:r>
      <w:r>
        <w:rPr>
          <w:rFonts w:ascii="方正仿宋_GBK" w:hAnsi="方正仿宋_GBK" w:eastAsia="方正仿宋_GBK" w:cs="方正仿宋_GBK"/>
          <w:sz w:val="28"/>
          <w:szCs w:val="28"/>
        </w:rPr>
        <w:t>批文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《境内机构外债签约情况表》《业务登记凭证》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当次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4.规定审批结果有效期限的依据：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5.是否需要办理审批结果变更手续：</w:t>
      </w:r>
      <w:r>
        <w:rPr>
          <w:rFonts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6.办理审批结果变更手续的要求：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8.办理审批结果延续手续的要求：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9.审批结果的有效地域范围：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10.规定审批结果有效地域范围的依据：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5.规定在数量限制条件下实施行政许可方式的依据：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2.设定年检要求的依据：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5.年检报送材料名称：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6.年检是否收费：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7.年检收费项目的名称、年检收费项目的标准、设定年检收费项目的依据、规定年检项目收费标准的依据：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8.通过年检的证明或者标志：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1.</w:t>
      </w:r>
      <w:r>
        <w:rPr>
          <w:rFonts w:ascii="Times New Roman" w:hAnsi="Times New Roman" w:eastAsia="仿宋GB2312"/>
          <w:b/>
          <w:bCs/>
          <w:sz w:val="28"/>
          <w:szCs w:val="28"/>
        </w:rPr>
        <w:t>有无年报要求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2.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年报报送材料名称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3.</w:t>
      </w:r>
      <w:r>
        <w:rPr>
          <w:rFonts w:ascii="Times New Roman" w:hAnsi="Times New Roman" w:eastAsia="仿宋GB2312"/>
          <w:b/>
          <w:bCs/>
          <w:sz w:val="28"/>
          <w:szCs w:val="28"/>
        </w:rPr>
        <w:t>设定年报要求的依据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Times New Roman" w:hAnsi="Times New Roman" w:eastAsia="仿宋GB2312"/>
          <w:b/>
          <w:bCs/>
          <w:sz w:val="28"/>
          <w:szCs w:val="28"/>
        </w:rPr>
        <w:t>4.</w:t>
      </w:r>
      <w:r>
        <w:rPr>
          <w:rFonts w:ascii="Times New Roman" w:hAnsi="Times New Roman" w:eastAsia="仿宋GB2312"/>
          <w:b/>
          <w:bCs/>
          <w:sz w:val="28"/>
          <w:szCs w:val="28"/>
        </w:rPr>
        <w:t>年报周期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国家外汇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管理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局北京市分局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国家外汇管理局北京市分局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办理地址：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 北京市海淀区莲花池东路39号西金大厦9、10层，邮编100036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办理时间：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 周一至周五（法定节假日除外）上午8：30-11：30，下午13：00-17：00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 xml:space="preserve">    咨询方式：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（一）咨询窗口：国家外汇管理局北京市分局经常项目管理处11-14窗口， 资本项目管理处1-4、7-10 窗口， 国际收支处11-14窗口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（二）咨询电话：（010）68559550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（三）咨询网址：http://www.safe.gov.cn/beijing（留言反馈）</w:t>
      </w:r>
    </w:p>
    <w:p>
      <w:pPr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监督投诉方式：</w:t>
      </w:r>
    </w:p>
    <w:p>
      <w:pPr>
        <w:rPr>
          <w:rFonts w:hint="eastAsia"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 xml:space="preserve">    http://www.safe.gov.cn/beijing（留言反馈）</w:t>
      </w:r>
      <w:r>
        <w:rPr>
          <w:rFonts w:hint="eastAsia" w:ascii="仿宋_GB2312" w:hAnsi="Times New Roman" w:eastAsia="仿宋_GB2312"/>
          <w:bCs/>
          <w:sz w:val="28"/>
          <w:szCs w:val="28"/>
        </w:rPr>
        <w:cr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E5A26"/>
    <w:rsid w:val="00047B73"/>
    <w:rsid w:val="002D7106"/>
    <w:rsid w:val="002E2177"/>
    <w:rsid w:val="003600A8"/>
    <w:rsid w:val="003B7B5D"/>
    <w:rsid w:val="00442F07"/>
    <w:rsid w:val="005370A1"/>
    <w:rsid w:val="006E5A26"/>
    <w:rsid w:val="0079776A"/>
    <w:rsid w:val="009147D9"/>
    <w:rsid w:val="0091529F"/>
    <w:rsid w:val="00A850CA"/>
    <w:rsid w:val="00D057DB"/>
    <w:rsid w:val="00FB47FB"/>
    <w:rsid w:val="0EDE59B6"/>
    <w:rsid w:val="19EC1C8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703</Words>
  <Characters>4011</Characters>
  <Lines>33</Lines>
  <Paragraphs>9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2023-09-28T04:25:00Z</dcterms:created>
  <dc:creator>kylin</dc:creator>
  <cp:lastModifiedBy>yangling</cp:lastModifiedBy>
  <dcterms:modified xsi:type="dcterms:W3CDTF">2024-03-25T07:40:27Z</dcterms:modified>
  <dc:title>省级分局和计划单列市分局办理的境内机构短期外债余额指标核准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