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省级分局和计划单列市分局办理的外保内贷履约形成外债登记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【000171108004】</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境内机构外债、跨境担保核准【00017110800Y】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省级分局和计划单列市分局办理的外保内贷履约形成外债登记【000171108004】</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省级分局和计划单列市分局办理的外保内贷履约形成外债登记(00017110800401)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（1）《中华人民共和国外汇管理条例》第十八条</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（2）《国务院对确需保留的行政审批项目设定行政许可的决定》附件第471项</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（1）《外债登记管理办法》第三条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（2）《跨境担保外汇管理规定》第二十条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（4）《资本项目外汇业务指引（2020年版）》（汇综发〔2020〕89号文印发）2.6外保内贷履约外债登记审核材料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外保内贷履约外债登记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发生境外担保履约的外保内贷业务。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跨境担保外汇管理规定》第二十条外保内贷业务发生境外担保履约的，境内债务人应到所在地外汇局办理短期外债签约登记及相关信息备案手续。外汇局在外债签约登记环节对债务人外保内贷业务的合规性进行事后核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担保履约证明文件原件及加盖公章的复印件各1份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最近一期经审计的财务报告。选择“投注差”模式借用外债的外商投资企业，还应提供外商投资企业批准证书或商务部业务系统统一平台打印的外商投资企业基本信息页面原件及加盖公章的复印件各1份（验原件，留存加盖公章的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跨境担保外汇管理规定》第二十条外保内贷业务发生境外担保履约的，境内债务人应到所在地外汇局办理短期外债签约登记及相关信息备案手续。外汇局在外债签约登记环节对债务人外保内贷业务的合规性进行事后核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（2）《跨境担保外汇管理规定》附件2《跨境担保外汇管理操作指引》第二部分第四条因境外担保履约而申请办理外债登记的，债务人应当向外汇局提供以下材料：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（一）关于办理外债签约登记的书面申请报告</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（二）担保合同复印件和担保履约证明文件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（三）外商投资企业应提供批准证书、营业执照等文件，中资企业应提供营业执照。</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（四）上年度末经审计的债务人财务报表。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有</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经审计的财务报告</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《资本项目外汇业务指引（2020年版）》第二部分2.6外保内贷履约外债登记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审核材料</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3.上年度或最近一期经审计的财务报告。</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会计师事务所等具有财务报告审计资格的机构</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经营服务性收费（市场调节价）</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《国家外汇管理局行政许可实施办法》第十五条外汇局应根据以下要求确保行政许可依法按时完成：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《境内机构外债签约情况表》《业务登记凭证》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CD8"/>
    <w:rsid w:val="00194249"/>
    <w:rsid w:val="001D7382"/>
    <w:rsid w:val="002A46EC"/>
    <w:rsid w:val="00310E7A"/>
    <w:rsid w:val="0043423D"/>
    <w:rsid w:val="00434CD8"/>
    <w:rsid w:val="00460460"/>
    <w:rsid w:val="00505663"/>
    <w:rsid w:val="006E2216"/>
    <w:rsid w:val="007B0AA9"/>
    <w:rsid w:val="007E7E66"/>
    <w:rsid w:val="00A07ACF"/>
    <w:rsid w:val="00D511B4"/>
    <w:rsid w:val="00DB4C46"/>
    <w:rsid w:val="00DF0F7B"/>
    <w:rsid w:val="00F10500"/>
    <w:rsid w:val="00F87F47"/>
    <w:rsid w:val="00FD138C"/>
    <w:rsid w:val="14B21BC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584</Words>
  <Characters>3332</Characters>
  <Lines>27</Lines>
  <Paragraphs>7</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2023-09-28T09:28:00Z</dcterms:created>
  <dc:creator>kylin</dc:creator>
  <cp:lastModifiedBy>yangling</cp:lastModifiedBy>
  <dcterms:modified xsi:type="dcterms:W3CDTF">2024-03-25T07:39:27Z</dcterms:modified>
  <dc:title>省级分局和计划单列市分局办理的外保内贷履约形成外债登记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