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FF9" w:rsidRPr="00363A3A" w:rsidRDefault="00CB4B9E" w:rsidP="00C37BDB">
      <w:pPr>
        <w:rPr>
          <w:rFonts w:asciiTheme="majorEastAsia" w:eastAsiaTheme="majorEastAsia" w:hAnsiTheme="majorEastAsia"/>
          <w:color w:val="000000" w:themeColor="text1"/>
          <w:sz w:val="30"/>
          <w:szCs w:val="30"/>
        </w:rPr>
      </w:pPr>
      <w:r w:rsidRPr="00CB4B9E">
        <w:rPr>
          <w:rFonts w:asciiTheme="majorEastAsia" w:eastAsiaTheme="majorEastAsia" w:hAnsiTheme="majorEastAsia" w:hint="eastAsia"/>
          <w:color w:val="000000" w:themeColor="text1"/>
          <w:sz w:val="30"/>
          <w:szCs w:val="30"/>
        </w:rPr>
        <w:t>附件1</w:t>
      </w:r>
    </w:p>
    <w:p w:rsidR="00061FF9" w:rsidRPr="009263D7" w:rsidRDefault="00061FF9" w:rsidP="00443A61">
      <w:pPr>
        <w:rPr>
          <w:rFonts w:ascii="黑体" w:eastAsia="黑体"/>
          <w:color w:val="000000" w:themeColor="text1"/>
          <w:sz w:val="24"/>
        </w:rPr>
      </w:pPr>
    </w:p>
    <w:p w:rsidR="00061FF9" w:rsidRPr="009263D7" w:rsidRDefault="00061FF9" w:rsidP="00443A61">
      <w:pPr>
        <w:rPr>
          <w:rFonts w:ascii="黑体" w:eastAsia="黑体"/>
          <w:color w:val="000000" w:themeColor="text1"/>
          <w:sz w:val="24"/>
        </w:rPr>
      </w:pPr>
    </w:p>
    <w:p w:rsidR="00CF6CAC" w:rsidRPr="009263D7" w:rsidRDefault="00CF6CAC" w:rsidP="00443A61">
      <w:pPr>
        <w:rPr>
          <w:rFonts w:ascii="黑体" w:eastAsia="黑体"/>
          <w:color w:val="000000" w:themeColor="text1"/>
          <w:sz w:val="24"/>
        </w:rPr>
      </w:pPr>
    </w:p>
    <w:p w:rsidR="006C741E" w:rsidRPr="0090056B" w:rsidRDefault="006C741E" w:rsidP="00443A61">
      <w:pPr>
        <w:rPr>
          <w:rFonts w:ascii="黑体" w:eastAsia="黑体"/>
          <w:color w:val="000000" w:themeColor="text1"/>
          <w:sz w:val="24"/>
        </w:rPr>
      </w:pPr>
    </w:p>
    <w:p w:rsidR="00CF6CAC" w:rsidRPr="009263D7" w:rsidRDefault="00CF6CAC" w:rsidP="00443A61">
      <w:pPr>
        <w:rPr>
          <w:rFonts w:ascii="黑体" w:eastAsia="黑体"/>
          <w:color w:val="000000" w:themeColor="text1"/>
          <w:sz w:val="24"/>
        </w:rPr>
      </w:pPr>
    </w:p>
    <w:p w:rsidR="00A34EE1" w:rsidRPr="009263D7" w:rsidRDefault="00CB4B9E" w:rsidP="00A34EE1">
      <w:pPr>
        <w:jc w:val="center"/>
        <w:rPr>
          <w:rFonts w:ascii="宋体" w:hAnsi="宋体"/>
          <w:color w:val="000000" w:themeColor="text1"/>
          <w:sz w:val="52"/>
          <w:szCs w:val="52"/>
        </w:rPr>
      </w:pPr>
      <w:r w:rsidRPr="00CB4B9E">
        <w:rPr>
          <w:rFonts w:ascii="宋体" w:hAnsi="宋体" w:hint="eastAsia"/>
          <w:color w:val="000000" w:themeColor="text1"/>
          <w:sz w:val="52"/>
          <w:szCs w:val="52"/>
        </w:rPr>
        <w:t>对外金融资产负债及交易统计制度</w:t>
      </w:r>
    </w:p>
    <w:p w:rsidR="00F045FF" w:rsidRPr="009263D7" w:rsidRDefault="00F045FF" w:rsidP="00A34EE1">
      <w:pPr>
        <w:jc w:val="center"/>
        <w:rPr>
          <w:rFonts w:ascii="宋体" w:hAnsi="宋体"/>
          <w:color w:val="000000" w:themeColor="text1"/>
          <w:sz w:val="32"/>
        </w:rPr>
      </w:pPr>
    </w:p>
    <w:p w:rsidR="00A34EE1" w:rsidRPr="009263D7" w:rsidRDefault="00A34EE1" w:rsidP="00A34EE1">
      <w:pPr>
        <w:jc w:val="center"/>
        <w:rPr>
          <w:rFonts w:ascii="宋体" w:hAnsi="宋体"/>
          <w:color w:val="000000" w:themeColor="text1"/>
          <w:sz w:val="32"/>
        </w:rPr>
      </w:pPr>
    </w:p>
    <w:p w:rsidR="00A34EE1" w:rsidRPr="009263D7" w:rsidRDefault="00A34EE1" w:rsidP="00A34EE1">
      <w:pPr>
        <w:jc w:val="center"/>
        <w:rPr>
          <w:rFonts w:ascii="宋体" w:hAnsi="宋体"/>
          <w:color w:val="000000" w:themeColor="text1"/>
          <w:sz w:val="32"/>
        </w:rPr>
      </w:pPr>
    </w:p>
    <w:p w:rsidR="00A34EE1" w:rsidRPr="009263D7" w:rsidRDefault="00A34EE1" w:rsidP="00A34EE1">
      <w:pPr>
        <w:jc w:val="center"/>
        <w:rPr>
          <w:rFonts w:ascii="宋体" w:hAnsi="宋体"/>
          <w:color w:val="000000" w:themeColor="text1"/>
          <w:sz w:val="32"/>
        </w:rPr>
      </w:pPr>
    </w:p>
    <w:p w:rsidR="00A34EE1" w:rsidRPr="009263D7" w:rsidRDefault="00A34EE1" w:rsidP="00A34EE1">
      <w:pPr>
        <w:jc w:val="center"/>
        <w:rPr>
          <w:rFonts w:ascii="宋体" w:hAnsi="宋体"/>
          <w:color w:val="000000" w:themeColor="text1"/>
          <w:sz w:val="32"/>
        </w:rPr>
      </w:pPr>
    </w:p>
    <w:p w:rsidR="00A34EE1" w:rsidRPr="009263D7" w:rsidRDefault="00A34EE1" w:rsidP="00A34EE1">
      <w:pPr>
        <w:jc w:val="center"/>
        <w:rPr>
          <w:rFonts w:ascii="宋体" w:hAnsi="宋体"/>
          <w:color w:val="000000" w:themeColor="text1"/>
          <w:sz w:val="32"/>
        </w:rPr>
      </w:pPr>
    </w:p>
    <w:p w:rsidR="00717383" w:rsidRPr="009263D7" w:rsidRDefault="00717383" w:rsidP="00A34EE1">
      <w:pPr>
        <w:jc w:val="center"/>
        <w:rPr>
          <w:rFonts w:ascii="宋体" w:hAnsi="宋体"/>
          <w:color w:val="000000" w:themeColor="text1"/>
          <w:sz w:val="32"/>
        </w:rPr>
      </w:pPr>
    </w:p>
    <w:p w:rsidR="00061FF9" w:rsidRPr="009263D7" w:rsidRDefault="00061FF9" w:rsidP="00A34EE1">
      <w:pPr>
        <w:jc w:val="center"/>
        <w:rPr>
          <w:rFonts w:ascii="宋体" w:hAnsi="宋体"/>
          <w:color w:val="000000" w:themeColor="text1"/>
          <w:sz w:val="32"/>
        </w:rPr>
      </w:pPr>
    </w:p>
    <w:p w:rsidR="00000000" w:rsidRDefault="00CB4B9E">
      <w:pPr>
        <w:jc w:val="center"/>
        <w:rPr>
          <w:rFonts w:ascii="仿宋_GB2312" w:eastAsia="仿宋_GB2312"/>
          <w:color w:val="000000" w:themeColor="text1"/>
          <w:spacing w:val="30"/>
          <w:sz w:val="32"/>
        </w:rPr>
      </w:pPr>
      <w:r w:rsidRPr="00CB4B9E">
        <w:rPr>
          <w:rFonts w:ascii="仿宋_GB2312" w:eastAsia="仿宋_GB2312" w:hint="eastAsia"/>
          <w:color w:val="000000" w:themeColor="text1"/>
          <w:spacing w:val="30"/>
          <w:sz w:val="32"/>
        </w:rPr>
        <w:t>国家外汇管理局</w:t>
      </w:r>
    </w:p>
    <w:p w:rsidR="00000000" w:rsidRDefault="00CB4B9E">
      <w:pPr>
        <w:jc w:val="center"/>
        <w:rPr>
          <w:rFonts w:ascii="仿宋_GB2312" w:eastAsia="仿宋_GB2312"/>
          <w:color w:val="000000" w:themeColor="text1"/>
          <w:sz w:val="32"/>
        </w:rPr>
      </w:pPr>
      <w:r w:rsidRPr="00CB4B9E">
        <w:rPr>
          <w:rFonts w:ascii="仿宋_GB2312" w:eastAsia="仿宋_GB2312"/>
          <w:color w:val="000000" w:themeColor="text1"/>
          <w:sz w:val="32"/>
        </w:rPr>
        <w:t>2016</w:t>
      </w:r>
      <w:r w:rsidRPr="00CB4B9E">
        <w:rPr>
          <w:rFonts w:ascii="仿宋_GB2312" w:eastAsia="仿宋_GB2312" w:hint="eastAsia"/>
          <w:color w:val="000000" w:themeColor="text1"/>
          <w:sz w:val="32"/>
        </w:rPr>
        <w:t>年</w:t>
      </w:r>
      <w:r w:rsidR="00D1396C">
        <w:rPr>
          <w:rFonts w:ascii="仿宋_GB2312" w:eastAsia="仿宋_GB2312" w:hint="eastAsia"/>
          <w:color w:val="000000" w:themeColor="text1"/>
          <w:sz w:val="32"/>
        </w:rPr>
        <w:t>6</w:t>
      </w:r>
      <w:r w:rsidRPr="00CB4B9E">
        <w:rPr>
          <w:rFonts w:ascii="仿宋_GB2312" w:eastAsia="仿宋_GB2312" w:hint="eastAsia"/>
          <w:color w:val="000000" w:themeColor="text1"/>
          <w:sz w:val="32"/>
        </w:rPr>
        <w:t>月</w:t>
      </w:r>
    </w:p>
    <w:p w:rsidR="00C85D1C" w:rsidRPr="009263D7" w:rsidRDefault="00CB4B9E" w:rsidP="000C3B63">
      <w:pPr>
        <w:rPr>
          <w:color w:val="000000" w:themeColor="text1"/>
        </w:rPr>
      </w:pPr>
      <w:r>
        <w:rPr>
          <w:noProof/>
          <w:color w:val="000000" w:themeColor="text1"/>
        </w:rPr>
        <w:pict>
          <v:rect id="_x0000_s1033" style="position:absolute;left:0;text-align:left;margin-left:387pt;margin-top:538.2pt;width:63pt;height:23.4pt;z-index:3">
            <v:textbox style="mso-next-textbox:#_x0000_s1033">
              <w:txbxContent>
                <w:p w:rsidR="0075681B" w:rsidRDefault="0075681B" w:rsidP="000C3B63">
                  <w:r>
                    <w:rPr>
                      <w:rFonts w:hint="eastAsia"/>
                    </w:rPr>
                    <w:t>楷体</w:t>
                  </w:r>
                  <w:r>
                    <w:rPr>
                      <w:rFonts w:hint="eastAsia"/>
                    </w:rPr>
                    <w:t xml:space="preserve"> </w:t>
                  </w:r>
                  <w:r>
                    <w:rPr>
                      <w:rFonts w:hint="eastAsia"/>
                    </w:rPr>
                    <w:t>三号</w:t>
                  </w:r>
                </w:p>
              </w:txbxContent>
            </v:textbox>
          </v:rect>
        </w:pict>
      </w:r>
      <w:r>
        <w:rPr>
          <w:noProof/>
          <w:color w:val="000000" w:themeColor="text1"/>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2" type="#_x0000_t88" style="position:absolute;left:0;text-align:left;margin-left:372.75pt;margin-top:530.4pt;width:8.25pt;height:39pt;z-index:2" adj=",9775"/>
        </w:pict>
      </w:r>
      <w:r w:rsidRPr="00CB4B9E">
        <w:rPr>
          <w:color w:val="000000" w:themeColor="text1"/>
        </w:rPr>
        <w:br w:type="page"/>
      </w:r>
    </w:p>
    <w:p w:rsidR="00FF78F2" w:rsidRPr="009263D7" w:rsidRDefault="00FF78F2" w:rsidP="000C3B63">
      <w:pPr>
        <w:rPr>
          <w:color w:val="000000" w:themeColor="text1"/>
        </w:rPr>
      </w:pPr>
    </w:p>
    <w:p w:rsidR="000C3B63" w:rsidRPr="009263D7" w:rsidRDefault="000C3B63" w:rsidP="000C3B63">
      <w:pPr>
        <w:rPr>
          <w:color w:val="000000" w:themeColor="text1"/>
        </w:rPr>
      </w:pPr>
    </w:p>
    <w:p w:rsidR="000C3B63" w:rsidRPr="009263D7" w:rsidRDefault="000C3B63" w:rsidP="000C3B63">
      <w:pPr>
        <w:rPr>
          <w:color w:val="000000" w:themeColor="text1"/>
        </w:rPr>
      </w:pPr>
    </w:p>
    <w:p w:rsidR="006B0ACB" w:rsidRPr="009263D7" w:rsidRDefault="00CB4B9E" w:rsidP="000C3B63">
      <w:pPr>
        <w:rPr>
          <w:color w:val="000000" w:themeColor="text1"/>
        </w:rPr>
      </w:pPr>
      <w:r w:rsidRPr="00CB4B9E">
        <w:rPr>
          <w:rFonts w:ascii="宋体" w:hAnsi="宋体"/>
          <w:color w:val="000000" w:themeColor="text1"/>
          <w:spacing w:val="-8"/>
          <w:sz w:val="32"/>
          <w:szCs w:val="32"/>
        </w:rPr>
      </w:r>
      <w:r w:rsidRPr="00CB4B9E">
        <w:rPr>
          <w:rFonts w:ascii="宋体" w:hAnsi="宋体"/>
          <w:color w:val="000000" w:themeColor="text1"/>
          <w:spacing w:val="-8"/>
          <w:sz w:val="32"/>
          <w:szCs w:val="32"/>
        </w:rPr>
        <w:pict>
          <v:group id="_x0000_s1141" editas="canvas" style="width:78.75pt;height:31.2pt;mso-position-horizontal-relative:char;mso-position-vertical-relative:line" coordorigin="6265,3483" coordsize="1212,48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2" type="#_x0000_t75" style="position:absolute;left:6265;top:3483;width:1212;height:481" o:preferrelative="f">
              <v:fill o:detectmouseclick="t"/>
              <v:path o:extrusionok="t" o:connecttype="none"/>
              <o:lock v:ext="edit" text="t"/>
            </v:shape>
            <w10:wrap type="none"/>
            <w10:anchorlock/>
          </v:group>
        </w:pict>
      </w:r>
    </w:p>
    <w:p w:rsidR="000C3B63" w:rsidRPr="009263D7" w:rsidRDefault="00CB4B9E" w:rsidP="000C3B63">
      <w:pPr>
        <w:spacing w:line="360" w:lineRule="exact"/>
        <w:jc w:val="center"/>
        <w:rPr>
          <w:rFonts w:ascii="宋体" w:hAnsi="宋体"/>
          <w:color w:val="000000" w:themeColor="text1"/>
          <w:spacing w:val="-8"/>
          <w:sz w:val="32"/>
          <w:szCs w:val="32"/>
        </w:rPr>
      </w:pPr>
      <w:r w:rsidRPr="00CB4B9E">
        <w:rPr>
          <w:rFonts w:ascii="宋体" w:hAnsi="宋体" w:hint="eastAsia"/>
          <w:color w:val="000000" w:themeColor="text1"/>
          <w:spacing w:val="-8"/>
          <w:sz w:val="32"/>
          <w:szCs w:val="32"/>
        </w:rPr>
        <w:t>本制度根据《中华人民共和国统计法》、《中华人民共和国外汇管理条例》和《国际收支统计申报办法》的有关规定制定</w:t>
      </w:r>
    </w:p>
    <w:p w:rsidR="006C741E" w:rsidRPr="009263D7" w:rsidRDefault="006C741E" w:rsidP="000C3B63">
      <w:pPr>
        <w:spacing w:line="360" w:lineRule="exact"/>
        <w:jc w:val="center"/>
        <w:rPr>
          <w:rFonts w:ascii="宋体" w:hAnsi="宋体"/>
          <w:color w:val="000000" w:themeColor="text1"/>
          <w:spacing w:val="-8"/>
          <w:sz w:val="32"/>
          <w:szCs w:val="32"/>
        </w:rPr>
      </w:pPr>
    </w:p>
    <w:p w:rsidR="000C3B63" w:rsidRPr="009263D7" w:rsidRDefault="000C3B63" w:rsidP="000C3B63">
      <w:pPr>
        <w:spacing w:line="360" w:lineRule="exact"/>
        <w:rPr>
          <w:rFonts w:eastAsia="仿宋_GB2312"/>
          <w:color w:val="000000" w:themeColor="text1"/>
          <w:spacing w:val="-8"/>
          <w:sz w:val="28"/>
        </w:rPr>
      </w:pPr>
    </w:p>
    <w:p w:rsidR="00C261EF" w:rsidRPr="009263D7" w:rsidRDefault="00CB4B9E" w:rsidP="000C3B63">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rsidR="000C3B63" w:rsidRPr="009263D7" w:rsidRDefault="00CB4B9E" w:rsidP="00BD4543">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《中华人民共和国统计法》第九条规定：统计机构和统计人员对在统计工作中知悉的国家秘密、商业秘密和个人信息，应当予以保密。</w:t>
      </w:r>
    </w:p>
    <w:p w:rsidR="008B6205" w:rsidRPr="009263D7" w:rsidRDefault="00CB4B9E" w:rsidP="00BD4543">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《中华人民共和国外汇管理条例》第六条规定：国家实施国际收支统计申报制度。国务院外汇管理部门应对国际收支进行统计、监测，定期公布国际收支状况。</w:t>
      </w:r>
    </w:p>
    <w:p w:rsidR="008B6205" w:rsidRPr="009263D7" w:rsidRDefault="00CB4B9E" w:rsidP="00BD4543">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《中华人民共和国外汇管理条例》第四十八条规定：有下列情形之一的，由外汇管理机关责令改正，给予警告，对机构可以处</w:t>
      </w:r>
      <w:r w:rsidRPr="00CB4B9E">
        <w:rPr>
          <w:rFonts w:eastAsia="仿宋_GB2312"/>
          <w:color w:val="000000" w:themeColor="text1"/>
          <w:spacing w:val="-8"/>
          <w:sz w:val="28"/>
        </w:rPr>
        <w:t>30</w:t>
      </w:r>
      <w:r w:rsidRPr="00CB4B9E">
        <w:rPr>
          <w:rFonts w:eastAsia="仿宋_GB2312" w:hint="eastAsia"/>
          <w:color w:val="000000" w:themeColor="text1"/>
          <w:spacing w:val="-8"/>
          <w:sz w:val="28"/>
        </w:rPr>
        <w:t>万元以下的罚款，对个人可以处</w:t>
      </w:r>
      <w:r w:rsidRPr="00CB4B9E">
        <w:rPr>
          <w:rFonts w:eastAsia="仿宋_GB2312"/>
          <w:color w:val="000000" w:themeColor="text1"/>
          <w:spacing w:val="-8"/>
          <w:sz w:val="28"/>
        </w:rPr>
        <w:t>5</w:t>
      </w:r>
      <w:r w:rsidRPr="00CB4B9E">
        <w:rPr>
          <w:rFonts w:eastAsia="仿宋_GB2312" w:hint="eastAsia"/>
          <w:color w:val="000000" w:themeColor="text1"/>
          <w:spacing w:val="-8"/>
          <w:sz w:val="28"/>
        </w:rPr>
        <w:t>万元以下的罚款</w:t>
      </w:r>
      <w:r w:rsidRPr="00CB4B9E">
        <w:rPr>
          <w:rFonts w:eastAsia="仿宋_GB2312"/>
          <w:color w:val="000000" w:themeColor="text1"/>
          <w:spacing w:val="-8"/>
          <w:sz w:val="28"/>
        </w:rPr>
        <w:t>:</w:t>
      </w:r>
      <w:r w:rsidRPr="00CB4B9E">
        <w:rPr>
          <w:rFonts w:eastAsia="仿宋_GB2312" w:hint="eastAsia"/>
          <w:color w:val="000000" w:themeColor="text1"/>
          <w:spacing w:val="-8"/>
          <w:sz w:val="28"/>
        </w:rPr>
        <w:t>（一）未按照规定进行国际收支申报的；（二）未按照规定报送财务会计报告、统计报表等资料的；（三）未按照规定提交有效单证或者提交的单证不真实的；（四）违反外汇账户管理规定的；（五）违反外汇登记管理规定的；（六）拒绝、阻碍外汇管理机关依法进行监督检查或者调查的。</w:t>
      </w:r>
    </w:p>
    <w:p w:rsidR="005051C2" w:rsidRPr="009263D7" w:rsidRDefault="00CB4B9E" w:rsidP="00BD4543">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《国际收支统计申报办法》第二条规定：国际收支统计申报范围为中国居民与非中国居民之间发生的一切经济交易以及中国居民对外金融资产、负债状况。</w:t>
      </w:r>
    </w:p>
    <w:p w:rsidR="005051C2" w:rsidRPr="009263D7" w:rsidRDefault="00CB4B9E" w:rsidP="00BD4543">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国际收支统计申报办法》第五条规定：国家外汇管理局按照《中华人民共和国统计法》规定的程序，负责组织实施国际收支统计申报，并进行监督、检查；统计、汇总并公布国际收支状况和国际投资头寸状况；制定、修改本办法的实施细则；制定国际收支统计申报单及报表。政府有关部门应当协助国际收支统计申报工作。</w:t>
      </w:r>
    </w:p>
    <w:p w:rsidR="00764D56" w:rsidRPr="009263D7" w:rsidRDefault="00CB4B9E" w:rsidP="00BD4543">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《国际收支统计申报办法》第九条规定：中国境内提供登记结算、托管等服务的机构和自营或者代理客户进行对外证券、期货、期权等交易的交易商，应当向国</w:t>
      </w:r>
      <w:r w:rsidRPr="00CB4B9E">
        <w:rPr>
          <w:rFonts w:eastAsia="仿宋_GB2312" w:hint="eastAsia"/>
          <w:color w:val="000000" w:themeColor="text1"/>
          <w:spacing w:val="-8"/>
          <w:sz w:val="28"/>
        </w:rPr>
        <w:lastRenderedPageBreak/>
        <w:t>家外汇管理局或者其分支局申报对外交易及相应的收支和分红派息情况。</w:t>
      </w:r>
    </w:p>
    <w:p w:rsidR="00454D1F" w:rsidRPr="009263D7" w:rsidRDefault="00CB4B9E" w:rsidP="00454D1F">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国际收支统计申报办法》第十条规定：中国境内各类金融机构应当直接向国家外汇管理局及其分支局申报其自营对外业务情况，包括其对外金融资产、负债及其变动情况，相应的利润、利息收支情况，以及对外金融服务收支和其他收支情况；并履行与中国居民和非中国居民通过其进行国际收支统计申报活动有关的义务。</w:t>
      </w:r>
    </w:p>
    <w:p w:rsidR="00454D1F" w:rsidRPr="009263D7" w:rsidRDefault="00CB4B9E" w:rsidP="00454D1F">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《国际收支统计申报办法》第十一条规定：在中国境外开立账户的中国非金融机构，应当直接向国家外汇管理局或其分支局申报其通过境外账户与非中国居民发生的交易及账户余额。</w:t>
      </w:r>
    </w:p>
    <w:p w:rsidR="00454D1F" w:rsidRPr="009263D7" w:rsidRDefault="00CB4B9E" w:rsidP="00454D1F">
      <w:pPr>
        <w:spacing w:line="480" w:lineRule="exact"/>
        <w:ind w:firstLine="561"/>
        <w:rPr>
          <w:rFonts w:eastAsia="仿宋_GB2312"/>
          <w:color w:val="000000" w:themeColor="text1"/>
          <w:spacing w:val="-8"/>
          <w:sz w:val="28"/>
        </w:rPr>
      </w:pPr>
      <w:r w:rsidRPr="00CB4B9E">
        <w:rPr>
          <w:rFonts w:eastAsia="仿宋_GB2312" w:hint="eastAsia"/>
          <w:color w:val="000000" w:themeColor="text1"/>
          <w:spacing w:val="-8"/>
          <w:sz w:val="28"/>
        </w:rPr>
        <w:t>《国际收支统计申报办法》第十二条规定：中国境内的外商投资企业、在境外有直接投资的企业及其他有对外金融资产、负债的非金融机构，必须直接向国家外汇管理局或其分支局申报其对外金融资产、负债及其变动情况和相应的利润、股息、利息收支情况。</w:t>
      </w:r>
    </w:p>
    <w:p w:rsidR="0013487F" w:rsidRPr="009263D7" w:rsidRDefault="0013487F" w:rsidP="00175374">
      <w:pPr>
        <w:spacing w:line="480" w:lineRule="exact"/>
        <w:ind w:firstLine="561"/>
        <w:rPr>
          <w:rFonts w:ascii="黑体" w:eastAsia="黑体"/>
          <w:color w:val="000000" w:themeColor="text1"/>
          <w:sz w:val="24"/>
        </w:rPr>
      </w:pPr>
    </w:p>
    <w:p w:rsidR="0013487F" w:rsidRPr="009263D7" w:rsidRDefault="00CB4B9E" w:rsidP="000C3B63">
      <w:pPr>
        <w:rPr>
          <w:rFonts w:ascii="黑体" w:eastAsia="黑体"/>
          <w:color w:val="000000" w:themeColor="text1"/>
          <w:sz w:val="24"/>
        </w:rPr>
      </w:pPr>
      <w:r w:rsidRPr="00CB4B9E">
        <w:rPr>
          <w:rFonts w:ascii="黑体" w:eastAsia="黑体"/>
          <w:color w:val="000000" w:themeColor="text1"/>
          <w:sz w:val="24"/>
        </w:rPr>
        <w:br w:type="page"/>
      </w:r>
    </w:p>
    <w:p w:rsidR="00B11245" w:rsidRPr="009263D7" w:rsidRDefault="00B11245" w:rsidP="000C3B63">
      <w:pPr>
        <w:rPr>
          <w:rFonts w:ascii="黑体" w:eastAsia="黑体"/>
          <w:color w:val="000000" w:themeColor="text1"/>
          <w:sz w:val="24"/>
        </w:rPr>
      </w:pPr>
    </w:p>
    <w:p w:rsidR="000C3B63" w:rsidRPr="009263D7" w:rsidRDefault="00CB4B9E" w:rsidP="00B11245">
      <w:pPr>
        <w:jc w:val="center"/>
        <w:rPr>
          <w:rFonts w:eastAsia="黑体"/>
          <w:color w:val="000000" w:themeColor="text1"/>
          <w:sz w:val="32"/>
        </w:rPr>
      </w:pPr>
      <w:r w:rsidRPr="00CB4B9E">
        <w:rPr>
          <w:rFonts w:eastAsia="黑体" w:hint="eastAsia"/>
          <w:color w:val="000000" w:themeColor="text1"/>
          <w:sz w:val="32"/>
        </w:rPr>
        <w:t>目</w:t>
      </w:r>
      <w:r w:rsidRPr="00CB4B9E">
        <w:rPr>
          <w:rFonts w:eastAsia="黑体"/>
          <w:color w:val="000000" w:themeColor="text1"/>
          <w:sz w:val="32"/>
        </w:rPr>
        <w:t xml:space="preserve">     </w:t>
      </w:r>
      <w:r w:rsidRPr="00CB4B9E">
        <w:rPr>
          <w:rFonts w:eastAsia="黑体" w:hint="eastAsia"/>
          <w:color w:val="000000" w:themeColor="text1"/>
          <w:sz w:val="32"/>
        </w:rPr>
        <w:t>录</w:t>
      </w:r>
    </w:p>
    <w:p w:rsidR="00C9630B" w:rsidRDefault="00CB4B9E">
      <w:pPr>
        <w:pStyle w:val="12"/>
        <w:rPr>
          <w:rFonts w:asciiTheme="minorHAnsi" w:eastAsiaTheme="minorEastAsia" w:hAnsiTheme="minorHAnsi" w:cstheme="minorBidi"/>
          <w:noProof/>
          <w:kern w:val="2"/>
          <w:sz w:val="21"/>
        </w:rPr>
      </w:pPr>
      <w:r w:rsidRPr="00CB4B9E">
        <w:rPr>
          <w:rFonts w:ascii="宋体" w:hAnsi="宋体"/>
          <w:sz w:val="21"/>
          <w:szCs w:val="21"/>
        </w:rPr>
        <w:fldChar w:fldCharType="begin"/>
      </w:r>
      <w:r w:rsidRPr="00CB4B9E">
        <w:rPr>
          <w:rFonts w:ascii="宋体" w:hAnsi="宋体"/>
          <w:sz w:val="21"/>
          <w:szCs w:val="21"/>
        </w:rPr>
        <w:instrText xml:space="preserve"> TOC \o "1-3" \h \z \u </w:instrText>
      </w:r>
      <w:r w:rsidRPr="00CB4B9E">
        <w:rPr>
          <w:rFonts w:ascii="宋体" w:hAnsi="宋体"/>
          <w:sz w:val="21"/>
          <w:szCs w:val="21"/>
        </w:rPr>
        <w:fldChar w:fldCharType="separate"/>
      </w:r>
      <w:hyperlink w:anchor="_Toc452017116" w:history="1">
        <w:r w:rsidR="00C9630B" w:rsidRPr="00585DED">
          <w:rPr>
            <w:rStyle w:val="ae"/>
            <w:rFonts w:eastAsia="黑体" w:hint="eastAsia"/>
            <w:noProof/>
          </w:rPr>
          <w:t>一、总</w:t>
        </w:r>
        <w:r w:rsidR="00C9630B" w:rsidRPr="00585DED">
          <w:rPr>
            <w:rStyle w:val="ae"/>
            <w:rFonts w:eastAsia="黑体"/>
            <w:noProof/>
          </w:rPr>
          <w:t xml:space="preserve"> </w:t>
        </w:r>
        <w:r w:rsidR="00C9630B" w:rsidRPr="00585DED">
          <w:rPr>
            <w:rStyle w:val="ae"/>
            <w:rFonts w:eastAsia="黑体" w:hint="eastAsia"/>
            <w:noProof/>
          </w:rPr>
          <w:t>说</w:t>
        </w:r>
        <w:r w:rsidR="00C9630B" w:rsidRPr="00585DED">
          <w:rPr>
            <w:rStyle w:val="ae"/>
            <w:rFonts w:eastAsia="黑体"/>
            <w:noProof/>
          </w:rPr>
          <w:t xml:space="preserve"> </w:t>
        </w:r>
        <w:r w:rsidR="00C9630B" w:rsidRPr="00585DED">
          <w:rPr>
            <w:rStyle w:val="ae"/>
            <w:rFonts w:eastAsia="黑体" w:hint="eastAsia"/>
            <w:noProof/>
          </w:rPr>
          <w:t>明</w:t>
        </w:r>
        <w:r w:rsidR="00C9630B">
          <w:rPr>
            <w:noProof/>
            <w:webHidden/>
          </w:rPr>
          <w:tab/>
        </w:r>
        <w:r>
          <w:rPr>
            <w:noProof/>
            <w:webHidden/>
          </w:rPr>
          <w:fldChar w:fldCharType="begin"/>
        </w:r>
        <w:r w:rsidR="00C9630B">
          <w:rPr>
            <w:noProof/>
            <w:webHidden/>
          </w:rPr>
          <w:instrText xml:space="preserve"> PAGEREF _Toc452017116 \h </w:instrText>
        </w:r>
        <w:r>
          <w:rPr>
            <w:noProof/>
            <w:webHidden/>
          </w:rPr>
        </w:r>
        <w:r>
          <w:rPr>
            <w:noProof/>
            <w:webHidden/>
          </w:rPr>
          <w:fldChar w:fldCharType="separate"/>
        </w:r>
        <w:r w:rsidR="00FE119C">
          <w:rPr>
            <w:noProof/>
            <w:webHidden/>
          </w:rPr>
          <w:t>6</w:t>
        </w:r>
        <w:r>
          <w:rPr>
            <w:noProof/>
            <w:webHidden/>
          </w:rPr>
          <w:fldChar w:fldCharType="end"/>
        </w:r>
      </w:hyperlink>
    </w:p>
    <w:p w:rsidR="00C9630B" w:rsidRDefault="00CB4B9E">
      <w:pPr>
        <w:pStyle w:val="12"/>
        <w:rPr>
          <w:rFonts w:asciiTheme="minorHAnsi" w:eastAsiaTheme="minorEastAsia" w:hAnsiTheme="minorHAnsi" w:cstheme="minorBidi"/>
          <w:noProof/>
          <w:kern w:val="2"/>
          <w:sz w:val="21"/>
        </w:rPr>
      </w:pPr>
      <w:hyperlink w:anchor="_Toc452017117" w:history="1">
        <w:r w:rsidR="00C9630B" w:rsidRPr="00585DED">
          <w:rPr>
            <w:rStyle w:val="ae"/>
            <w:rFonts w:eastAsia="黑体" w:hint="eastAsia"/>
            <w:noProof/>
          </w:rPr>
          <w:t>二、报</w:t>
        </w:r>
        <w:r w:rsidR="00C9630B" w:rsidRPr="00585DED">
          <w:rPr>
            <w:rStyle w:val="ae"/>
            <w:rFonts w:eastAsia="黑体"/>
            <w:noProof/>
          </w:rPr>
          <w:t xml:space="preserve"> </w:t>
        </w:r>
        <w:r w:rsidR="00C9630B" w:rsidRPr="00585DED">
          <w:rPr>
            <w:rStyle w:val="ae"/>
            <w:rFonts w:eastAsia="黑体" w:hint="eastAsia"/>
            <w:noProof/>
          </w:rPr>
          <w:t>表</w:t>
        </w:r>
        <w:r w:rsidR="00C9630B" w:rsidRPr="00585DED">
          <w:rPr>
            <w:rStyle w:val="ae"/>
            <w:rFonts w:eastAsia="黑体"/>
            <w:noProof/>
          </w:rPr>
          <w:t xml:space="preserve"> </w:t>
        </w:r>
        <w:r w:rsidR="00C9630B" w:rsidRPr="00585DED">
          <w:rPr>
            <w:rStyle w:val="ae"/>
            <w:rFonts w:eastAsia="黑体" w:hint="eastAsia"/>
            <w:noProof/>
          </w:rPr>
          <w:t>目</w:t>
        </w:r>
        <w:r w:rsidR="00C9630B" w:rsidRPr="00585DED">
          <w:rPr>
            <w:rStyle w:val="ae"/>
            <w:rFonts w:eastAsia="黑体"/>
            <w:noProof/>
          </w:rPr>
          <w:t xml:space="preserve"> </w:t>
        </w:r>
        <w:r w:rsidR="00C9630B" w:rsidRPr="00585DED">
          <w:rPr>
            <w:rStyle w:val="ae"/>
            <w:rFonts w:eastAsia="黑体" w:hint="eastAsia"/>
            <w:noProof/>
          </w:rPr>
          <w:t>录</w:t>
        </w:r>
        <w:r w:rsidR="00C9630B">
          <w:rPr>
            <w:noProof/>
            <w:webHidden/>
          </w:rPr>
          <w:tab/>
        </w:r>
        <w:r>
          <w:rPr>
            <w:noProof/>
            <w:webHidden/>
          </w:rPr>
          <w:fldChar w:fldCharType="begin"/>
        </w:r>
        <w:r w:rsidR="00C9630B">
          <w:rPr>
            <w:noProof/>
            <w:webHidden/>
          </w:rPr>
          <w:instrText xml:space="preserve"> PAGEREF _Toc452017117 \h </w:instrText>
        </w:r>
        <w:r>
          <w:rPr>
            <w:noProof/>
            <w:webHidden/>
          </w:rPr>
        </w:r>
        <w:r>
          <w:rPr>
            <w:noProof/>
            <w:webHidden/>
          </w:rPr>
          <w:fldChar w:fldCharType="separate"/>
        </w:r>
        <w:r w:rsidR="00FE119C">
          <w:rPr>
            <w:noProof/>
            <w:webHidden/>
          </w:rPr>
          <w:t>8</w:t>
        </w:r>
        <w:r>
          <w:rPr>
            <w:noProof/>
            <w:webHidden/>
          </w:rPr>
          <w:fldChar w:fldCharType="end"/>
        </w:r>
      </w:hyperlink>
    </w:p>
    <w:p w:rsidR="00C9630B" w:rsidRDefault="00CB4B9E">
      <w:pPr>
        <w:pStyle w:val="12"/>
        <w:rPr>
          <w:rFonts w:asciiTheme="minorHAnsi" w:eastAsiaTheme="minorEastAsia" w:hAnsiTheme="minorHAnsi" w:cstheme="minorBidi"/>
          <w:noProof/>
          <w:kern w:val="2"/>
          <w:sz w:val="21"/>
        </w:rPr>
      </w:pPr>
      <w:hyperlink w:anchor="_Toc452017118" w:history="1">
        <w:r w:rsidR="00C9630B" w:rsidRPr="00585DED">
          <w:rPr>
            <w:rStyle w:val="ae"/>
            <w:rFonts w:eastAsia="黑体" w:hint="eastAsia"/>
            <w:noProof/>
          </w:rPr>
          <w:t>三</w:t>
        </w:r>
        <w:r w:rsidR="00C9630B" w:rsidRPr="00585DED">
          <w:rPr>
            <w:rStyle w:val="ae"/>
            <w:rFonts w:ascii="黑体" w:eastAsia="黑体" w:hint="eastAsia"/>
            <w:noProof/>
          </w:rPr>
          <w:t>、</w:t>
        </w:r>
        <w:r w:rsidR="00C9630B" w:rsidRPr="00585DED">
          <w:rPr>
            <w:rStyle w:val="ae"/>
            <w:rFonts w:eastAsia="黑体" w:hint="eastAsia"/>
            <w:noProof/>
          </w:rPr>
          <w:t>调</w:t>
        </w:r>
        <w:r w:rsidR="00C9630B" w:rsidRPr="00585DED">
          <w:rPr>
            <w:rStyle w:val="ae"/>
            <w:rFonts w:eastAsia="黑体"/>
            <w:noProof/>
          </w:rPr>
          <w:t xml:space="preserve"> </w:t>
        </w:r>
        <w:r w:rsidR="00C9630B" w:rsidRPr="00585DED">
          <w:rPr>
            <w:rStyle w:val="ae"/>
            <w:rFonts w:eastAsia="黑体" w:hint="eastAsia"/>
            <w:noProof/>
          </w:rPr>
          <w:t>查</w:t>
        </w:r>
        <w:r w:rsidR="00C9630B" w:rsidRPr="00585DED">
          <w:rPr>
            <w:rStyle w:val="ae"/>
            <w:rFonts w:eastAsia="黑体"/>
            <w:noProof/>
          </w:rPr>
          <w:t xml:space="preserve"> </w:t>
        </w:r>
        <w:r w:rsidR="00C9630B" w:rsidRPr="00585DED">
          <w:rPr>
            <w:rStyle w:val="ae"/>
            <w:rFonts w:eastAsia="黑体" w:hint="eastAsia"/>
            <w:noProof/>
          </w:rPr>
          <w:t>表</w:t>
        </w:r>
        <w:r w:rsidR="00C9630B" w:rsidRPr="00585DED">
          <w:rPr>
            <w:rStyle w:val="ae"/>
            <w:rFonts w:eastAsia="黑体"/>
            <w:noProof/>
          </w:rPr>
          <w:t xml:space="preserve"> </w:t>
        </w:r>
        <w:r w:rsidR="00C9630B" w:rsidRPr="00585DED">
          <w:rPr>
            <w:rStyle w:val="ae"/>
            <w:rFonts w:eastAsia="黑体" w:hint="eastAsia"/>
            <w:noProof/>
          </w:rPr>
          <w:t>式</w:t>
        </w:r>
        <w:r w:rsidR="00C9630B">
          <w:rPr>
            <w:noProof/>
            <w:webHidden/>
          </w:rPr>
          <w:tab/>
        </w:r>
        <w:r>
          <w:rPr>
            <w:noProof/>
            <w:webHidden/>
          </w:rPr>
          <w:fldChar w:fldCharType="begin"/>
        </w:r>
        <w:r w:rsidR="00C9630B">
          <w:rPr>
            <w:noProof/>
            <w:webHidden/>
          </w:rPr>
          <w:instrText xml:space="preserve"> PAGEREF _Toc452017118 \h </w:instrText>
        </w:r>
        <w:r>
          <w:rPr>
            <w:noProof/>
            <w:webHidden/>
          </w:rPr>
        </w:r>
        <w:r>
          <w:rPr>
            <w:noProof/>
            <w:webHidden/>
          </w:rPr>
          <w:fldChar w:fldCharType="separate"/>
        </w:r>
        <w:r w:rsidR="00FE119C">
          <w:rPr>
            <w:noProof/>
            <w:webHidden/>
          </w:rPr>
          <w:t>13</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19" w:history="1">
        <w:r w:rsidR="00C9630B" w:rsidRPr="00585DED">
          <w:rPr>
            <w:rStyle w:val="ae"/>
            <w:rFonts w:ascii="宋体" w:hAnsi="宋体" w:hint="eastAsia"/>
            <w:noProof/>
          </w:rPr>
          <w:t>（一）基本信息</w:t>
        </w:r>
        <w:r w:rsidR="00C9630B">
          <w:rPr>
            <w:noProof/>
            <w:webHidden/>
          </w:rPr>
          <w:tab/>
        </w:r>
        <w:r>
          <w:rPr>
            <w:noProof/>
            <w:webHidden/>
          </w:rPr>
          <w:fldChar w:fldCharType="begin"/>
        </w:r>
        <w:r w:rsidR="00C9630B">
          <w:rPr>
            <w:noProof/>
            <w:webHidden/>
          </w:rPr>
          <w:instrText xml:space="preserve"> PAGEREF _Toc452017119 \h </w:instrText>
        </w:r>
        <w:r>
          <w:rPr>
            <w:noProof/>
            <w:webHidden/>
          </w:rPr>
        </w:r>
        <w:r>
          <w:rPr>
            <w:noProof/>
            <w:webHidden/>
          </w:rPr>
          <w:fldChar w:fldCharType="separate"/>
        </w:r>
        <w:r w:rsidR="00FE119C">
          <w:rPr>
            <w:noProof/>
            <w:webHidden/>
          </w:rPr>
          <w:t>13</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20" w:history="1">
        <w:r w:rsidR="00C9630B" w:rsidRPr="00585DED">
          <w:rPr>
            <w:rStyle w:val="ae"/>
            <w:rFonts w:ascii="宋体" w:hAnsi="宋体" w:hint="eastAsia"/>
            <w:noProof/>
          </w:rPr>
          <w:t>填报单位基本信息</w:t>
        </w:r>
        <w:r w:rsidR="00C9630B">
          <w:rPr>
            <w:noProof/>
            <w:webHidden/>
          </w:rPr>
          <w:tab/>
        </w:r>
        <w:r>
          <w:rPr>
            <w:noProof/>
            <w:webHidden/>
          </w:rPr>
          <w:fldChar w:fldCharType="begin"/>
        </w:r>
        <w:r w:rsidR="00C9630B">
          <w:rPr>
            <w:noProof/>
            <w:webHidden/>
          </w:rPr>
          <w:instrText xml:space="preserve"> PAGEREF _Toc452017120 \h </w:instrText>
        </w:r>
        <w:r>
          <w:rPr>
            <w:noProof/>
            <w:webHidden/>
          </w:rPr>
        </w:r>
        <w:r>
          <w:rPr>
            <w:noProof/>
            <w:webHidden/>
          </w:rPr>
          <w:fldChar w:fldCharType="separate"/>
        </w:r>
        <w:r w:rsidR="00FE119C">
          <w:rPr>
            <w:noProof/>
            <w:webHidden/>
          </w:rPr>
          <w:t>13</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21" w:history="1">
        <w:r w:rsidR="00C9630B" w:rsidRPr="00585DED">
          <w:rPr>
            <w:rStyle w:val="ae"/>
            <w:rFonts w:ascii="宋体" w:hAnsi="宋体" w:hint="eastAsia"/>
            <w:noProof/>
          </w:rPr>
          <w:t>业务概览及联系方式</w:t>
        </w:r>
        <w:r w:rsidR="00C9630B">
          <w:rPr>
            <w:noProof/>
            <w:webHidden/>
          </w:rPr>
          <w:tab/>
        </w:r>
        <w:r>
          <w:rPr>
            <w:noProof/>
            <w:webHidden/>
          </w:rPr>
          <w:fldChar w:fldCharType="begin"/>
        </w:r>
        <w:r w:rsidR="00C9630B">
          <w:rPr>
            <w:noProof/>
            <w:webHidden/>
          </w:rPr>
          <w:instrText xml:space="preserve"> PAGEREF _Toc452017121 \h </w:instrText>
        </w:r>
        <w:r>
          <w:rPr>
            <w:noProof/>
            <w:webHidden/>
          </w:rPr>
        </w:r>
        <w:r>
          <w:rPr>
            <w:noProof/>
            <w:webHidden/>
          </w:rPr>
          <w:fldChar w:fldCharType="separate"/>
        </w:r>
        <w:r w:rsidR="00FE119C">
          <w:rPr>
            <w:noProof/>
            <w:webHidden/>
          </w:rPr>
          <w:t>14</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22" w:history="1">
        <w:r w:rsidR="00C9630B" w:rsidRPr="00585DED">
          <w:rPr>
            <w:rStyle w:val="ae"/>
            <w:rFonts w:ascii="宋体" w:hAnsi="宋体" w:hint="eastAsia"/>
            <w:noProof/>
          </w:rPr>
          <w:t>投资关系（组织架构）</w:t>
        </w:r>
        <w:r w:rsidR="00C9630B">
          <w:rPr>
            <w:noProof/>
            <w:webHidden/>
          </w:rPr>
          <w:tab/>
        </w:r>
        <w:r>
          <w:rPr>
            <w:noProof/>
            <w:webHidden/>
          </w:rPr>
          <w:fldChar w:fldCharType="begin"/>
        </w:r>
        <w:r w:rsidR="00C9630B">
          <w:rPr>
            <w:noProof/>
            <w:webHidden/>
          </w:rPr>
          <w:instrText xml:space="preserve"> PAGEREF _Toc452017122 \h </w:instrText>
        </w:r>
        <w:r>
          <w:rPr>
            <w:noProof/>
            <w:webHidden/>
          </w:rPr>
        </w:r>
        <w:r>
          <w:rPr>
            <w:noProof/>
            <w:webHidden/>
          </w:rPr>
          <w:fldChar w:fldCharType="separate"/>
        </w:r>
        <w:r w:rsidR="00FE119C">
          <w:rPr>
            <w:noProof/>
            <w:webHidden/>
          </w:rPr>
          <w:t>15</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23" w:history="1">
        <w:r w:rsidR="00C9630B" w:rsidRPr="00585DED">
          <w:rPr>
            <w:rStyle w:val="ae"/>
            <w:rFonts w:asciiTheme="majorEastAsia" w:eastAsiaTheme="majorEastAsia" w:hAnsiTheme="majorEastAsia" w:hint="eastAsia"/>
            <w:noProof/>
          </w:rPr>
          <w:t>（二）直接投资</w:t>
        </w:r>
        <w:r w:rsidR="00C9630B">
          <w:rPr>
            <w:noProof/>
            <w:webHidden/>
          </w:rPr>
          <w:tab/>
        </w:r>
        <w:r>
          <w:rPr>
            <w:noProof/>
            <w:webHidden/>
          </w:rPr>
          <w:fldChar w:fldCharType="begin"/>
        </w:r>
        <w:r w:rsidR="00C9630B">
          <w:rPr>
            <w:noProof/>
            <w:webHidden/>
          </w:rPr>
          <w:instrText xml:space="preserve"> PAGEREF _Toc452017123 \h </w:instrText>
        </w:r>
        <w:r>
          <w:rPr>
            <w:noProof/>
            <w:webHidden/>
          </w:rPr>
        </w:r>
        <w:r>
          <w:rPr>
            <w:noProof/>
            <w:webHidden/>
          </w:rPr>
          <w:fldChar w:fldCharType="separate"/>
        </w:r>
        <w:r w:rsidR="00FE119C">
          <w:rPr>
            <w:noProof/>
            <w:webHidden/>
          </w:rPr>
          <w:t>16</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24" w:history="1">
        <w:r w:rsidR="00C9630B" w:rsidRPr="00585DED">
          <w:rPr>
            <w:rStyle w:val="ae"/>
            <w:rFonts w:ascii="宋体" w:hAnsi="宋体" w:hint="eastAsia"/>
            <w:noProof/>
          </w:rPr>
          <w:t>对外直接投资（资产负债、利润及市值）</w:t>
        </w:r>
        <w:r w:rsidR="00C9630B">
          <w:rPr>
            <w:noProof/>
            <w:webHidden/>
          </w:rPr>
          <w:tab/>
        </w:r>
        <w:r>
          <w:rPr>
            <w:noProof/>
            <w:webHidden/>
          </w:rPr>
          <w:fldChar w:fldCharType="begin"/>
        </w:r>
        <w:r w:rsidR="00C9630B">
          <w:rPr>
            <w:noProof/>
            <w:webHidden/>
          </w:rPr>
          <w:instrText xml:space="preserve"> PAGEREF _Toc452017124 \h </w:instrText>
        </w:r>
        <w:r>
          <w:rPr>
            <w:noProof/>
            <w:webHidden/>
          </w:rPr>
        </w:r>
        <w:r>
          <w:rPr>
            <w:noProof/>
            <w:webHidden/>
          </w:rPr>
          <w:fldChar w:fldCharType="separate"/>
        </w:r>
        <w:r w:rsidR="00FE119C">
          <w:rPr>
            <w:noProof/>
            <w:webHidden/>
          </w:rPr>
          <w:t>16</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25" w:history="1">
        <w:r w:rsidR="00C9630B" w:rsidRPr="00585DED">
          <w:rPr>
            <w:rStyle w:val="ae"/>
            <w:rFonts w:ascii="宋体" w:hAnsi="宋体" w:hint="eastAsia"/>
            <w:noProof/>
          </w:rPr>
          <w:t>对外直接投资（流量）</w:t>
        </w:r>
        <w:r w:rsidR="00C9630B">
          <w:rPr>
            <w:noProof/>
            <w:webHidden/>
          </w:rPr>
          <w:tab/>
        </w:r>
        <w:r>
          <w:rPr>
            <w:noProof/>
            <w:webHidden/>
          </w:rPr>
          <w:fldChar w:fldCharType="begin"/>
        </w:r>
        <w:r w:rsidR="00C9630B">
          <w:rPr>
            <w:noProof/>
            <w:webHidden/>
          </w:rPr>
          <w:instrText xml:space="preserve"> PAGEREF _Toc452017125 \h </w:instrText>
        </w:r>
        <w:r>
          <w:rPr>
            <w:noProof/>
            <w:webHidden/>
          </w:rPr>
        </w:r>
        <w:r>
          <w:rPr>
            <w:noProof/>
            <w:webHidden/>
          </w:rPr>
          <w:fldChar w:fldCharType="separate"/>
        </w:r>
        <w:r w:rsidR="00FE119C">
          <w:rPr>
            <w:noProof/>
            <w:webHidden/>
          </w:rPr>
          <w:t>18</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26" w:history="1">
        <w:r w:rsidR="00C9630B" w:rsidRPr="00585DED">
          <w:rPr>
            <w:rStyle w:val="ae"/>
            <w:rFonts w:asciiTheme="majorEastAsia" w:eastAsiaTheme="majorEastAsia" w:hAnsiTheme="majorEastAsia" w:hint="eastAsia"/>
            <w:noProof/>
          </w:rPr>
          <w:t>外国来华直接投资</w:t>
        </w:r>
        <w:r w:rsidR="00C9630B" w:rsidRPr="00585DED">
          <w:rPr>
            <w:rStyle w:val="ae"/>
            <w:rFonts w:ascii="宋体" w:hAnsi="宋体" w:hint="eastAsia"/>
            <w:noProof/>
          </w:rPr>
          <w:t>（资产负债及利润）</w:t>
        </w:r>
        <w:r w:rsidR="00C9630B">
          <w:rPr>
            <w:noProof/>
            <w:webHidden/>
          </w:rPr>
          <w:tab/>
        </w:r>
        <w:r>
          <w:rPr>
            <w:noProof/>
            <w:webHidden/>
          </w:rPr>
          <w:fldChar w:fldCharType="begin"/>
        </w:r>
        <w:r w:rsidR="00C9630B">
          <w:rPr>
            <w:noProof/>
            <w:webHidden/>
          </w:rPr>
          <w:instrText xml:space="preserve"> PAGEREF _Toc452017126 \h </w:instrText>
        </w:r>
        <w:r>
          <w:rPr>
            <w:noProof/>
            <w:webHidden/>
          </w:rPr>
        </w:r>
        <w:r>
          <w:rPr>
            <w:noProof/>
            <w:webHidden/>
          </w:rPr>
          <w:fldChar w:fldCharType="separate"/>
        </w:r>
        <w:r w:rsidR="00FE119C">
          <w:rPr>
            <w:noProof/>
            <w:webHidden/>
          </w:rPr>
          <w:t>19</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27" w:history="1">
        <w:r w:rsidR="00C9630B" w:rsidRPr="00585DED">
          <w:rPr>
            <w:rStyle w:val="ae"/>
            <w:rFonts w:asciiTheme="majorEastAsia" w:eastAsiaTheme="majorEastAsia" w:hAnsiTheme="majorEastAsia" w:hint="eastAsia"/>
            <w:noProof/>
          </w:rPr>
          <w:t>外国来华直接投资（</w:t>
        </w:r>
        <w:r w:rsidR="00C9630B" w:rsidRPr="00585DED">
          <w:rPr>
            <w:rStyle w:val="ae"/>
            <w:rFonts w:ascii="宋体" w:hAnsi="宋体" w:hint="eastAsia"/>
            <w:noProof/>
          </w:rPr>
          <w:t>境外投资者持股情况）</w:t>
        </w:r>
        <w:r w:rsidR="00C9630B">
          <w:rPr>
            <w:noProof/>
            <w:webHidden/>
          </w:rPr>
          <w:tab/>
        </w:r>
        <w:r>
          <w:rPr>
            <w:noProof/>
            <w:webHidden/>
          </w:rPr>
          <w:fldChar w:fldCharType="begin"/>
        </w:r>
        <w:r w:rsidR="00C9630B">
          <w:rPr>
            <w:noProof/>
            <w:webHidden/>
          </w:rPr>
          <w:instrText xml:space="preserve"> PAGEREF _Toc452017127 \h </w:instrText>
        </w:r>
        <w:r>
          <w:rPr>
            <w:noProof/>
            <w:webHidden/>
          </w:rPr>
        </w:r>
        <w:r>
          <w:rPr>
            <w:noProof/>
            <w:webHidden/>
          </w:rPr>
          <w:fldChar w:fldCharType="separate"/>
        </w:r>
        <w:r w:rsidR="00FE119C">
          <w:rPr>
            <w:noProof/>
            <w:webHidden/>
          </w:rPr>
          <w:t>20</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28" w:history="1">
        <w:r w:rsidR="00C9630B" w:rsidRPr="00585DED">
          <w:rPr>
            <w:rStyle w:val="ae"/>
            <w:rFonts w:ascii="宋体" w:hAnsi="宋体" w:hint="eastAsia"/>
            <w:noProof/>
          </w:rPr>
          <w:t>外国来华直接投资（流量）</w:t>
        </w:r>
        <w:r w:rsidR="00C9630B">
          <w:rPr>
            <w:noProof/>
            <w:webHidden/>
          </w:rPr>
          <w:tab/>
        </w:r>
        <w:r>
          <w:rPr>
            <w:noProof/>
            <w:webHidden/>
          </w:rPr>
          <w:fldChar w:fldCharType="begin"/>
        </w:r>
        <w:r w:rsidR="00C9630B">
          <w:rPr>
            <w:noProof/>
            <w:webHidden/>
          </w:rPr>
          <w:instrText xml:space="preserve"> PAGEREF _Toc452017128 \h </w:instrText>
        </w:r>
        <w:r>
          <w:rPr>
            <w:noProof/>
            <w:webHidden/>
          </w:rPr>
        </w:r>
        <w:r>
          <w:rPr>
            <w:noProof/>
            <w:webHidden/>
          </w:rPr>
          <w:fldChar w:fldCharType="separate"/>
        </w:r>
        <w:r w:rsidR="00FE119C">
          <w:rPr>
            <w:noProof/>
            <w:webHidden/>
          </w:rPr>
          <w:t>21</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29" w:history="1">
        <w:r w:rsidR="00C9630B" w:rsidRPr="00585DED">
          <w:rPr>
            <w:rStyle w:val="ae"/>
            <w:rFonts w:ascii="宋体" w:hAnsi="宋体" w:hint="eastAsia"/>
            <w:noProof/>
          </w:rPr>
          <w:t>（三）证券投资（</w:t>
        </w:r>
        <w:r w:rsidR="00C9630B" w:rsidRPr="00585DED">
          <w:rPr>
            <w:rStyle w:val="ae"/>
            <w:rFonts w:ascii="宋体" w:hAnsi="宋体"/>
            <w:noProof/>
          </w:rPr>
          <w:t>10%</w:t>
        </w:r>
        <w:r w:rsidR="00C9630B" w:rsidRPr="00585DED">
          <w:rPr>
            <w:rStyle w:val="ae"/>
            <w:rFonts w:ascii="宋体" w:hAnsi="宋体" w:hint="eastAsia"/>
            <w:noProof/>
          </w:rPr>
          <w:t>以下股权和债务证券）</w:t>
        </w:r>
        <w:r w:rsidR="00C9630B">
          <w:rPr>
            <w:noProof/>
            <w:webHidden/>
          </w:rPr>
          <w:tab/>
        </w:r>
        <w:r>
          <w:rPr>
            <w:noProof/>
            <w:webHidden/>
          </w:rPr>
          <w:fldChar w:fldCharType="begin"/>
        </w:r>
        <w:r w:rsidR="00C9630B">
          <w:rPr>
            <w:noProof/>
            <w:webHidden/>
          </w:rPr>
          <w:instrText xml:space="preserve"> PAGEREF _Toc452017129 \h </w:instrText>
        </w:r>
        <w:r>
          <w:rPr>
            <w:noProof/>
            <w:webHidden/>
          </w:rPr>
        </w:r>
        <w:r>
          <w:rPr>
            <w:noProof/>
            <w:webHidden/>
          </w:rPr>
          <w:fldChar w:fldCharType="separate"/>
        </w:r>
        <w:r w:rsidR="00FE119C">
          <w:rPr>
            <w:noProof/>
            <w:webHidden/>
          </w:rPr>
          <w:t>22</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30" w:history="1">
        <w:r w:rsidR="00C9630B" w:rsidRPr="00585DED">
          <w:rPr>
            <w:rStyle w:val="ae"/>
            <w:rFonts w:ascii="宋体" w:hAnsi="宋体" w:hint="eastAsia"/>
            <w:noProof/>
          </w:rPr>
          <w:t>投资境外股本证券和投资基金份额（资产）</w:t>
        </w:r>
        <w:r w:rsidR="00C9630B">
          <w:rPr>
            <w:noProof/>
            <w:webHidden/>
          </w:rPr>
          <w:tab/>
        </w:r>
        <w:r>
          <w:rPr>
            <w:noProof/>
            <w:webHidden/>
          </w:rPr>
          <w:fldChar w:fldCharType="begin"/>
        </w:r>
        <w:r w:rsidR="00C9630B">
          <w:rPr>
            <w:noProof/>
            <w:webHidden/>
          </w:rPr>
          <w:instrText xml:space="preserve"> PAGEREF _Toc452017130 \h </w:instrText>
        </w:r>
        <w:r>
          <w:rPr>
            <w:noProof/>
            <w:webHidden/>
          </w:rPr>
        </w:r>
        <w:r>
          <w:rPr>
            <w:noProof/>
            <w:webHidden/>
          </w:rPr>
          <w:fldChar w:fldCharType="separate"/>
        </w:r>
        <w:r w:rsidR="00FE119C">
          <w:rPr>
            <w:noProof/>
            <w:webHidden/>
          </w:rPr>
          <w:t>22</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31" w:history="1">
        <w:r w:rsidR="00C9630B" w:rsidRPr="00585DED">
          <w:rPr>
            <w:rStyle w:val="ae"/>
            <w:rFonts w:ascii="宋体" w:hAnsi="宋体" w:hint="eastAsia"/>
            <w:noProof/>
          </w:rPr>
          <w:t>投资境外债务证券（资产）</w:t>
        </w:r>
        <w:r w:rsidR="00C9630B">
          <w:rPr>
            <w:noProof/>
            <w:webHidden/>
          </w:rPr>
          <w:tab/>
        </w:r>
        <w:r>
          <w:rPr>
            <w:noProof/>
            <w:webHidden/>
          </w:rPr>
          <w:fldChar w:fldCharType="begin"/>
        </w:r>
        <w:r w:rsidR="00C9630B">
          <w:rPr>
            <w:noProof/>
            <w:webHidden/>
          </w:rPr>
          <w:instrText xml:space="preserve"> PAGEREF _Toc452017131 \h </w:instrText>
        </w:r>
        <w:r>
          <w:rPr>
            <w:noProof/>
            <w:webHidden/>
          </w:rPr>
        </w:r>
        <w:r>
          <w:rPr>
            <w:noProof/>
            <w:webHidden/>
          </w:rPr>
          <w:fldChar w:fldCharType="separate"/>
        </w:r>
        <w:r w:rsidR="00FE119C">
          <w:rPr>
            <w:noProof/>
            <w:webHidden/>
          </w:rPr>
          <w:t>23</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32" w:history="1">
        <w:r w:rsidR="00C9630B" w:rsidRPr="00585DED">
          <w:rPr>
            <w:rStyle w:val="ae"/>
            <w:rFonts w:ascii="宋体" w:hAnsi="宋体" w:hint="eastAsia"/>
            <w:noProof/>
          </w:rPr>
          <w:t>投资非居民境内发行股本证券和债务证券（资产）</w:t>
        </w:r>
        <w:r w:rsidR="00C9630B">
          <w:rPr>
            <w:noProof/>
            <w:webHidden/>
          </w:rPr>
          <w:tab/>
        </w:r>
        <w:r>
          <w:rPr>
            <w:noProof/>
            <w:webHidden/>
          </w:rPr>
          <w:fldChar w:fldCharType="begin"/>
        </w:r>
        <w:r w:rsidR="00C9630B">
          <w:rPr>
            <w:noProof/>
            <w:webHidden/>
          </w:rPr>
          <w:instrText xml:space="preserve"> PAGEREF _Toc452017132 \h </w:instrText>
        </w:r>
        <w:r>
          <w:rPr>
            <w:noProof/>
            <w:webHidden/>
          </w:rPr>
        </w:r>
        <w:r>
          <w:rPr>
            <w:noProof/>
            <w:webHidden/>
          </w:rPr>
          <w:fldChar w:fldCharType="separate"/>
        </w:r>
        <w:r w:rsidR="00FE119C">
          <w:rPr>
            <w:noProof/>
            <w:webHidden/>
          </w:rPr>
          <w:t>24</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33" w:history="1">
        <w:r w:rsidR="00C9630B" w:rsidRPr="00585DED">
          <w:rPr>
            <w:rStyle w:val="ae"/>
            <w:rFonts w:ascii="宋体" w:hAnsi="宋体" w:hint="eastAsia"/>
            <w:noProof/>
          </w:rPr>
          <w:t>吸收境外股权和基金份额投资（负债）</w:t>
        </w:r>
        <w:r w:rsidR="00C9630B">
          <w:rPr>
            <w:noProof/>
            <w:webHidden/>
          </w:rPr>
          <w:tab/>
        </w:r>
        <w:r>
          <w:rPr>
            <w:noProof/>
            <w:webHidden/>
          </w:rPr>
          <w:fldChar w:fldCharType="begin"/>
        </w:r>
        <w:r w:rsidR="00C9630B">
          <w:rPr>
            <w:noProof/>
            <w:webHidden/>
          </w:rPr>
          <w:instrText xml:space="preserve"> PAGEREF _Toc452017133 \h </w:instrText>
        </w:r>
        <w:r>
          <w:rPr>
            <w:noProof/>
            <w:webHidden/>
          </w:rPr>
        </w:r>
        <w:r>
          <w:rPr>
            <w:noProof/>
            <w:webHidden/>
          </w:rPr>
          <w:fldChar w:fldCharType="separate"/>
        </w:r>
        <w:r w:rsidR="00FE119C">
          <w:rPr>
            <w:noProof/>
            <w:webHidden/>
          </w:rPr>
          <w:t>25</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34" w:history="1">
        <w:r w:rsidR="00C9630B" w:rsidRPr="00585DED">
          <w:rPr>
            <w:rStyle w:val="ae"/>
            <w:rFonts w:ascii="宋体" w:hAnsi="宋体" w:hint="eastAsia"/>
            <w:noProof/>
          </w:rPr>
          <w:t>境外发行债务证券（负债）</w:t>
        </w:r>
        <w:r w:rsidR="00C9630B">
          <w:rPr>
            <w:noProof/>
            <w:webHidden/>
          </w:rPr>
          <w:tab/>
        </w:r>
        <w:r>
          <w:rPr>
            <w:noProof/>
            <w:webHidden/>
          </w:rPr>
          <w:fldChar w:fldCharType="begin"/>
        </w:r>
        <w:r w:rsidR="00C9630B">
          <w:rPr>
            <w:noProof/>
            <w:webHidden/>
          </w:rPr>
          <w:instrText xml:space="preserve"> PAGEREF _Toc452017134 \h </w:instrText>
        </w:r>
        <w:r>
          <w:rPr>
            <w:noProof/>
            <w:webHidden/>
          </w:rPr>
        </w:r>
        <w:r>
          <w:rPr>
            <w:noProof/>
            <w:webHidden/>
          </w:rPr>
          <w:fldChar w:fldCharType="separate"/>
        </w:r>
        <w:r w:rsidR="00FE119C">
          <w:rPr>
            <w:noProof/>
            <w:webHidden/>
          </w:rPr>
          <w:t>26</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35" w:history="1">
        <w:r w:rsidR="00C9630B" w:rsidRPr="00585DED">
          <w:rPr>
            <w:rStyle w:val="ae"/>
            <w:rFonts w:ascii="宋体" w:hAnsi="宋体" w:hint="eastAsia"/>
            <w:noProof/>
          </w:rPr>
          <w:t>非居民投资境内发行股本证券和债务证券（负债）</w:t>
        </w:r>
        <w:r w:rsidR="00C9630B">
          <w:rPr>
            <w:noProof/>
            <w:webHidden/>
          </w:rPr>
          <w:tab/>
        </w:r>
        <w:r>
          <w:rPr>
            <w:noProof/>
            <w:webHidden/>
          </w:rPr>
          <w:fldChar w:fldCharType="begin"/>
        </w:r>
        <w:r w:rsidR="00C9630B">
          <w:rPr>
            <w:noProof/>
            <w:webHidden/>
          </w:rPr>
          <w:instrText xml:space="preserve"> PAGEREF _Toc452017135 \h </w:instrText>
        </w:r>
        <w:r>
          <w:rPr>
            <w:noProof/>
            <w:webHidden/>
          </w:rPr>
        </w:r>
        <w:r>
          <w:rPr>
            <w:noProof/>
            <w:webHidden/>
          </w:rPr>
          <w:fldChar w:fldCharType="separate"/>
        </w:r>
        <w:r w:rsidR="00FE119C">
          <w:rPr>
            <w:noProof/>
            <w:webHidden/>
          </w:rPr>
          <w:t>27</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36" w:history="1">
        <w:r w:rsidR="00C9630B" w:rsidRPr="00585DED">
          <w:rPr>
            <w:rStyle w:val="ae"/>
            <w:rFonts w:ascii="宋体" w:hAnsi="宋体" w:hint="eastAsia"/>
            <w:noProof/>
          </w:rPr>
          <w:t>（四）金融衍生产品及雇员认股权</w:t>
        </w:r>
        <w:r w:rsidR="00C9630B">
          <w:rPr>
            <w:noProof/>
            <w:webHidden/>
          </w:rPr>
          <w:tab/>
        </w:r>
        <w:r>
          <w:rPr>
            <w:noProof/>
            <w:webHidden/>
          </w:rPr>
          <w:fldChar w:fldCharType="begin"/>
        </w:r>
        <w:r w:rsidR="00C9630B">
          <w:rPr>
            <w:noProof/>
            <w:webHidden/>
          </w:rPr>
          <w:instrText xml:space="preserve"> PAGEREF _Toc452017136 \h </w:instrText>
        </w:r>
        <w:r>
          <w:rPr>
            <w:noProof/>
            <w:webHidden/>
          </w:rPr>
        </w:r>
        <w:r>
          <w:rPr>
            <w:noProof/>
            <w:webHidden/>
          </w:rPr>
          <w:fldChar w:fldCharType="separate"/>
        </w:r>
        <w:r w:rsidR="00FE119C">
          <w:rPr>
            <w:noProof/>
            <w:webHidden/>
          </w:rPr>
          <w:t>28</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37" w:history="1">
        <w:r w:rsidR="00C9630B" w:rsidRPr="00585DED">
          <w:rPr>
            <w:rStyle w:val="ae"/>
            <w:rFonts w:ascii="宋体" w:hAnsi="宋体" w:hint="eastAsia"/>
            <w:noProof/>
          </w:rPr>
          <w:t>（五）存贷款、应收应付款及非公司制机构股权等其他投资</w:t>
        </w:r>
        <w:r w:rsidR="00C9630B">
          <w:rPr>
            <w:noProof/>
            <w:webHidden/>
          </w:rPr>
          <w:tab/>
        </w:r>
        <w:r>
          <w:rPr>
            <w:noProof/>
            <w:webHidden/>
          </w:rPr>
          <w:fldChar w:fldCharType="begin"/>
        </w:r>
        <w:r w:rsidR="00C9630B">
          <w:rPr>
            <w:noProof/>
            <w:webHidden/>
          </w:rPr>
          <w:instrText xml:space="preserve"> PAGEREF _Toc452017137 \h </w:instrText>
        </w:r>
        <w:r>
          <w:rPr>
            <w:noProof/>
            <w:webHidden/>
          </w:rPr>
        </w:r>
        <w:r>
          <w:rPr>
            <w:noProof/>
            <w:webHidden/>
          </w:rPr>
          <w:fldChar w:fldCharType="separate"/>
        </w:r>
        <w:r w:rsidR="00FE119C">
          <w:rPr>
            <w:noProof/>
            <w:webHidden/>
          </w:rPr>
          <w:t>29</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38" w:history="1">
        <w:r w:rsidR="00C9630B" w:rsidRPr="00585DED">
          <w:rPr>
            <w:rStyle w:val="ae"/>
            <w:rFonts w:ascii="宋体" w:hAnsi="宋体" w:hint="eastAsia"/>
            <w:noProof/>
          </w:rPr>
          <w:t>货币与存款（含存放银行同业和联行）（资产）</w:t>
        </w:r>
        <w:r w:rsidR="00C9630B">
          <w:rPr>
            <w:noProof/>
            <w:webHidden/>
          </w:rPr>
          <w:tab/>
        </w:r>
        <w:r>
          <w:rPr>
            <w:noProof/>
            <w:webHidden/>
          </w:rPr>
          <w:fldChar w:fldCharType="begin"/>
        </w:r>
        <w:r w:rsidR="00C9630B">
          <w:rPr>
            <w:noProof/>
            <w:webHidden/>
          </w:rPr>
          <w:instrText xml:space="preserve"> PAGEREF _Toc452017138 \h </w:instrText>
        </w:r>
        <w:r>
          <w:rPr>
            <w:noProof/>
            <w:webHidden/>
          </w:rPr>
        </w:r>
        <w:r>
          <w:rPr>
            <w:noProof/>
            <w:webHidden/>
          </w:rPr>
          <w:fldChar w:fldCharType="separate"/>
        </w:r>
        <w:r w:rsidR="00FE119C">
          <w:rPr>
            <w:noProof/>
            <w:webHidden/>
          </w:rPr>
          <w:t>29</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39" w:history="1">
        <w:r w:rsidR="00C9630B" w:rsidRPr="00585DED">
          <w:rPr>
            <w:rStyle w:val="ae"/>
            <w:rFonts w:ascii="宋体" w:hAnsi="宋体" w:cs="宋体" w:hint="eastAsia"/>
            <w:noProof/>
          </w:rPr>
          <w:t>贷款（含拆放银行同业及联行）（资产）</w:t>
        </w:r>
        <w:r w:rsidR="00C9630B">
          <w:rPr>
            <w:noProof/>
            <w:webHidden/>
          </w:rPr>
          <w:tab/>
        </w:r>
        <w:r>
          <w:rPr>
            <w:noProof/>
            <w:webHidden/>
          </w:rPr>
          <w:fldChar w:fldCharType="begin"/>
        </w:r>
        <w:r w:rsidR="00C9630B">
          <w:rPr>
            <w:noProof/>
            <w:webHidden/>
          </w:rPr>
          <w:instrText xml:space="preserve"> PAGEREF _Toc452017139 \h </w:instrText>
        </w:r>
        <w:r>
          <w:rPr>
            <w:noProof/>
            <w:webHidden/>
          </w:rPr>
        </w:r>
        <w:r>
          <w:rPr>
            <w:noProof/>
            <w:webHidden/>
          </w:rPr>
          <w:fldChar w:fldCharType="separate"/>
        </w:r>
        <w:r w:rsidR="00FE119C">
          <w:rPr>
            <w:noProof/>
            <w:webHidden/>
          </w:rPr>
          <w:t>30</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40" w:history="1">
        <w:r w:rsidR="00C9630B" w:rsidRPr="00585DED">
          <w:rPr>
            <w:rStyle w:val="ae"/>
            <w:rFonts w:ascii="宋体" w:hAnsi="宋体" w:hint="eastAsia"/>
            <w:noProof/>
          </w:rPr>
          <w:t>持有境外非公司制机构</w:t>
        </w:r>
        <w:r w:rsidR="00C9630B" w:rsidRPr="00585DED">
          <w:rPr>
            <w:rStyle w:val="ae"/>
            <w:rFonts w:ascii="宋体" w:hAnsi="宋体"/>
            <w:noProof/>
          </w:rPr>
          <w:t>10%</w:t>
        </w:r>
        <w:r w:rsidR="00C9630B" w:rsidRPr="00585DED">
          <w:rPr>
            <w:rStyle w:val="ae"/>
            <w:rFonts w:ascii="宋体" w:hAnsi="宋体" w:hint="eastAsia"/>
            <w:noProof/>
          </w:rPr>
          <w:t>以下表决权和国际组织股权（资产）</w:t>
        </w:r>
        <w:r w:rsidR="00C9630B">
          <w:rPr>
            <w:noProof/>
            <w:webHidden/>
          </w:rPr>
          <w:tab/>
        </w:r>
        <w:r>
          <w:rPr>
            <w:noProof/>
            <w:webHidden/>
          </w:rPr>
          <w:fldChar w:fldCharType="begin"/>
        </w:r>
        <w:r w:rsidR="00C9630B">
          <w:rPr>
            <w:noProof/>
            <w:webHidden/>
          </w:rPr>
          <w:instrText xml:space="preserve"> PAGEREF _Toc452017140 \h </w:instrText>
        </w:r>
        <w:r>
          <w:rPr>
            <w:noProof/>
            <w:webHidden/>
          </w:rPr>
        </w:r>
        <w:r>
          <w:rPr>
            <w:noProof/>
            <w:webHidden/>
          </w:rPr>
          <w:fldChar w:fldCharType="separate"/>
        </w:r>
        <w:r w:rsidR="00FE119C">
          <w:rPr>
            <w:noProof/>
            <w:webHidden/>
          </w:rPr>
          <w:t>31</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41" w:history="1">
        <w:r w:rsidR="00C9630B" w:rsidRPr="00585DED">
          <w:rPr>
            <w:rStyle w:val="ae"/>
            <w:rFonts w:ascii="宋体" w:hAnsi="宋体" w:cs="宋体" w:hint="eastAsia"/>
            <w:noProof/>
          </w:rPr>
          <w:t>应收款（不含应收利息）（资产）</w:t>
        </w:r>
        <w:r w:rsidR="00C9630B">
          <w:rPr>
            <w:noProof/>
            <w:webHidden/>
          </w:rPr>
          <w:tab/>
        </w:r>
        <w:r>
          <w:rPr>
            <w:noProof/>
            <w:webHidden/>
          </w:rPr>
          <w:fldChar w:fldCharType="begin"/>
        </w:r>
        <w:r w:rsidR="00C9630B">
          <w:rPr>
            <w:noProof/>
            <w:webHidden/>
          </w:rPr>
          <w:instrText xml:space="preserve"> PAGEREF _Toc452017141 \h </w:instrText>
        </w:r>
        <w:r>
          <w:rPr>
            <w:noProof/>
            <w:webHidden/>
          </w:rPr>
        </w:r>
        <w:r>
          <w:rPr>
            <w:noProof/>
            <w:webHidden/>
          </w:rPr>
          <w:fldChar w:fldCharType="separate"/>
        </w:r>
        <w:r w:rsidR="00FE119C">
          <w:rPr>
            <w:noProof/>
            <w:webHidden/>
          </w:rPr>
          <w:t>32</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42" w:history="1">
        <w:r w:rsidR="00C9630B" w:rsidRPr="00585DED">
          <w:rPr>
            <w:rStyle w:val="ae"/>
            <w:rFonts w:ascii="宋体" w:hAnsi="宋体" w:hint="eastAsia"/>
            <w:noProof/>
          </w:rPr>
          <w:t>存款</w:t>
        </w:r>
        <w:r w:rsidR="00C9630B" w:rsidRPr="00585DED">
          <w:rPr>
            <w:rStyle w:val="ae"/>
            <w:rFonts w:ascii="宋体" w:hAnsi="宋体"/>
            <w:noProof/>
          </w:rPr>
          <w:t>(</w:t>
        </w:r>
        <w:r w:rsidR="00C9630B" w:rsidRPr="00585DED">
          <w:rPr>
            <w:rStyle w:val="ae"/>
            <w:rFonts w:ascii="宋体" w:hAnsi="宋体" w:hint="eastAsia"/>
            <w:noProof/>
          </w:rPr>
          <w:t>含银行同业和联行存放</w:t>
        </w:r>
        <w:r w:rsidR="00C9630B" w:rsidRPr="00585DED">
          <w:rPr>
            <w:rStyle w:val="ae"/>
            <w:rFonts w:ascii="宋体" w:hAnsi="宋体"/>
            <w:noProof/>
          </w:rPr>
          <w:t>)</w:t>
        </w:r>
        <w:r w:rsidR="00C9630B" w:rsidRPr="00585DED">
          <w:rPr>
            <w:rStyle w:val="ae"/>
            <w:rFonts w:ascii="宋体" w:hAnsi="宋体" w:hint="eastAsia"/>
            <w:noProof/>
          </w:rPr>
          <w:t>（负债）</w:t>
        </w:r>
        <w:r w:rsidR="00C9630B">
          <w:rPr>
            <w:noProof/>
            <w:webHidden/>
          </w:rPr>
          <w:tab/>
        </w:r>
        <w:r>
          <w:rPr>
            <w:noProof/>
            <w:webHidden/>
          </w:rPr>
          <w:fldChar w:fldCharType="begin"/>
        </w:r>
        <w:r w:rsidR="00C9630B">
          <w:rPr>
            <w:noProof/>
            <w:webHidden/>
          </w:rPr>
          <w:instrText xml:space="preserve"> PAGEREF _Toc452017142 \h </w:instrText>
        </w:r>
        <w:r>
          <w:rPr>
            <w:noProof/>
            <w:webHidden/>
          </w:rPr>
        </w:r>
        <w:r>
          <w:rPr>
            <w:noProof/>
            <w:webHidden/>
          </w:rPr>
          <w:fldChar w:fldCharType="separate"/>
        </w:r>
        <w:r w:rsidR="00FE119C">
          <w:rPr>
            <w:noProof/>
            <w:webHidden/>
          </w:rPr>
          <w:t>33</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43" w:history="1">
        <w:r w:rsidR="00C9630B" w:rsidRPr="00585DED">
          <w:rPr>
            <w:rStyle w:val="ae"/>
            <w:rFonts w:ascii="宋体" w:hAnsi="宋体" w:cs="宋体" w:hint="eastAsia"/>
            <w:noProof/>
          </w:rPr>
          <w:t>贷款（含银行同业和联行拆借）（负债）</w:t>
        </w:r>
        <w:r w:rsidR="00C9630B">
          <w:rPr>
            <w:noProof/>
            <w:webHidden/>
          </w:rPr>
          <w:tab/>
        </w:r>
        <w:r>
          <w:rPr>
            <w:noProof/>
            <w:webHidden/>
          </w:rPr>
          <w:fldChar w:fldCharType="begin"/>
        </w:r>
        <w:r w:rsidR="00C9630B">
          <w:rPr>
            <w:noProof/>
            <w:webHidden/>
          </w:rPr>
          <w:instrText xml:space="preserve"> PAGEREF _Toc452017143 \h </w:instrText>
        </w:r>
        <w:r>
          <w:rPr>
            <w:noProof/>
            <w:webHidden/>
          </w:rPr>
        </w:r>
        <w:r>
          <w:rPr>
            <w:noProof/>
            <w:webHidden/>
          </w:rPr>
          <w:fldChar w:fldCharType="separate"/>
        </w:r>
        <w:r w:rsidR="00FE119C">
          <w:rPr>
            <w:noProof/>
            <w:webHidden/>
          </w:rPr>
          <w:t>34</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44" w:history="1">
        <w:r w:rsidR="00C9630B" w:rsidRPr="00585DED">
          <w:rPr>
            <w:rStyle w:val="ae"/>
            <w:rFonts w:ascii="宋体" w:hAnsi="宋体" w:hint="eastAsia"/>
            <w:noProof/>
          </w:rPr>
          <w:t>非居民持有本机构（非公司制）</w:t>
        </w:r>
        <w:r w:rsidR="00C9630B" w:rsidRPr="00585DED">
          <w:rPr>
            <w:rStyle w:val="ae"/>
            <w:rFonts w:ascii="宋体" w:hAnsi="宋体"/>
            <w:noProof/>
          </w:rPr>
          <w:t>10%</w:t>
        </w:r>
        <w:r w:rsidR="00C9630B" w:rsidRPr="00585DED">
          <w:rPr>
            <w:rStyle w:val="ae"/>
            <w:rFonts w:ascii="宋体" w:hAnsi="宋体" w:hint="eastAsia"/>
            <w:noProof/>
          </w:rPr>
          <w:t>以下表决权（负债）</w:t>
        </w:r>
        <w:r w:rsidR="00C9630B">
          <w:rPr>
            <w:noProof/>
            <w:webHidden/>
          </w:rPr>
          <w:tab/>
        </w:r>
        <w:r>
          <w:rPr>
            <w:noProof/>
            <w:webHidden/>
          </w:rPr>
          <w:fldChar w:fldCharType="begin"/>
        </w:r>
        <w:r w:rsidR="00C9630B">
          <w:rPr>
            <w:noProof/>
            <w:webHidden/>
          </w:rPr>
          <w:instrText xml:space="preserve"> PAGEREF _Toc452017144 \h </w:instrText>
        </w:r>
        <w:r>
          <w:rPr>
            <w:noProof/>
            <w:webHidden/>
          </w:rPr>
        </w:r>
        <w:r>
          <w:rPr>
            <w:noProof/>
            <w:webHidden/>
          </w:rPr>
          <w:fldChar w:fldCharType="separate"/>
        </w:r>
        <w:r w:rsidR="00FE119C">
          <w:rPr>
            <w:noProof/>
            <w:webHidden/>
          </w:rPr>
          <w:t>35</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45" w:history="1">
        <w:r w:rsidR="00C9630B" w:rsidRPr="00585DED">
          <w:rPr>
            <w:rStyle w:val="ae"/>
            <w:rFonts w:ascii="宋体" w:hAnsi="宋体" w:cs="宋体" w:hint="eastAsia"/>
            <w:noProof/>
          </w:rPr>
          <w:t>应付款（不含应付利息）（负债）</w:t>
        </w:r>
        <w:r w:rsidR="00C9630B">
          <w:rPr>
            <w:noProof/>
            <w:webHidden/>
          </w:rPr>
          <w:tab/>
        </w:r>
        <w:r>
          <w:rPr>
            <w:noProof/>
            <w:webHidden/>
          </w:rPr>
          <w:fldChar w:fldCharType="begin"/>
        </w:r>
        <w:r w:rsidR="00C9630B">
          <w:rPr>
            <w:noProof/>
            <w:webHidden/>
          </w:rPr>
          <w:instrText xml:space="preserve"> PAGEREF _Toc452017145 \h </w:instrText>
        </w:r>
        <w:r>
          <w:rPr>
            <w:noProof/>
            <w:webHidden/>
          </w:rPr>
        </w:r>
        <w:r>
          <w:rPr>
            <w:noProof/>
            <w:webHidden/>
          </w:rPr>
          <w:fldChar w:fldCharType="separate"/>
        </w:r>
        <w:r w:rsidR="00FE119C">
          <w:rPr>
            <w:noProof/>
            <w:webHidden/>
          </w:rPr>
          <w:t>36</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46" w:history="1">
        <w:r w:rsidR="00C9630B" w:rsidRPr="00585DED">
          <w:rPr>
            <w:rStyle w:val="ae"/>
            <w:rFonts w:ascii="宋体" w:hAnsi="宋体" w:cs="宋体" w:hint="eastAsia"/>
            <w:noProof/>
          </w:rPr>
          <w:t>对非居民的贷款和应收款减值准备余额</w:t>
        </w:r>
        <w:r w:rsidR="00C9630B">
          <w:rPr>
            <w:noProof/>
            <w:webHidden/>
          </w:rPr>
          <w:tab/>
        </w:r>
        <w:r>
          <w:rPr>
            <w:noProof/>
            <w:webHidden/>
          </w:rPr>
          <w:fldChar w:fldCharType="begin"/>
        </w:r>
        <w:r w:rsidR="00C9630B">
          <w:rPr>
            <w:noProof/>
            <w:webHidden/>
          </w:rPr>
          <w:instrText xml:space="preserve"> PAGEREF _Toc452017146 \h </w:instrText>
        </w:r>
        <w:r>
          <w:rPr>
            <w:noProof/>
            <w:webHidden/>
          </w:rPr>
        </w:r>
        <w:r>
          <w:rPr>
            <w:noProof/>
            <w:webHidden/>
          </w:rPr>
          <w:fldChar w:fldCharType="separate"/>
        </w:r>
        <w:r w:rsidR="00FE119C">
          <w:rPr>
            <w:noProof/>
            <w:webHidden/>
          </w:rPr>
          <w:t>37</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47" w:history="1">
        <w:r w:rsidR="00C9630B" w:rsidRPr="00585DED">
          <w:rPr>
            <w:rStyle w:val="ae"/>
            <w:rFonts w:ascii="宋体" w:hAnsi="宋体" w:hint="eastAsia"/>
            <w:noProof/>
          </w:rPr>
          <w:t>（六）货物、服务、薪资及债务减免等其他各类往来</w:t>
        </w:r>
        <w:r w:rsidR="00C9630B">
          <w:rPr>
            <w:noProof/>
            <w:webHidden/>
          </w:rPr>
          <w:tab/>
        </w:r>
        <w:r>
          <w:rPr>
            <w:noProof/>
            <w:webHidden/>
          </w:rPr>
          <w:fldChar w:fldCharType="begin"/>
        </w:r>
        <w:r w:rsidR="00C9630B">
          <w:rPr>
            <w:noProof/>
            <w:webHidden/>
          </w:rPr>
          <w:instrText xml:space="preserve"> PAGEREF _Toc452017147 \h </w:instrText>
        </w:r>
        <w:r>
          <w:rPr>
            <w:noProof/>
            <w:webHidden/>
          </w:rPr>
        </w:r>
        <w:r>
          <w:rPr>
            <w:noProof/>
            <w:webHidden/>
          </w:rPr>
          <w:fldChar w:fldCharType="separate"/>
        </w:r>
        <w:r w:rsidR="00FE119C">
          <w:rPr>
            <w:noProof/>
            <w:webHidden/>
          </w:rPr>
          <w:t>38</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48" w:history="1">
        <w:r w:rsidR="00C9630B" w:rsidRPr="00585DED">
          <w:rPr>
            <w:rStyle w:val="ae"/>
            <w:rFonts w:ascii="宋体" w:hAnsi="宋体" w:hint="eastAsia"/>
            <w:noProof/>
          </w:rPr>
          <w:t>（七）与进出口票据、单证有关业务</w:t>
        </w:r>
        <w:r w:rsidR="00C9630B">
          <w:rPr>
            <w:noProof/>
            <w:webHidden/>
          </w:rPr>
          <w:tab/>
        </w:r>
        <w:r>
          <w:rPr>
            <w:noProof/>
            <w:webHidden/>
          </w:rPr>
          <w:fldChar w:fldCharType="begin"/>
        </w:r>
        <w:r w:rsidR="00C9630B">
          <w:rPr>
            <w:noProof/>
            <w:webHidden/>
          </w:rPr>
          <w:instrText xml:space="preserve"> PAGEREF _Toc452017148 \h </w:instrText>
        </w:r>
        <w:r>
          <w:rPr>
            <w:noProof/>
            <w:webHidden/>
          </w:rPr>
        </w:r>
        <w:r>
          <w:rPr>
            <w:noProof/>
            <w:webHidden/>
          </w:rPr>
          <w:fldChar w:fldCharType="separate"/>
        </w:r>
        <w:r w:rsidR="00FE119C">
          <w:rPr>
            <w:noProof/>
            <w:webHidden/>
          </w:rPr>
          <w:t>40</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49" w:history="1">
        <w:r w:rsidR="00C9630B" w:rsidRPr="00585DED">
          <w:rPr>
            <w:rStyle w:val="ae"/>
            <w:rFonts w:ascii="宋体" w:hAnsi="宋体" w:hint="eastAsia"/>
            <w:noProof/>
          </w:rPr>
          <w:t>买断出口票据、单证业务</w:t>
        </w:r>
        <w:r w:rsidR="00C9630B">
          <w:rPr>
            <w:noProof/>
            <w:webHidden/>
          </w:rPr>
          <w:tab/>
        </w:r>
        <w:r>
          <w:rPr>
            <w:noProof/>
            <w:webHidden/>
          </w:rPr>
          <w:fldChar w:fldCharType="begin"/>
        </w:r>
        <w:r w:rsidR="00C9630B">
          <w:rPr>
            <w:noProof/>
            <w:webHidden/>
          </w:rPr>
          <w:instrText xml:space="preserve"> PAGEREF _Toc452017149 \h </w:instrText>
        </w:r>
        <w:r>
          <w:rPr>
            <w:noProof/>
            <w:webHidden/>
          </w:rPr>
        </w:r>
        <w:r>
          <w:rPr>
            <w:noProof/>
            <w:webHidden/>
          </w:rPr>
          <w:fldChar w:fldCharType="separate"/>
        </w:r>
        <w:r w:rsidR="00FE119C">
          <w:rPr>
            <w:noProof/>
            <w:webHidden/>
          </w:rPr>
          <w:t>40</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50" w:history="1">
        <w:r w:rsidR="00C9630B" w:rsidRPr="00585DED">
          <w:rPr>
            <w:rStyle w:val="ae"/>
            <w:rFonts w:ascii="宋体" w:hAnsi="宋体" w:hint="eastAsia"/>
            <w:noProof/>
          </w:rPr>
          <w:t>对外承担第一性付款责任的票据、单证业务</w:t>
        </w:r>
        <w:r w:rsidR="00C9630B">
          <w:rPr>
            <w:noProof/>
            <w:webHidden/>
          </w:rPr>
          <w:tab/>
        </w:r>
        <w:r>
          <w:rPr>
            <w:noProof/>
            <w:webHidden/>
          </w:rPr>
          <w:fldChar w:fldCharType="begin"/>
        </w:r>
        <w:r w:rsidR="00C9630B">
          <w:rPr>
            <w:noProof/>
            <w:webHidden/>
          </w:rPr>
          <w:instrText xml:space="preserve"> PAGEREF _Toc452017150 \h </w:instrText>
        </w:r>
        <w:r>
          <w:rPr>
            <w:noProof/>
            <w:webHidden/>
          </w:rPr>
        </w:r>
        <w:r>
          <w:rPr>
            <w:noProof/>
            <w:webHidden/>
          </w:rPr>
          <w:fldChar w:fldCharType="separate"/>
        </w:r>
        <w:r w:rsidR="00FE119C">
          <w:rPr>
            <w:noProof/>
            <w:webHidden/>
          </w:rPr>
          <w:t>41</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51" w:history="1">
        <w:r w:rsidR="00C9630B" w:rsidRPr="00585DED">
          <w:rPr>
            <w:rStyle w:val="ae"/>
            <w:rFonts w:ascii="宋体" w:hAnsi="宋体" w:hint="eastAsia"/>
            <w:noProof/>
          </w:rPr>
          <w:t>（八）涉外银行卡相关统计</w:t>
        </w:r>
        <w:r w:rsidR="00C9630B">
          <w:rPr>
            <w:noProof/>
            <w:webHidden/>
          </w:rPr>
          <w:tab/>
        </w:r>
        <w:r>
          <w:rPr>
            <w:noProof/>
            <w:webHidden/>
          </w:rPr>
          <w:fldChar w:fldCharType="begin"/>
        </w:r>
        <w:r w:rsidR="00C9630B">
          <w:rPr>
            <w:noProof/>
            <w:webHidden/>
          </w:rPr>
          <w:instrText xml:space="preserve"> PAGEREF _Toc452017151 \h </w:instrText>
        </w:r>
        <w:r>
          <w:rPr>
            <w:noProof/>
            <w:webHidden/>
          </w:rPr>
        </w:r>
        <w:r>
          <w:rPr>
            <w:noProof/>
            <w:webHidden/>
          </w:rPr>
          <w:fldChar w:fldCharType="separate"/>
        </w:r>
        <w:r w:rsidR="00FE119C">
          <w:rPr>
            <w:noProof/>
            <w:webHidden/>
          </w:rPr>
          <w:t>42</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52" w:history="1">
        <w:r w:rsidR="00C9630B" w:rsidRPr="00585DED">
          <w:rPr>
            <w:rStyle w:val="ae"/>
            <w:rFonts w:ascii="宋体" w:hAnsi="宋体" w:cs="宋体" w:hint="eastAsia"/>
            <w:noProof/>
          </w:rPr>
          <w:t>境内银行卡境外消费提现</w:t>
        </w:r>
        <w:r w:rsidR="00C9630B">
          <w:rPr>
            <w:noProof/>
            <w:webHidden/>
          </w:rPr>
          <w:tab/>
        </w:r>
        <w:r>
          <w:rPr>
            <w:noProof/>
            <w:webHidden/>
          </w:rPr>
          <w:fldChar w:fldCharType="begin"/>
        </w:r>
        <w:r w:rsidR="00C9630B">
          <w:rPr>
            <w:noProof/>
            <w:webHidden/>
          </w:rPr>
          <w:instrText xml:space="preserve"> PAGEREF _Toc452017152 \h </w:instrText>
        </w:r>
        <w:r>
          <w:rPr>
            <w:noProof/>
            <w:webHidden/>
          </w:rPr>
        </w:r>
        <w:r>
          <w:rPr>
            <w:noProof/>
            <w:webHidden/>
          </w:rPr>
          <w:fldChar w:fldCharType="separate"/>
        </w:r>
        <w:r w:rsidR="00FE119C">
          <w:rPr>
            <w:noProof/>
            <w:webHidden/>
          </w:rPr>
          <w:t>42</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53" w:history="1">
        <w:r w:rsidR="00C9630B" w:rsidRPr="00585DED">
          <w:rPr>
            <w:rStyle w:val="ae"/>
            <w:rFonts w:ascii="宋体" w:hAnsi="宋体" w:cs="宋体" w:hint="eastAsia"/>
            <w:noProof/>
          </w:rPr>
          <w:t>境外银行卡境内消费提现</w:t>
        </w:r>
        <w:r w:rsidR="00C9630B">
          <w:rPr>
            <w:noProof/>
            <w:webHidden/>
          </w:rPr>
          <w:tab/>
        </w:r>
        <w:r>
          <w:rPr>
            <w:noProof/>
            <w:webHidden/>
          </w:rPr>
          <w:fldChar w:fldCharType="begin"/>
        </w:r>
        <w:r w:rsidR="00C9630B">
          <w:rPr>
            <w:noProof/>
            <w:webHidden/>
          </w:rPr>
          <w:instrText xml:space="preserve"> PAGEREF _Toc452017153 \h </w:instrText>
        </w:r>
        <w:r>
          <w:rPr>
            <w:noProof/>
            <w:webHidden/>
          </w:rPr>
        </w:r>
        <w:r>
          <w:rPr>
            <w:noProof/>
            <w:webHidden/>
          </w:rPr>
          <w:fldChar w:fldCharType="separate"/>
        </w:r>
        <w:r w:rsidR="00FE119C">
          <w:rPr>
            <w:noProof/>
            <w:webHidden/>
          </w:rPr>
          <w:t>43</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54" w:history="1">
        <w:r w:rsidR="00C9630B" w:rsidRPr="00585DED">
          <w:rPr>
            <w:rStyle w:val="ae"/>
            <w:rFonts w:ascii="宋体" w:hAnsi="宋体" w:hint="eastAsia"/>
            <w:noProof/>
          </w:rPr>
          <w:t>（九）涉外托管业务</w:t>
        </w:r>
        <w:r w:rsidR="00C9630B">
          <w:rPr>
            <w:noProof/>
            <w:webHidden/>
          </w:rPr>
          <w:tab/>
        </w:r>
        <w:r>
          <w:rPr>
            <w:noProof/>
            <w:webHidden/>
          </w:rPr>
          <w:fldChar w:fldCharType="begin"/>
        </w:r>
        <w:r w:rsidR="00C9630B">
          <w:rPr>
            <w:noProof/>
            <w:webHidden/>
          </w:rPr>
          <w:instrText xml:space="preserve"> PAGEREF _Toc452017154 \h </w:instrText>
        </w:r>
        <w:r>
          <w:rPr>
            <w:noProof/>
            <w:webHidden/>
          </w:rPr>
        </w:r>
        <w:r>
          <w:rPr>
            <w:noProof/>
            <w:webHidden/>
          </w:rPr>
          <w:fldChar w:fldCharType="separate"/>
        </w:r>
        <w:r w:rsidR="00FE119C">
          <w:rPr>
            <w:noProof/>
            <w:webHidden/>
          </w:rPr>
          <w:t>44</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55" w:history="1">
        <w:r w:rsidR="00C9630B" w:rsidRPr="00585DED">
          <w:rPr>
            <w:rStyle w:val="ae"/>
            <w:rFonts w:ascii="宋体" w:hAnsi="宋体" w:hint="eastAsia"/>
            <w:noProof/>
          </w:rPr>
          <w:t>为非居民托管业务统计（</w:t>
        </w:r>
        <w:r w:rsidR="00C9630B" w:rsidRPr="00585DED">
          <w:rPr>
            <w:rStyle w:val="ae"/>
            <w:rFonts w:ascii="宋体" w:hAnsi="宋体"/>
            <w:noProof/>
          </w:rPr>
          <w:t>QFII</w:t>
        </w:r>
        <w:r w:rsidR="00C9630B" w:rsidRPr="00585DED">
          <w:rPr>
            <w:rStyle w:val="ae"/>
            <w:rFonts w:ascii="宋体" w:hAnsi="宋体" w:hint="eastAsia"/>
            <w:noProof/>
          </w:rPr>
          <w:t>、</w:t>
        </w:r>
        <w:r w:rsidR="00C9630B" w:rsidRPr="00585DED">
          <w:rPr>
            <w:rStyle w:val="ae"/>
            <w:rFonts w:ascii="宋体" w:hAnsi="宋体"/>
            <w:noProof/>
          </w:rPr>
          <w:t>RQFII</w:t>
        </w:r>
        <w:r w:rsidR="00C9630B" w:rsidRPr="00585DED">
          <w:rPr>
            <w:rStyle w:val="ae"/>
            <w:rFonts w:ascii="宋体" w:hAnsi="宋体" w:hint="eastAsia"/>
            <w:noProof/>
          </w:rPr>
          <w:t>相关）</w:t>
        </w:r>
        <w:r w:rsidR="00C9630B">
          <w:rPr>
            <w:noProof/>
            <w:webHidden/>
          </w:rPr>
          <w:tab/>
        </w:r>
        <w:r>
          <w:rPr>
            <w:noProof/>
            <w:webHidden/>
          </w:rPr>
          <w:fldChar w:fldCharType="begin"/>
        </w:r>
        <w:r w:rsidR="00C9630B">
          <w:rPr>
            <w:noProof/>
            <w:webHidden/>
          </w:rPr>
          <w:instrText xml:space="preserve"> PAGEREF _Toc452017155 \h </w:instrText>
        </w:r>
        <w:r>
          <w:rPr>
            <w:noProof/>
            <w:webHidden/>
          </w:rPr>
        </w:r>
        <w:r>
          <w:rPr>
            <w:noProof/>
            <w:webHidden/>
          </w:rPr>
          <w:fldChar w:fldCharType="separate"/>
        </w:r>
        <w:r w:rsidR="00FE119C">
          <w:rPr>
            <w:noProof/>
            <w:webHidden/>
          </w:rPr>
          <w:t>44</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56" w:history="1">
        <w:r w:rsidR="00C9630B" w:rsidRPr="00585DED">
          <w:rPr>
            <w:rStyle w:val="ae"/>
            <w:rFonts w:ascii="宋体" w:hAnsi="宋体" w:hint="eastAsia"/>
            <w:noProof/>
          </w:rPr>
          <w:t>为居民托管业务统计（</w:t>
        </w:r>
        <w:r w:rsidR="00C9630B" w:rsidRPr="00585DED">
          <w:rPr>
            <w:rStyle w:val="ae"/>
            <w:rFonts w:ascii="宋体" w:hAnsi="宋体"/>
            <w:noProof/>
          </w:rPr>
          <w:t>QDII</w:t>
        </w:r>
        <w:r w:rsidR="00C9630B" w:rsidRPr="00585DED">
          <w:rPr>
            <w:rStyle w:val="ae"/>
            <w:rFonts w:ascii="宋体" w:hAnsi="宋体" w:hint="eastAsia"/>
            <w:noProof/>
          </w:rPr>
          <w:t>相关）</w:t>
        </w:r>
        <w:r w:rsidR="00C9630B">
          <w:rPr>
            <w:noProof/>
            <w:webHidden/>
          </w:rPr>
          <w:tab/>
        </w:r>
        <w:r>
          <w:rPr>
            <w:noProof/>
            <w:webHidden/>
          </w:rPr>
          <w:fldChar w:fldCharType="begin"/>
        </w:r>
        <w:r w:rsidR="00C9630B">
          <w:rPr>
            <w:noProof/>
            <w:webHidden/>
          </w:rPr>
          <w:instrText xml:space="preserve"> PAGEREF _Toc452017156 \h </w:instrText>
        </w:r>
        <w:r>
          <w:rPr>
            <w:noProof/>
            <w:webHidden/>
          </w:rPr>
        </w:r>
        <w:r>
          <w:rPr>
            <w:noProof/>
            <w:webHidden/>
          </w:rPr>
          <w:fldChar w:fldCharType="separate"/>
        </w:r>
        <w:r w:rsidR="00FE119C">
          <w:rPr>
            <w:noProof/>
            <w:webHidden/>
          </w:rPr>
          <w:t>45</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57" w:history="1">
        <w:r w:rsidR="00C9630B" w:rsidRPr="00585DED">
          <w:rPr>
            <w:rStyle w:val="ae"/>
            <w:rFonts w:ascii="宋体" w:hAnsi="宋体" w:hint="eastAsia"/>
            <w:noProof/>
          </w:rPr>
          <w:t>（十）涉外保险业务</w:t>
        </w:r>
        <w:r w:rsidR="00C9630B">
          <w:rPr>
            <w:noProof/>
            <w:webHidden/>
          </w:rPr>
          <w:tab/>
        </w:r>
        <w:r>
          <w:rPr>
            <w:noProof/>
            <w:webHidden/>
          </w:rPr>
          <w:fldChar w:fldCharType="begin"/>
        </w:r>
        <w:r w:rsidR="00C9630B">
          <w:rPr>
            <w:noProof/>
            <w:webHidden/>
          </w:rPr>
          <w:instrText xml:space="preserve"> PAGEREF _Toc452017157 \h </w:instrText>
        </w:r>
        <w:r>
          <w:rPr>
            <w:noProof/>
            <w:webHidden/>
          </w:rPr>
        </w:r>
        <w:r>
          <w:rPr>
            <w:noProof/>
            <w:webHidden/>
          </w:rPr>
          <w:fldChar w:fldCharType="separate"/>
        </w:r>
        <w:r w:rsidR="00FE119C">
          <w:rPr>
            <w:noProof/>
            <w:webHidden/>
          </w:rPr>
          <w:t>46</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58" w:history="1">
        <w:r w:rsidR="00C9630B" w:rsidRPr="00585DED">
          <w:rPr>
            <w:rStyle w:val="ae"/>
            <w:rFonts w:ascii="宋体" w:hAnsi="宋体" w:hint="eastAsia"/>
            <w:noProof/>
          </w:rPr>
          <w:t>为非居民提供直接保险服务</w:t>
        </w:r>
        <w:r w:rsidR="00C9630B">
          <w:rPr>
            <w:noProof/>
            <w:webHidden/>
          </w:rPr>
          <w:tab/>
        </w:r>
        <w:r>
          <w:rPr>
            <w:noProof/>
            <w:webHidden/>
          </w:rPr>
          <w:fldChar w:fldCharType="begin"/>
        </w:r>
        <w:r w:rsidR="00C9630B">
          <w:rPr>
            <w:noProof/>
            <w:webHidden/>
          </w:rPr>
          <w:instrText xml:space="preserve"> PAGEREF _Toc452017158 \h </w:instrText>
        </w:r>
        <w:r>
          <w:rPr>
            <w:noProof/>
            <w:webHidden/>
          </w:rPr>
        </w:r>
        <w:r>
          <w:rPr>
            <w:noProof/>
            <w:webHidden/>
          </w:rPr>
          <w:fldChar w:fldCharType="separate"/>
        </w:r>
        <w:r w:rsidR="00FE119C">
          <w:rPr>
            <w:noProof/>
            <w:webHidden/>
          </w:rPr>
          <w:t>46</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59" w:history="1">
        <w:r w:rsidR="00C9630B" w:rsidRPr="00585DED">
          <w:rPr>
            <w:rStyle w:val="ae"/>
            <w:rFonts w:ascii="宋体" w:hAnsi="宋体" w:hint="eastAsia"/>
            <w:noProof/>
          </w:rPr>
          <w:t>为非居民提供再保险服务（分入保险）</w:t>
        </w:r>
        <w:r w:rsidR="00C9630B">
          <w:rPr>
            <w:noProof/>
            <w:webHidden/>
          </w:rPr>
          <w:tab/>
        </w:r>
        <w:r>
          <w:rPr>
            <w:noProof/>
            <w:webHidden/>
          </w:rPr>
          <w:fldChar w:fldCharType="begin"/>
        </w:r>
        <w:r w:rsidR="00C9630B">
          <w:rPr>
            <w:noProof/>
            <w:webHidden/>
          </w:rPr>
          <w:instrText xml:space="preserve"> PAGEREF _Toc452017159 \h </w:instrText>
        </w:r>
        <w:r>
          <w:rPr>
            <w:noProof/>
            <w:webHidden/>
          </w:rPr>
        </w:r>
        <w:r>
          <w:rPr>
            <w:noProof/>
            <w:webHidden/>
          </w:rPr>
          <w:fldChar w:fldCharType="separate"/>
        </w:r>
        <w:r w:rsidR="00FE119C">
          <w:rPr>
            <w:noProof/>
            <w:webHidden/>
          </w:rPr>
          <w:t>47</w:t>
        </w:r>
        <w:r>
          <w:rPr>
            <w:noProof/>
            <w:webHidden/>
          </w:rPr>
          <w:fldChar w:fldCharType="end"/>
        </w:r>
      </w:hyperlink>
    </w:p>
    <w:p w:rsidR="00C9630B" w:rsidRDefault="00CB4B9E">
      <w:pPr>
        <w:pStyle w:val="30"/>
        <w:rPr>
          <w:rFonts w:asciiTheme="minorHAnsi" w:eastAsiaTheme="minorEastAsia" w:hAnsiTheme="minorHAnsi" w:cstheme="minorBidi"/>
          <w:noProof/>
          <w:kern w:val="2"/>
          <w:sz w:val="21"/>
        </w:rPr>
      </w:pPr>
      <w:hyperlink w:anchor="_Toc452017160" w:history="1">
        <w:r w:rsidR="00C9630B" w:rsidRPr="00585DED">
          <w:rPr>
            <w:rStyle w:val="ae"/>
            <w:rFonts w:ascii="宋体" w:hAnsi="宋体" w:hint="eastAsia"/>
            <w:noProof/>
          </w:rPr>
          <w:t>从非居民保险机构获得再保险服务（分出保险）</w:t>
        </w:r>
        <w:r w:rsidR="00C9630B">
          <w:rPr>
            <w:noProof/>
            <w:webHidden/>
          </w:rPr>
          <w:tab/>
        </w:r>
        <w:r>
          <w:rPr>
            <w:noProof/>
            <w:webHidden/>
          </w:rPr>
          <w:fldChar w:fldCharType="begin"/>
        </w:r>
        <w:r w:rsidR="00C9630B">
          <w:rPr>
            <w:noProof/>
            <w:webHidden/>
          </w:rPr>
          <w:instrText xml:space="preserve"> PAGEREF _Toc452017160 \h </w:instrText>
        </w:r>
        <w:r>
          <w:rPr>
            <w:noProof/>
            <w:webHidden/>
          </w:rPr>
        </w:r>
        <w:r>
          <w:rPr>
            <w:noProof/>
            <w:webHidden/>
          </w:rPr>
          <w:fldChar w:fldCharType="separate"/>
        </w:r>
        <w:r w:rsidR="00FE119C">
          <w:rPr>
            <w:noProof/>
            <w:webHidden/>
          </w:rPr>
          <w:t>48</w:t>
        </w:r>
        <w:r>
          <w:rPr>
            <w:noProof/>
            <w:webHidden/>
          </w:rPr>
          <w:fldChar w:fldCharType="end"/>
        </w:r>
      </w:hyperlink>
    </w:p>
    <w:p w:rsidR="00C9630B" w:rsidRDefault="00CB4B9E">
      <w:pPr>
        <w:pStyle w:val="21"/>
        <w:rPr>
          <w:rFonts w:asciiTheme="minorHAnsi" w:eastAsiaTheme="minorEastAsia" w:hAnsiTheme="minorHAnsi" w:cstheme="minorBidi"/>
          <w:noProof/>
          <w:kern w:val="2"/>
          <w:sz w:val="21"/>
        </w:rPr>
      </w:pPr>
      <w:hyperlink w:anchor="_Toc452017161" w:history="1">
        <w:r w:rsidR="00C9630B" w:rsidRPr="00585DED">
          <w:rPr>
            <w:rStyle w:val="ae"/>
            <w:rFonts w:ascii="宋体" w:hAnsi="宋体" w:hint="eastAsia"/>
            <w:noProof/>
          </w:rPr>
          <w:t>（十一）补充报表：银行进出口贸易融资余额</w:t>
        </w:r>
        <w:r w:rsidR="00C9630B">
          <w:rPr>
            <w:noProof/>
            <w:webHidden/>
          </w:rPr>
          <w:tab/>
        </w:r>
        <w:r>
          <w:rPr>
            <w:noProof/>
            <w:webHidden/>
          </w:rPr>
          <w:fldChar w:fldCharType="begin"/>
        </w:r>
        <w:r w:rsidR="00C9630B">
          <w:rPr>
            <w:noProof/>
            <w:webHidden/>
          </w:rPr>
          <w:instrText xml:space="preserve"> PAGEREF _Toc452017161 \h </w:instrText>
        </w:r>
        <w:r>
          <w:rPr>
            <w:noProof/>
            <w:webHidden/>
          </w:rPr>
        </w:r>
        <w:r>
          <w:rPr>
            <w:noProof/>
            <w:webHidden/>
          </w:rPr>
          <w:fldChar w:fldCharType="separate"/>
        </w:r>
        <w:r w:rsidR="00FE119C">
          <w:rPr>
            <w:noProof/>
            <w:webHidden/>
          </w:rPr>
          <w:t>49</w:t>
        </w:r>
        <w:r>
          <w:rPr>
            <w:noProof/>
            <w:webHidden/>
          </w:rPr>
          <w:fldChar w:fldCharType="end"/>
        </w:r>
      </w:hyperlink>
    </w:p>
    <w:p w:rsidR="00C9630B" w:rsidRDefault="00CB4B9E">
      <w:pPr>
        <w:pStyle w:val="12"/>
        <w:rPr>
          <w:rFonts w:asciiTheme="minorHAnsi" w:eastAsiaTheme="minorEastAsia" w:hAnsiTheme="minorHAnsi" w:cstheme="minorBidi"/>
          <w:noProof/>
          <w:kern w:val="2"/>
          <w:sz w:val="21"/>
        </w:rPr>
      </w:pPr>
      <w:hyperlink w:anchor="_Toc452017162" w:history="1">
        <w:r w:rsidR="00C9630B" w:rsidRPr="00585DED">
          <w:rPr>
            <w:rStyle w:val="ae"/>
            <w:rFonts w:ascii="黑体" w:eastAsia="黑体" w:hAnsi="宋体" w:hint="eastAsia"/>
            <w:noProof/>
          </w:rPr>
          <w:t>四、主要指标解释</w:t>
        </w:r>
        <w:r w:rsidR="00C9630B">
          <w:rPr>
            <w:noProof/>
            <w:webHidden/>
          </w:rPr>
          <w:tab/>
        </w:r>
        <w:r>
          <w:rPr>
            <w:noProof/>
            <w:webHidden/>
          </w:rPr>
          <w:fldChar w:fldCharType="begin"/>
        </w:r>
        <w:r w:rsidR="00C9630B">
          <w:rPr>
            <w:noProof/>
            <w:webHidden/>
          </w:rPr>
          <w:instrText xml:space="preserve"> PAGEREF _Toc452017162 \h </w:instrText>
        </w:r>
        <w:r>
          <w:rPr>
            <w:noProof/>
            <w:webHidden/>
          </w:rPr>
        </w:r>
        <w:r>
          <w:rPr>
            <w:noProof/>
            <w:webHidden/>
          </w:rPr>
          <w:fldChar w:fldCharType="separate"/>
        </w:r>
        <w:r w:rsidR="00FE119C">
          <w:rPr>
            <w:noProof/>
            <w:webHidden/>
          </w:rPr>
          <w:t>50</w:t>
        </w:r>
        <w:r>
          <w:rPr>
            <w:noProof/>
            <w:webHidden/>
          </w:rPr>
          <w:fldChar w:fldCharType="end"/>
        </w:r>
      </w:hyperlink>
    </w:p>
    <w:p w:rsidR="00C9630B" w:rsidRDefault="00CB4B9E">
      <w:pPr>
        <w:pStyle w:val="12"/>
        <w:rPr>
          <w:rFonts w:asciiTheme="minorHAnsi" w:eastAsiaTheme="minorEastAsia" w:hAnsiTheme="minorHAnsi" w:cstheme="minorBidi"/>
          <w:noProof/>
          <w:kern w:val="2"/>
          <w:sz w:val="21"/>
        </w:rPr>
      </w:pPr>
      <w:hyperlink w:anchor="_Toc452017163" w:history="1">
        <w:r w:rsidR="00C9630B" w:rsidRPr="00585DED">
          <w:rPr>
            <w:rStyle w:val="ae"/>
            <w:rFonts w:ascii="黑体" w:eastAsia="黑体" w:hint="eastAsia"/>
            <w:noProof/>
          </w:rPr>
          <w:t>五、附</w:t>
        </w:r>
        <w:r w:rsidR="00C9630B" w:rsidRPr="00585DED">
          <w:rPr>
            <w:rStyle w:val="ae"/>
            <w:rFonts w:ascii="黑体" w:eastAsia="黑体"/>
            <w:noProof/>
          </w:rPr>
          <w:t xml:space="preserve"> </w:t>
        </w:r>
        <w:r w:rsidR="00C9630B" w:rsidRPr="00585DED">
          <w:rPr>
            <w:rStyle w:val="ae"/>
            <w:rFonts w:ascii="黑体" w:eastAsia="黑体" w:hint="eastAsia"/>
            <w:noProof/>
          </w:rPr>
          <w:t>录</w:t>
        </w:r>
        <w:r w:rsidR="00C9630B">
          <w:rPr>
            <w:noProof/>
            <w:webHidden/>
          </w:rPr>
          <w:tab/>
        </w:r>
        <w:r>
          <w:rPr>
            <w:noProof/>
            <w:webHidden/>
          </w:rPr>
          <w:fldChar w:fldCharType="begin"/>
        </w:r>
        <w:r w:rsidR="00C9630B">
          <w:rPr>
            <w:noProof/>
            <w:webHidden/>
          </w:rPr>
          <w:instrText xml:space="preserve"> PAGEREF _Toc452017163 \h </w:instrText>
        </w:r>
        <w:r>
          <w:rPr>
            <w:noProof/>
            <w:webHidden/>
          </w:rPr>
        </w:r>
        <w:r>
          <w:rPr>
            <w:noProof/>
            <w:webHidden/>
          </w:rPr>
          <w:fldChar w:fldCharType="separate"/>
        </w:r>
        <w:r w:rsidR="00FE119C">
          <w:rPr>
            <w:noProof/>
            <w:webHidden/>
          </w:rPr>
          <w:t>114</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7165" w:history="1">
        <w:r w:rsidR="00C9630B" w:rsidRPr="00585DED">
          <w:rPr>
            <w:rStyle w:val="ae"/>
            <w:rFonts w:ascii="宋体" w:hAnsi="宋体" w:hint="eastAsia"/>
            <w:noProof/>
          </w:rPr>
          <w:t>（一）</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行业属性代码表</w:t>
        </w:r>
        <w:r w:rsidR="00C9630B">
          <w:rPr>
            <w:noProof/>
            <w:webHidden/>
          </w:rPr>
          <w:tab/>
        </w:r>
        <w:r>
          <w:rPr>
            <w:noProof/>
            <w:webHidden/>
          </w:rPr>
          <w:fldChar w:fldCharType="begin"/>
        </w:r>
        <w:r w:rsidR="00C9630B">
          <w:rPr>
            <w:noProof/>
            <w:webHidden/>
          </w:rPr>
          <w:instrText xml:space="preserve"> PAGEREF _Toc452017165 \h </w:instrText>
        </w:r>
        <w:r>
          <w:rPr>
            <w:noProof/>
            <w:webHidden/>
          </w:rPr>
        </w:r>
        <w:r>
          <w:rPr>
            <w:noProof/>
            <w:webHidden/>
          </w:rPr>
          <w:fldChar w:fldCharType="separate"/>
        </w:r>
        <w:r w:rsidR="00FE119C">
          <w:rPr>
            <w:noProof/>
            <w:webHidden/>
          </w:rPr>
          <w:t>114</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7166" w:history="1">
        <w:r w:rsidR="00C9630B" w:rsidRPr="00585DED">
          <w:rPr>
            <w:rStyle w:val="ae"/>
            <w:rFonts w:ascii="宋体" w:hAnsi="宋体" w:hint="eastAsia"/>
            <w:noProof/>
          </w:rPr>
          <w:t>（二）</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金融业代码表</w:t>
        </w:r>
        <w:r w:rsidR="00C9630B">
          <w:rPr>
            <w:noProof/>
            <w:webHidden/>
          </w:rPr>
          <w:tab/>
        </w:r>
        <w:r>
          <w:rPr>
            <w:noProof/>
            <w:webHidden/>
          </w:rPr>
          <w:fldChar w:fldCharType="begin"/>
        </w:r>
        <w:r w:rsidR="00C9630B">
          <w:rPr>
            <w:noProof/>
            <w:webHidden/>
          </w:rPr>
          <w:instrText xml:space="preserve"> PAGEREF _Toc452017166 \h </w:instrText>
        </w:r>
        <w:r>
          <w:rPr>
            <w:noProof/>
            <w:webHidden/>
          </w:rPr>
        </w:r>
        <w:r>
          <w:rPr>
            <w:noProof/>
            <w:webHidden/>
          </w:rPr>
          <w:fldChar w:fldCharType="separate"/>
        </w:r>
        <w:r w:rsidR="00FE119C">
          <w:rPr>
            <w:noProof/>
            <w:webHidden/>
          </w:rPr>
          <w:t>117</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7167" w:history="1">
        <w:r w:rsidR="00C9630B" w:rsidRPr="00585DED">
          <w:rPr>
            <w:rStyle w:val="ae"/>
            <w:rFonts w:ascii="宋体" w:hAnsi="宋体" w:hint="eastAsia"/>
            <w:noProof/>
          </w:rPr>
          <w:t>（三）</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国家和地区代码表</w:t>
        </w:r>
        <w:r w:rsidR="00C9630B">
          <w:rPr>
            <w:noProof/>
            <w:webHidden/>
          </w:rPr>
          <w:tab/>
        </w:r>
        <w:r>
          <w:rPr>
            <w:noProof/>
            <w:webHidden/>
          </w:rPr>
          <w:fldChar w:fldCharType="begin"/>
        </w:r>
        <w:r w:rsidR="00C9630B">
          <w:rPr>
            <w:noProof/>
            <w:webHidden/>
          </w:rPr>
          <w:instrText xml:space="preserve"> PAGEREF _Toc452017167 \h </w:instrText>
        </w:r>
        <w:r>
          <w:rPr>
            <w:noProof/>
            <w:webHidden/>
          </w:rPr>
        </w:r>
        <w:r>
          <w:rPr>
            <w:noProof/>
            <w:webHidden/>
          </w:rPr>
          <w:fldChar w:fldCharType="separate"/>
        </w:r>
        <w:r w:rsidR="00FE119C">
          <w:rPr>
            <w:noProof/>
            <w:webHidden/>
          </w:rPr>
          <w:t>120</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7168" w:history="1">
        <w:r w:rsidR="00C9630B" w:rsidRPr="00585DED">
          <w:rPr>
            <w:rStyle w:val="ae"/>
            <w:rFonts w:ascii="宋体" w:hAnsi="宋体" w:hint="eastAsia"/>
            <w:noProof/>
          </w:rPr>
          <w:t>（四）</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币种代码表</w:t>
        </w:r>
        <w:r w:rsidR="00C9630B">
          <w:rPr>
            <w:noProof/>
            <w:webHidden/>
          </w:rPr>
          <w:tab/>
        </w:r>
        <w:r>
          <w:rPr>
            <w:noProof/>
            <w:webHidden/>
          </w:rPr>
          <w:fldChar w:fldCharType="begin"/>
        </w:r>
        <w:r w:rsidR="00C9630B">
          <w:rPr>
            <w:noProof/>
            <w:webHidden/>
          </w:rPr>
          <w:instrText xml:space="preserve"> PAGEREF _Toc452017168 \h </w:instrText>
        </w:r>
        <w:r>
          <w:rPr>
            <w:noProof/>
            <w:webHidden/>
          </w:rPr>
        </w:r>
        <w:r>
          <w:rPr>
            <w:noProof/>
            <w:webHidden/>
          </w:rPr>
          <w:fldChar w:fldCharType="separate"/>
        </w:r>
        <w:r w:rsidR="00FE119C">
          <w:rPr>
            <w:noProof/>
            <w:webHidden/>
          </w:rPr>
          <w:t>136</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8502" w:history="1">
        <w:r w:rsidR="00C9630B" w:rsidRPr="00585DED">
          <w:rPr>
            <w:rStyle w:val="ae"/>
            <w:rFonts w:ascii="宋体" w:hAnsi="宋体" w:hint="eastAsia"/>
            <w:noProof/>
          </w:rPr>
          <w:t>（五）</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经济类型代码表</w:t>
        </w:r>
        <w:r w:rsidR="00C9630B">
          <w:rPr>
            <w:noProof/>
            <w:webHidden/>
          </w:rPr>
          <w:tab/>
        </w:r>
        <w:r>
          <w:rPr>
            <w:noProof/>
            <w:webHidden/>
          </w:rPr>
          <w:fldChar w:fldCharType="begin"/>
        </w:r>
        <w:r w:rsidR="00C9630B">
          <w:rPr>
            <w:noProof/>
            <w:webHidden/>
          </w:rPr>
          <w:instrText xml:space="preserve"> PAGEREF _Toc452018502 \h </w:instrText>
        </w:r>
        <w:r>
          <w:rPr>
            <w:noProof/>
            <w:webHidden/>
          </w:rPr>
        </w:r>
        <w:r>
          <w:rPr>
            <w:noProof/>
            <w:webHidden/>
          </w:rPr>
          <w:fldChar w:fldCharType="separate"/>
        </w:r>
        <w:r w:rsidR="00FE119C">
          <w:rPr>
            <w:noProof/>
            <w:webHidden/>
          </w:rPr>
          <w:t>141</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8504" w:history="1">
        <w:r w:rsidR="00C9630B" w:rsidRPr="00585DED">
          <w:rPr>
            <w:rStyle w:val="ae"/>
            <w:rFonts w:ascii="宋体" w:hAnsi="宋体" w:hint="eastAsia"/>
            <w:noProof/>
          </w:rPr>
          <w:t>（六）</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中国大陆行政区划代码表</w:t>
        </w:r>
        <w:r w:rsidR="00C9630B">
          <w:rPr>
            <w:noProof/>
            <w:webHidden/>
          </w:rPr>
          <w:tab/>
        </w:r>
        <w:r>
          <w:rPr>
            <w:noProof/>
            <w:webHidden/>
          </w:rPr>
          <w:fldChar w:fldCharType="begin"/>
        </w:r>
        <w:r w:rsidR="00C9630B">
          <w:rPr>
            <w:noProof/>
            <w:webHidden/>
          </w:rPr>
          <w:instrText xml:space="preserve"> PAGEREF _Toc452018504 \h </w:instrText>
        </w:r>
        <w:r>
          <w:rPr>
            <w:noProof/>
            <w:webHidden/>
          </w:rPr>
        </w:r>
        <w:r>
          <w:rPr>
            <w:noProof/>
            <w:webHidden/>
          </w:rPr>
          <w:fldChar w:fldCharType="separate"/>
        </w:r>
        <w:r w:rsidR="00FE119C">
          <w:rPr>
            <w:noProof/>
            <w:webHidden/>
          </w:rPr>
          <w:t>142</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9949" w:history="1">
        <w:r w:rsidR="00C9630B" w:rsidRPr="00585DED">
          <w:rPr>
            <w:rStyle w:val="ae"/>
            <w:rFonts w:ascii="宋体" w:hAnsi="宋体" w:hint="eastAsia"/>
            <w:noProof/>
          </w:rPr>
          <w:t>（七）</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涉外银行卡商户分类码分类标准</w:t>
        </w:r>
        <w:r w:rsidR="00C9630B">
          <w:rPr>
            <w:noProof/>
            <w:webHidden/>
          </w:rPr>
          <w:tab/>
        </w:r>
        <w:r>
          <w:rPr>
            <w:noProof/>
            <w:webHidden/>
          </w:rPr>
          <w:fldChar w:fldCharType="begin"/>
        </w:r>
        <w:r w:rsidR="00C9630B">
          <w:rPr>
            <w:noProof/>
            <w:webHidden/>
          </w:rPr>
          <w:instrText xml:space="preserve"> PAGEREF _Toc452019949 \h </w:instrText>
        </w:r>
        <w:r>
          <w:rPr>
            <w:noProof/>
            <w:webHidden/>
          </w:rPr>
        </w:r>
        <w:r>
          <w:rPr>
            <w:noProof/>
            <w:webHidden/>
          </w:rPr>
          <w:fldChar w:fldCharType="separate"/>
        </w:r>
        <w:r w:rsidR="00FE119C">
          <w:rPr>
            <w:noProof/>
            <w:webHidden/>
          </w:rPr>
          <w:t>143</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9950" w:history="1">
        <w:r w:rsidR="00C9630B" w:rsidRPr="00585DED">
          <w:rPr>
            <w:rStyle w:val="ae"/>
            <w:rFonts w:ascii="宋体" w:hAnsi="宋体" w:hint="eastAsia"/>
            <w:noProof/>
          </w:rPr>
          <w:t>（八）</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国际组织名录</w:t>
        </w:r>
        <w:r w:rsidR="00C9630B">
          <w:rPr>
            <w:noProof/>
            <w:webHidden/>
          </w:rPr>
          <w:tab/>
        </w:r>
        <w:r>
          <w:rPr>
            <w:noProof/>
            <w:webHidden/>
          </w:rPr>
          <w:fldChar w:fldCharType="begin"/>
        </w:r>
        <w:r w:rsidR="00C9630B">
          <w:rPr>
            <w:noProof/>
            <w:webHidden/>
          </w:rPr>
          <w:instrText xml:space="preserve"> PAGEREF _Toc452019950 \h </w:instrText>
        </w:r>
        <w:r>
          <w:rPr>
            <w:noProof/>
            <w:webHidden/>
          </w:rPr>
        </w:r>
        <w:r>
          <w:rPr>
            <w:noProof/>
            <w:webHidden/>
          </w:rPr>
          <w:fldChar w:fldCharType="separate"/>
        </w:r>
        <w:r w:rsidR="00FE119C">
          <w:rPr>
            <w:noProof/>
            <w:webHidden/>
          </w:rPr>
          <w:t>152</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9951" w:history="1">
        <w:r w:rsidR="00C9630B" w:rsidRPr="00585DED">
          <w:rPr>
            <w:rStyle w:val="ae"/>
            <w:rFonts w:ascii="宋体" w:hAnsi="宋体" w:hint="eastAsia"/>
            <w:noProof/>
          </w:rPr>
          <w:t>（九）</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中央银行名录</w:t>
        </w:r>
        <w:r w:rsidR="00C9630B">
          <w:rPr>
            <w:noProof/>
            <w:webHidden/>
          </w:rPr>
          <w:tab/>
        </w:r>
        <w:r>
          <w:rPr>
            <w:noProof/>
            <w:webHidden/>
          </w:rPr>
          <w:fldChar w:fldCharType="begin"/>
        </w:r>
        <w:r w:rsidR="00C9630B">
          <w:rPr>
            <w:noProof/>
            <w:webHidden/>
          </w:rPr>
          <w:instrText xml:space="preserve"> PAGEREF _Toc452019951 \h </w:instrText>
        </w:r>
        <w:r>
          <w:rPr>
            <w:noProof/>
            <w:webHidden/>
          </w:rPr>
        </w:r>
        <w:r>
          <w:rPr>
            <w:noProof/>
            <w:webHidden/>
          </w:rPr>
          <w:fldChar w:fldCharType="separate"/>
        </w:r>
        <w:r w:rsidR="00FE119C">
          <w:rPr>
            <w:noProof/>
            <w:webHidden/>
          </w:rPr>
          <w:t>159</w:t>
        </w:r>
        <w:r>
          <w:rPr>
            <w:noProof/>
            <w:webHidden/>
          </w:rPr>
          <w:fldChar w:fldCharType="end"/>
        </w:r>
      </w:hyperlink>
    </w:p>
    <w:p w:rsidR="00C9630B" w:rsidRDefault="00CB4B9E">
      <w:pPr>
        <w:pStyle w:val="21"/>
        <w:tabs>
          <w:tab w:val="left" w:pos="1260"/>
        </w:tabs>
        <w:rPr>
          <w:rFonts w:asciiTheme="minorHAnsi" w:eastAsiaTheme="minorEastAsia" w:hAnsiTheme="minorHAnsi" w:cstheme="minorBidi"/>
          <w:noProof/>
          <w:kern w:val="2"/>
          <w:sz w:val="21"/>
        </w:rPr>
      </w:pPr>
      <w:hyperlink w:anchor="_Toc452019952" w:history="1">
        <w:r w:rsidR="00C9630B" w:rsidRPr="00585DED">
          <w:rPr>
            <w:rStyle w:val="ae"/>
            <w:rFonts w:ascii="宋体" w:hAnsi="宋体" w:hint="eastAsia"/>
            <w:noProof/>
          </w:rPr>
          <w:t>（十）</w:t>
        </w:r>
        <w:r w:rsidR="00C9630B">
          <w:rPr>
            <w:rFonts w:asciiTheme="minorHAnsi" w:eastAsiaTheme="minorEastAsia" w:hAnsiTheme="minorHAnsi" w:cstheme="minorBidi"/>
            <w:noProof/>
            <w:kern w:val="2"/>
            <w:sz w:val="21"/>
          </w:rPr>
          <w:tab/>
        </w:r>
        <w:r w:rsidR="00C9630B" w:rsidRPr="00585DED">
          <w:rPr>
            <w:rStyle w:val="ae"/>
            <w:rFonts w:ascii="宋体" w:hAnsi="宋体" w:hint="eastAsia"/>
            <w:noProof/>
          </w:rPr>
          <w:t>境外上市非金融企业参考名录</w:t>
        </w:r>
        <w:r w:rsidR="00C9630B">
          <w:rPr>
            <w:noProof/>
            <w:webHidden/>
          </w:rPr>
          <w:tab/>
        </w:r>
        <w:r>
          <w:rPr>
            <w:noProof/>
            <w:webHidden/>
          </w:rPr>
          <w:fldChar w:fldCharType="begin"/>
        </w:r>
        <w:r w:rsidR="00C9630B">
          <w:rPr>
            <w:noProof/>
            <w:webHidden/>
          </w:rPr>
          <w:instrText xml:space="preserve"> PAGEREF _Toc452019952 \h </w:instrText>
        </w:r>
        <w:r>
          <w:rPr>
            <w:noProof/>
            <w:webHidden/>
          </w:rPr>
        </w:r>
        <w:r>
          <w:rPr>
            <w:noProof/>
            <w:webHidden/>
          </w:rPr>
          <w:fldChar w:fldCharType="separate"/>
        </w:r>
        <w:r w:rsidR="00FE119C">
          <w:rPr>
            <w:noProof/>
            <w:webHidden/>
          </w:rPr>
          <w:t>170</w:t>
        </w:r>
        <w:r>
          <w:rPr>
            <w:noProof/>
            <w:webHidden/>
          </w:rPr>
          <w:fldChar w:fldCharType="end"/>
        </w:r>
      </w:hyperlink>
    </w:p>
    <w:p w:rsidR="00000000" w:rsidRDefault="00CB4B9E">
      <w:pPr>
        <w:rPr>
          <w:rFonts w:ascii="宋体" w:hAnsi="宋体"/>
          <w:color w:val="000000" w:themeColor="text1"/>
          <w:szCs w:val="21"/>
        </w:rPr>
      </w:pPr>
      <w:r w:rsidRPr="00CB4B9E">
        <w:rPr>
          <w:rFonts w:ascii="宋体" w:hAnsi="宋体"/>
          <w:color w:val="000000" w:themeColor="text1"/>
          <w:szCs w:val="21"/>
        </w:rPr>
        <w:fldChar w:fldCharType="end"/>
      </w:r>
      <w:r w:rsidRPr="00CB4B9E">
        <w:rPr>
          <w:rFonts w:ascii="宋体" w:hAnsi="宋体"/>
          <w:color w:val="000000" w:themeColor="text1"/>
          <w:szCs w:val="21"/>
        </w:rPr>
        <w:br w:type="page"/>
      </w:r>
    </w:p>
    <w:p w:rsidR="00907C8A" w:rsidRPr="009263D7" w:rsidRDefault="00907C8A" w:rsidP="000C3B63">
      <w:pPr>
        <w:spacing w:line="600" w:lineRule="atLeast"/>
        <w:jc w:val="center"/>
        <w:rPr>
          <w:rFonts w:eastAsia="黑体"/>
          <w:color w:val="000000" w:themeColor="text1"/>
          <w:sz w:val="32"/>
        </w:rPr>
      </w:pPr>
    </w:p>
    <w:p w:rsidR="00B11245" w:rsidRPr="009263D7" w:rsidRDefault="00B11245">
      <w:pPr>
        <w:rPr>
          <w:color w:val="000000" w:themeColor="text1"/>
        </w:rPr>
      </w:pPr>
    </w:p>
    <w:p w:rsidR="000C3B63" w:rsidRPr="009263D7" w:rsidRDefault="00CB4B9E" w:rsidP="00DA00CD">
      <w:pPr>
        <w:pStyle w:val="10"/>
        <w:rPr>
          <w:rFonts w:eastAsia="黑体"/>
          <w:color w:val="000000" w:themeColor="text1"/>
          <w:sz w:val="32"/>
        </w:rPr>
      </w:pPr>
      <w:bookmarkStart w:id="0" w:name="_Toc340494458"/>
      <w:bookmarkStart w:id="1" w:name="_Toc452017116"/>
      <w:r w:rsidRPr="00CB4B9E">
        <w:rPr>
          <w:rFonts w:eastAsia="黑体" w:hint="eastAsia"/>
          <w:color w:val="000000" w:themeColor="text1"/>
          <w:sz w:val="32"/>
        </w:rPr>
        <w:t>一、总</w:t>
      </w:r>
      <w:r w:rsidRPr="00CB4B9E">
        <w:rPr>
          <w:rFonts w:eastAsia="黑体"/>
          <w:color w:val="000000" w:themeColor="text1"/>
          <w:sz w:val="32"/>
        </w:rPr>
        <w:t xml:space="preserve"> </w:t>
      </w:r>
      <w:r w:rsidRPr="00CB4B9E">
        <w:rPr>
          <w:rFonts w:eastAsia="黑体" w:hint="eastAsia"/>
          <w:color w:val="000000" w:themeColor="text1"/>
          <w:sz w:val="32"/>
        </w:rPr>
        <w:t>说</w:t>
      </w:r>
      <w:r w:rsidRPr="00CB4B9E">
        <w:rPr>
          <w:rFonts w:eastAsia="黑体"/>
          <w:color w:val="000000" w:themeColor="text1"/>
          <w:sz w:val="32"/>
        </w:rPr>
        <w:t xml:space="preserve"> </w:t>
      </w:r>
      <w:r w:rsidRPr="00CB4B9E">
        <w:rPr>
          <w:rFonts w:eastAsia="黑体" w:hint="eastAsia"/>
          <w:color w:val="000000" w:themeColor="text1"/>
          <w:sz w:val="32"/>
        </w:rPr>
        <w:t>明</w:t>
      </w:r>
      <w:bookmarkEnd w:id="0"/>
      <w:bookmarkEnd w:id="1"/>
    </w:p>
    <w:p w:rsidR="001A6A9D" w:rsidRPr="001A6A9D" w:rsidRDefault="001A6A9D" w:rsidP="00D1396C">
      <w:pPr>
        <w:spacing w:beforeLines="50" w:afterLines="50"/>
        <w:ind w:firstLineChars="200" w:firstLine="360"/>
        <w:rPr>
          <w:rFonts w:ascii="宋体" w:hAnsi="宋体"/>
          <w:color w:val="000000" w:themeColor="text1"/>
          <w:sz w:val="18"/>
          <w:szCs w:val="18"/>
        </w:rPr>
      </w:pP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一）为按照国际货币基金组织《国际收支和国际投资头寸手册》（第六版）原则，及时、准确地编制和发布中国国际收支平衡表、国际投资头寸表及相关数据，依据《中华人民共和国统计法》、《中华人民共和国外汇管理条例》和《国际收支统计申报办法》，制定本制度。</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（二）本制度采集中国居民（包括境内机构和个人）与非中国居民之间各项国际收支交易的流量以及对外金融资产和负债的存量数据。</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本制度所指中国居民与非中国居民的概念与《国际收支统计申报办法》一致。中国居民是指：一是在中国境内居留</w:t>
      </w:r>
      <w:r w:rsidRPr="00CB4B9E">
        <w:rPr>
          <w:rFonts w:ascii="宋体" w:hAnsi="宋体"/>
          <w:color w:val="000000" w:themeColor="text1"/>
        </w:rPr>
        <w:t>1年以上的自然人</w:t>
      </w:r>
      <w:r w:rsidRPr="00CB4B9E">
        <w:rPr>
          <w:rFonts w:ascii="宋体" w:hAnsi="宋体" w:hint="eastAsia"/>
          <w:color w:val="000000" w:themeColor="text1"/>
        </w:rPr>
        <w:t>，外国及香港、澳门、台湾地区在境内的留学生、就医人员、外国驻华使馆领馆外籍工作人员及其家属除外；二是中国短期出国人员（在境外居留时间不满</w:t>
      </w:r>
      <w:r w:rsidRPr="00CB4B9E">
        <w:rPr>
          <w:rFonts w:ascii="宋体" w:hAnsi="宋体"/>
          <w:color w:val="000000" w:themeColor="text1"/>
        </w:rPr>
        <w:t>1年）、在境外留学人员、就医人员及中国驻外使领馆工作人员及其家属；三是在中国境内依法成立的企业事业法人（含外商投资企业及外资金融机构）及境外法人的驻华机构（不含国际组织驻华机构、外国驻华使</w:t>
      </w:r>
      <w:r w:rsidRPr="00CB4B9E">
        <w:rPr>
          <w:rFonts w:ascii="宋体" w:hAnsi="宋体" w:hint="eastAsia"/>
          <w:color w:val="000000" w:themeColor="text1"/>
        </w:rPr>
        <w:t>馆领馆）；四是中国国家机关（含中国驻外使馆领馆）、团体、部队。中国居民以外即为非中国居民。实践中，可按照永久居留证、护照、身份证来认定是否为中国居民。</w:t>
      </w:r>
    </w:p>
    <w:p w:rsidR="00000000" w:rsidRDefault="00CB4B9E" w:rsidP="00D1396C">
      <w:pPr>
        <w:spacing w:beforeLines="50" w:afterLines="50"/>
        <w:ind w:firstLineChars="200" w:firstLine="420"/>
        <w:rPr>
          <w:rFonts w:ascii="宋体" w:hAnsi="宋体"/>
          <w:color w:val="000000" w:themeColor="text1"/>
          <w:szCs w:val="21"/>
        </w:rPr>
      </w:pPr>
      <w:r w:rsidRPr="00CB4B9E">
        <w:rPr>
          <w:rFonts w:ascii="宋体" w:hAnsi="宋体" w:hint="eastAsia"/>
          <w:color w:val="000000" w:themeColor="text1"/>
        </w:rPr>
        <w:t>本制度所指国际收支交易是中国居民与非中国居民之间的各项交易，包括货物买卖、服务贸易、股息利息收支、无偿捐赠以及赔偿，直接投资、证券投资、金融衍生产品以及存贷款等其他投资交易。</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szCs w:val="21"/>
        </w:rPr>
        <w:t>本制度所指</w:t>
      </w:r>
      <w:r w:rsidRPr="00CB4B9E">
        <w:rPr>
          <w:rFonts w:ascii="宋体" w:hAnsi="宋体" w:hint="eastAsia"/>
          <w:color w:val="000000" w:themeColor="text1"/>
        </w:rPr>
        <w:t>对外金融资产是指中国居民对非中国居民拥有的金融资产，包括对外直接投资、证券投资、金融衍生产品投资、存款、发放贷款及各类应收款等。对外负债是指中国居民对非中国居民承担的负债，包括吸收直接投资、发行有价证券、金融衍生产品投资、吸收存款、接受贷款及各类应付款等。</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（三）本制度采用重点调查统计方法。</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四）本制度的申报主体为中国境内金融机构法人、境外金融机构在中国境内的主报告分支机构、境外上市的境内非金融企业、全国社会保障基金理事会、中国投资有限责任公司、中央国债登记结算有限责任公司、中国证券登记结算有限公司、银行间市场清算所股份有限公司、银行卡组织以及其他指定申报主体。</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（五）本制度包括申报主体信息表、基本报表和补充报表三部分。</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申报主体信息表包括</w:t>
      </w:r>
      <w:r w:rsidRPr="00CB4B9E">
        <w:rPr>
          <w:rFonts w:ascii="宋体" w:hAnsi="宋体"/>
          <w:color w:val="000000" w:themeColor="text1"/>
        </w:rPr>
        <w:t>Z表，为申报主体基本档案信息。</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基本报表包括</w:t>
      </w:r>
      <w:r w:rsidRPr="00CB4B9E">
        <w:rPr>
          <w:rFonts w:ascii="宋体" w:hAnsi="宋体"/>
          <w:color w:val="000000" w:themeColor="text1"/>
        </w:rPr>
        <w:t>A表-I表，</w:t>
      </w:r>
      <w:r w:rsidRPr="00CB4B9E">
        <w:rPr>
          <w:rFonts w:ascii="宋体" w:hAnsi="宋体" w:hint="eastAsia"/>
          <w:color w:val="000000" w:themeColor="text1"/>
        </w:rPr>
        <w:t>是基于完整的国际收支统计需求的报表，涵盖所有国际收支交易流量以及对外金融资产负债存量。其每张报表均有特定统计内容，相互不重合，即一个申报主体的一类涉外业务只能纳入一张基本报表统计，而不应同时统计在两张或以上的基本报表中。</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补充报表包括</w:t>
      </w:r>
      <w:r w:rsidRPr="00CB4B9E">
        <w:rPr>
          <w:rFonts w:ascii="宋体" w:hAnsi="宋体"/>
          <w:color w:val="000000" w:themeColor="text1"/>
        </w:rPr>
        <w:t>X表，</w:t>
      </w:r>
      <w:r w:rsidRPr="00CB4B9E">
        <w:rPr>
          <w:rFonts w:ascii="宋体" w:hAnsi="宋体" w:hint="eastAsia"/>
          <w:color w:val="000000" w:themeColor="text1"/>
        </w:rPr>
        <w:t>是为特定统计分析目的而采集的专题报表，其在统计内容上与前述基本报表可能重合，但角度不同。</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本制度报表采用逐支（证券、金融衍生产品）报送或根据报表要素进行小汇总报送。</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szCs w:val="21"/>
        </w:rPr>
        <w:t>（六）本制度依循企业会计准则，</w:t>
      </w:r>
      <w:r w:rsidRPr="00CB4B9E">
        <w:rPr>
          <w:rFonts w:ascii="宋体" w:hAnsi="宋体"/>
          <w:color w:val="000000" w:themeColor="text1"/>
          <w:szCs w:val="21"/>
        </w:rPr>
        <w:t>采用权责发生制和</w:t>
      </w:r>
      <w:r w:rsidRPr="00CB4B9E">
        <w:rPr>
          <w:rFonts w:ascii="宋体" w:hAnsi="宋体" w:hint="eastAsia"/>
          <w:color w:val="000000" w:themeColor="text1"/>
          <w:szCs w:val="21"/>
        </w:rPr>
        <w:t>公允</w:t>
      </w:r>
      <w:r w:rsidRPr="00CB4B9E">
        <w:rPr>
          <w:rFonts w:ascii="宋体" w:hAnsi="宋体"/>
          <w:color w:val="000000" w:themeColor="text1"/>
          <w:szCs w:val="21"/>
        </w:rPr>
        <w:t>价值</w:t>
      </w:r>
      <w:r w:rsidRPr="00CB4B9E">
        <w:rPr>
          <w:rFonts w:ascii="宋体" w:hAnsi="宋体" w:hint="eastAsia"/>
          <w:color w:val="000000" w:themeColor="text1"/>
          <w:szCs w:val="21"/>
        </w:rPr>
        <w:t>（优先使用市场价值）</w:t>
      </w:r>
      <w:r w:rsidRPr="00CB4B9E">
        <w:rPr>
          <w:rFonts w:ascii="宋体" w:hAnsi="宋体"/>
          <w:color w:val="000000" w:themeColor="text1"/>
          <w:szCs w:val="21"/>
        </w:rPr>
        <w:t>来记录和填报数据。无</w:t>
      </w:r>
      <w:r w:rsidRPr="00CB4B9E">
        <w:rPr>
          <w:rFonts w:ascii="宋体" w:hAnsi="宋体" w:hint="eastAsia"/>
          <w:color w:val="000000" w:themeColor="text1"/>
          <w:szCs w:val="21"/>
        </w:rPr>
        <w:t>公允</w:t>
      </w:r>
      <w:r w:rsidRPr="00CB4B9E">
        <w:rPr>
          <w:rFonts w:ascii="宋体" w:hAnsi="宋体"/>
          <w:color w:val="000000" w:themeColor="text1"/>
          <w:szCs w:val="21"/>
        </w:rPr>
        <w:t>价值</w:t>
      </w:r>
      <w:r w:rsidRPr="00CB4B9E">
        <w:rPr>
          <w:rFonts w:ascii="宋体" w:hAnsi="宋体" w:hint="eastAsia"/>
          <w:color w:val="000000" w:themeColor="text1"/>
          <w:szCs w:val="21"/>
        </w:rPr>
        <w:t>或公允价值不适用</w:t>
      </w:r>
      <w:r w:rsidRPr="00CB4B9E">
        <w:rPr>
          <w:rFonts w:ascii="宋体" w:hAnsi="宋体"/>
          <w:color w:val="000000" w:themeColor="text1"/>
          <w:szCs w:val="21"/>
        </w:rPr>
        <w:t>时</w:t>
      </w:r>
      <w:r w:rsidRPr="00CB4B9E">
        <w:rPr>
          <w:rFonts w:ascii="宋体" w:hAnsi="宋体" w:hint="eastAsia"/>
          <w:color w:val="000000" w:themeColor="text1"/>
          <w:szCs w:val="21"/>
        </w:rPr>
        <w:t>可</w:t>
      </w:r>
      <w:r w:rsidRPr="00CB4B9E">
        <w:rPr>
          <w:rFonts w:ascii="宋体" w:hAnsi="宋体"/>
          <w:color w:val="000000" w:themeColor="text1"/>
          <w:szCs w:val="21"/>
        </w:rPr>
        <w:t>使用</w:t>
      </w:r>
      <w:r w:rsidRPr="00CB4B9E">
        <w:rPr>
          <w:rFonts w:ascii="宋体" w:hAnsi="宋体" w:hint="eastAsia"/>
          <w:color w:val="000000" w:themeColor="text1"/>
          <w:szCs w:val="21"/>
        </w:rPr>
        <w:t>摊余成本等其他计值方法</w:t>
      </w:r>
      <w:r w:rsidRPr="00CB4B9E">
        <w:rPr>
          <w:rFonts w:ascii="宋体" w:hAnsi="宋体"/>
          <w:color w:val="000000" w:themeColor="text1"/>
          <w:szCs w:val="21"/>
        </w:rPr>
        <w:t>。</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lastRenderedPageBreak/>
        <w:t>（七）本制度主要采集申报主体以自身名义、代理客户、作为资产管理人或托管人发生或掌握的国际收支交易和对外金融资产、负债存量状况，以及境内金融市场中涉外金融交易和存量状况。</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color w:val="000000" w:themeColor="text1"/>
        </w:rPr>
        <w:t>为</w:t>
      </w:r>
      <w:r w:rsidRPr="00CB4B9E">
        <w:rPr>
          <w:rFonts w:ascii="宋体" w:hAnsi="宋体" w:hint="eastAsia"/>
          <w:color w:val="000000" w:themeColor="text1"/>
        </w:rPr>
        <w:t>避免数据</w:t>
      </w:r>
      <w:r w:rsidRPr="00CB4B9E">
        <w:rPr>
          <w:rFonts w:ascii="宋体" w:hAnsi="宋体"/>
          <w:color w:val="000000" w:themeColor="text1"/>
        </w:rPr>
        <w:t>重复或遗漏，</w:t>
      </w:r>
      <w:r w:rsidRPr="00CB4B9E">
        <w:rPr>
          <w:rFonts w:ascii="宋体" w:hAnsi="宋体" w:hint="eastAsia"/>
          <w:color w:val="000000" w:themeColor="text1"/>
        </w:rPr>
        <w:t>各申报主体在报送以自身名义、代理客户、作为资产管理人或托管人发生或掌握的国际收支交易流量和对外金融资产负债存量时，应按照以下顺序确定申报范围</w:t>
      </w:r>
      <w:r w:rsidRPr="00CB4B9E">
        <w:rPr>
          <w:rFonts w:ascii="宋体" w:hAnsi="宋体"/>
          <w:color w:val="000000" w:themeColor="text1"/>
        </w:rPr>
        <w:t>：一是有境内托管人的，由境内托管人负责</w:t>
      </w:r>
      <w:r w:rsidRPr="00CB4B9E">
        <w:rPr>
          <w:rFonts w:ascii="宋体" w:hAnsi="宋体" w:hint="eastAsia"/>
          <w:color w:val="000000" w:themeColor="text1"/>
        </w:rPr>
        <w:t>代为报送</w:t>
      </w:r>
      <w:r w:rsidRPr="00CB4B9E">
        <w:rPr>
          <w:rFonts w:ascii="宋体" w:hAnsi="宋体"/>
          <w:color w:val="000000" w:themeColor="text1"/>
        </w:rPr>
        <w:t>相关数据,委托人不</w:t>
      </w:r>
      <w:r w:rsidRPr="00CB4B9E">
        <w:rPr>
          <w:rFonts w:ascii="宋体" w:hAnsi="宋体" w:hint="eastAsia"/>
          <w:color w:val="000000" w:themeColor="text1"/>
        </w:rPr>
        <w:t>重复申报</w:t>
      </w:r>
      <w:r w:rsidRPr="00CB4B9E">
        <w:rPr>
          <w:rFonts w:ascii="宋体" w:hAnsi="宋体"/>
          <w:color w:val="000000" w:themeColor="text1"/>
        </w:rPr>
        <w:t>；二是无境内托管人，但相关对外业务由境内代理人以本机构名义投资</w:t>
      </w:r>
      <w:r w:rsidRPr="00CB4B9E">
        <w:rPr>
          <w:rFonts w:ascii="宋体" w:hAnsi="宋体" w:hint="eastAsia"/>
          <w:color w:val="000000" w:themeColor="text1"/>
        </w:rPr>
        <w:t>或由管理人以相关产品名义投资</w:t>
      </w:r>
      <w:r w:rsidRPr="00CB4B9E">
        <w:rPr>
          <w:rFonts w:ascii="宋体" w:hAnsi="宋体"/>
          <w:color w:val="000000" w:themeColor="text1"/>
        </w:rPr>
        <w:t>的，由其境内代理人</w:t>
      </w:r>
      <w:r w:rsidRPr="00CB4B9E">
        <w:rPr>
          <w:rFonts w:ascii="宋体" w:hAnsi="宋体" w:hint="eastAsia"/>
          <w:color w:val="000000" w:themeColor="text1"/>
        </w:rPr>
        <w:t>或管理人</w:t>
      </w:r>
      <w:r w:rsidRPr="00CB4B9E">
        <w:rPr>
          <w:rFonts w:ascii="宋体" w:hAnsi="宋体"/>
          <w:color w:val="000000" w:themeColor="text1"/>
        </w:rPr>
        <w:t>代为报送</w:t>
      </w:r>
      <w:r w:rsidRPr="00CB4B9E">
        <w:rPr>
          <w:rFonts w:ascii="宋体" w:hAnsi="宋体" w:hint="eastAsia"/>
          <w:color w:val="000000" w:themeColor="text1"/>
        </w:rPr>
        <w:t>，被代理人或委托人不重复申报</w:t>
      </w:r>
      <w:r w:rsidRPr="00CB4B9E">
        <w:rPr>
          <w:rFonts w:ascii="宋体" w:hAnsi="宋体"/>
          <w:color w:val="000000" w:themeColor="text1"/>
        </w:rPr>
        <w:t>；三是既无境内托管人，也无境内代理人</w:t>
      </w:r>
      <w:r w:rsidRPr="00CB4B9E">
        <w:rPr>
          <w:rFonts w:ascii="宋体" w:hAnsi="宋体" w:hint="eastAsia"/>
          <w:color w:val="000000" w:themeColor="text1"/>
        </w:rPr>
        <w:t>或管理人</w:t>
      </w:r>
      <w:r w:rsidRPr="00CB4B9E">
        <w:rPr>
          <w:rFonts w:ascii="宋体" w:hAnsi="宋体"/>
          <w:color w:val="000000" w:themeColor="text1"/>
        </w:rPr>
        <w:t>的，相关境内机构应报送以自身名义投资的部分，包括以自身名义持有，但使用客户资金对外投资的部分。</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（八）本制度为月度统计，采用零报送制度。各申报主体应于月后</w:t>
      </w:r>
      <w:r w:rsidRPr="00CB4B9E">
        <w:rPr>
          <w:rFonts w:ascii="宋体" w:hAnsi="宋体"/>
          <w:color w:val="000000" w:themeColor="text1"/>
        </w:rPr>
        <w:t>10</w:t>
      </w:r>
      <w:r w:rsidRPr="00CB4B9E">
        <w:rPr>
          <w:rFonts w:ascii="宋体" w:hAnsi="宋体" w:hint="eastAsia"/>
          <w:color w:val="000000" w:themeColor="text1"/>
        </w:rPr>
        <w:t>日内通过国家外汇管理局指定数据平台报送各项数据，除国家外汇管理局另行通知外，遇节假日不顺延。</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（九）各申报主体应及时、准确、完整地报送数据，并妥善保存原始明细数据，以便于外汇局对数据进行现场和非现场核查。</w:t>
      </w:r>
    </w:p>
    <w:p w:rsidR="00000000" w:rsidRDefault="00CB4B9E" w:rsidP="00D1396C">
      <w:pPr>
        <w:spacing w:beforeLines="50" w:afterLines="50"/>
        <w:ind w:firstLineChars="200" w:firstLine="420"/>
        <w:rPr>
          <w:rFonts w:ascii="宋体" w:hAnsi="宋体"/>
          <w:color w:val="000000" w:themeColor="text1"/>
        </w:rPr>
      </w:pPr>
      <w:r w:rsidRPr="00CB4B9E">
        <w:rPr>
          <w:rFonts w:ascii="宋体" w:hAnsi="宋体" w:hint="eastAsia"/>
          <w:color w:val="000000" w:themeColor="text1"/>
        </w:rPr>
        <w:t>国家外汇管理局负责对在京全国性银行、全国社会保障基金理事会、中国投资有限责任公司、中央国债登记结算有限责任公司、中国证券登记结算有限公司、银行间市场清算所股份有限公司、银行卡组织、丝路基金有限责任公司、中拉产能合作投资基金有限责任公司和中非产能合作基金有限责任公司报送的数据进行核查，国家外汇管理局各分局、外汇管理部负责对辖内其他申报主体报送的数据进行核查。</w:t>
      </w:r>
    </w:p>
    <w:p w:rsidR="00000000" w:rsidRDefault="00CB4B9E" w:rsidP="00D1396C">
      <w:pPr>
        <w:spacing w:beforeLines="50" w:afterLines="50"/>
        <w:ind w:firstLineChars="200" w:firstLine="420"/>
        <w:rPr>
          <w:color w:val="000000" w:themeColor="text1"/>
        </w:rPr>
      </w:pPr>
      <w:r w:rsidRPr="00CB4B9E">
        <w:rPr>
          <w:rFonts w:hint="eastAsia"/>
          <w:color w:val="000000" w:themeColor="text1"/>
        </w:rPr>
        <w:t>（十）本制度自</w:t>
      </w:r>
      <w:r w:rsidRPr="00CB4B9E">
        <w:rPr>
          <w:color w:val="000000" w:themeColor="text1"/>
        </w:rPr>
        <w:t>2016</w:t>
      </w:r>
      <w:r w:rsidRPr="00CB4B9E">
        <w:rPr>
          <w:rFonts w:hint="eastAsia"/>
          <w:color w:val="000000" w:themeColor="text1"/>
        </w:rPr>
        <w:t>年</w:t>
      </w:r>
      <w:r w:rsidRPr="00CB4B9E">
        <w:rPr>
          <w:color w:val="000000" w:themeColor="text1"/>
        </w:rPr>
        <w:t>9</w:t>
      </w:r>
      <w:r w:rsidRPr="00CB4B9E">
        <w:rPr>
          <w:rFonts w:hint="eastAsia"/>
          <w:color w:val="000000" w:themeColor="text1"/>
        </w:rPr>
        <w:t>月</w:t>
      </w:r>
      <w:r w:rsidRPr="00CB4B9E">
        <w:rPr>
          <w:color w:val="000000" w:themeColor="text1"/>
        </w:rPr>
        <w:t>1</w:t>
      </w:r>
      <w:r w:rsidRPr="00CB4B9E">
        <w:rPr>
          <w:rFonts w:hint="eastAsia"/>
          <w:color w:val="000000" w:themeColor="text1"/>
        </w:rPr>
        <w:t>日起施行。</w:t>
      </w:r>
    </w:p>
    <w:p w:rsidR="00000000" w:rsidRDefault="00CB4B9E" w:rsidP="00D1396C">
      <w:pPr>
        <w:spacing w:beforeLines="50" w:afterLines="50"/>
        <w:ind w:firstLineChars="200" w:firstLine="420"/>
        <w:rPr>
          <w:color w:val="000000" w:themeColor="text1"/>
        </w:rPr>
      </w:pPr>
      <w:r w:rsidRPr="00CB4B9E">
        <w:rPr>
          <w:rFonts w:hint="eastAsia"/>
          <w:color w:val="000000" w:themeColor="text1"/>
        </w:rPr>
        <w:t>（十一）本制度数据用于编制国际收支平衡表和国际投资头寸表。发布数据均为汇总数据，发布方式为电子形式。发布渠道为国家外汇管理局官网（</w:t>
      </w:r>
      <w:r w:rsidRPr="00CB4B9E">
        <w:rPr>
          <w:color w:val="000000" w:themeColor="text1"/>
        </w:rPr>
        <w:t>www.safe.gov.cn</w:t>
      </w:r>
      <w:r w:rsidRPr="00CB4B9E">
        <w:rPr>
          <w:rFonts w:hint="eastAsia"/>
          <w:color w:val="000000" w:themeColor="text1"/>
        </w:rPr>
        <w:t>）。发布时间预告表可登录官网查询。</w:t>
      </w:r>
    </w:p>
    <w:p w:rsidR="00000000" w:rsidRDefault="00CB4B9E" w:rsidP="00D1396C">
      <w:pPr>
        <w:spacing w:beforeLines="50" w:afterLines="50"/>
        <w:ind w:firstLineChars="200" w:firstLine="420"/>
        <w:rPr>
          <w:color w:val="000000" w:themeColor="text1"/>
        </w:rPr>
      </w:pPr>
      <w:r w:rsidRPr="00CB4B9E">
        <w:rPr>
          <w:rFonts w:hint="eastAsia"/>
          <w:color w:val="000000" w:themeColor="text1"/>
        </w:rPr>
        <w:t>（十二）国家外汇管理局可在法规允许范围内与有需求的相关部委共享数据。</w:t>
      </w:r>
    </w:p>
    <w:p w:rsidR="00000000" w:rsidRDefault="00C97103" w:rsidP="00D1396C">
      <w:pPr>
        <w:spacing w:beforeLines="50" w:afterLines="50"/>
        <w:rPr>
          <w:color w:val="000000" w:themeColor="text1"/>
        </w:rPr>
      </w:pPr>
    </w:p>
    <w:p w:rsidR="00000000" w:rsidRDefault="00CB4B9E" w:rsidP="00D1396C">
      <w:pPr>
        <w:spacing w:beforeLines="50" w:afterLines="50"/>
        <w:rPr>
          <w:color w:val="000000" w:themeColor="text1"/>
        </w:rPr>
      </w:pPr>
      <w:r w:rsidRPr="00CB4B9E">
        <w:rPr>
          <w:color w:val="000000" w:themeColor="text1"/>
        </w:rPr>
        <w:br w:type="page"/>
      </w:r>
    </w:p>
    <w:p w:rsidR="00A92645" w:rsidRPr="009263D7" w:rsidRDefault="00A92645" w:rsidP="000C3B63">
      <w:pPr>
        <w:rPr>
          <w:rFonts w:ascii="黑体" w:eastAsia="黑体"/>
          <w:color w:val="000000" w:themeColor="text1"/>
          <w:sz w:val="24"/>
        </w:rPr>
      </w:pPr>
    </w:p>
    <w:p w:rsidR="000C3B63" w:rsidRPr="009263D7" w:rsidRDefault="00CB4B9E" w:rsidP="00DA00CD">
      <w:pPr>
        <w:pStyle w:val="10"/>
        <w:rPr>
          <w:rFonts w:eastAsia="黑体"/>
          <w:color w:val="000000" w:themeColor="text1"/>
          <w:sz w:val="32"/>
        </w:rPr>
      </w:pPr>
      <w:bookmarkStart w:id="2" w:name="_Toc340494459"/>
      <w:bookmarkStart w:id="3" w:name="_Toc452017117"/>
      <w:r w:rsidRPr="00CB4B9E">
        <w:rPr>
          <w:rFonts w:eastAsia="黑体" w:hint="eastAsia"/>
          <w:color w:val="000000" w:themeColor="text1"/>
          <w:sz w:val="32"/>
        </w:rPr>
        <w:t>二、报</w:t>
      </w:r>
      <w:r w:rsidRPr="00CB4B9E">
        <w:rPr>
          <w:rFonts w:eastAsia="黑体"/>
          <w:color w:val="000000" w:themeColor="text1"/>
          <w:sz w:val="32"/>
        </w:rPr>
        <w:t xml:space="preserve"> </w:t>
      </w:r>
      <w:r w:rsidRPr="00CB4B9E">
        <w:rPr>
          <w:rFonts w:eastAsia="黑体" w:hint="eastAsia"/>
          <w:color w:val="000000" w:themeColor="text1"/>
          <w:sz w:val="32"/>
        </w:rPr>
        <w:t>表</w:t>
      </w:r>
      <w:r w:rsidRPr="00CB4B9E">
        <w:rPr>
          <w:rFonts w:eastAsia="黑体"/>
          <w:color w:val="000000" w:themeColor="text1"/>
          <w:sz w:val="32"/>
        </w:rPr>
        <w:t xml:space="preserve"> </w:t>
      </w:r>
      <w:r w:rsidRPr="00CB4B9E">
        <w:rPr>
          <w:rFonts w:eastAsia="黑体" w:hint="eastAsia"/>
          <w:color w:val="000000" w:themeColor="text1"/>
          <w:sz w:val="32"/>
        </w:rPr>
        <w:t>目</w:t>
      </w:r>
      <w:r w:rsidRPr="00CB4B9E">
        <w:rPr>
          <w:rFonts w:eastAsia="黑体"/>
          <w:color w:val="000000" w:themeColor="text1"/>
          <w:sz w:val="32"/>
        </w:rPr>
        <w:t xml:space="preserve"> </w:t>
      </w:r>
      <w:r w:rsidRPr="00CB4B9E">
        <w:rPr>
          <w:rFonts w:eastAsia="黑体" w:hint="eastAsia"/>
          <w:color w:val="000000" w:themeColor="text1"/>
          <w:sz w:val="32"/>
        </w:rPr>
        <w:t>录</w:t>
      </w:r>
      <w:bookmarkEnd w:id="2"/>
      <w:bookmarkEnd w:id="3"/>
    </w:p>
    <w:p w:rsidR="0077413B" w:rsidRPr="009263D7" w:rsidRDefault="0077413B" w:rsidP="0077413B">
      <w:pPr>
        <w:rPr>
          <w:color w:val="000000" w:themeColor="text1"/>
        </w:rPr>
      </w:pPr>
    </w:p>
    <w:tbl>
      <w:tblPr>
        <w:tblW w:w="9720" w:type="dxa"/>
        <w:tblInd w:w="108" w:type="dxa"/>
        <w:tblBorders>
          <w:top w:val="single" w:sz="4" w:space="0" w:color="auto"/>
          <w:bottom w:val="single" w:sz="4" w:space="0" w:color="auto"/>
        </w:tblBorders>
        <w:tblLayout w:type="fixed"/>
        <w:tblLook w:val="0000"/>
      </w:tblPr>
      <w:tblGrid>
        <w:gridCol w:w="709"/>
        <w:gridCol w:w="1701"/>
        <w:gridCol w:w="709"/>
        <w:gridCol w:w="2268"/>
        <w:gridCol w:w="1843"/>
        <w:gridCol w:w="992"/>
        <w:gridCol w:w="709"/>
        <w:gridCol w:w="789"/>
      </w:tblGrid>
      <w:tr w:rsidR="00B6109B" w:rsidRPr="009263D7">
        <w:trPr>
          <w:trHeight w:val="800"/>
        </w:trPr>
        <w:tc>
          <w:tcPr>
            <w:tcW w:w="709" w:type="dxa"/>
            <w:tcBorders>
              <w:top w:val="single" w:sz="8" w:space="0" w:color="auto"/>
              <w:left w:val="nil"/>
              <w:bottom w:val="single" w:sz="2" w:space="0" w:color="auto"/>
              <w:right w:val="single" w:sz="2" w:space="0" w:color="auto"/>
            </w:tcBorders>
            <w:vAlign w:val="center"/>
          </w:tcPr>
          <w:p w:rsidR="00B6109B" w:rsidRPr="009263D7" w:rsidRDefault="00CB4B9E" w:rsidP="00103D28">
            <w:pPr>
              <w:jc w:val="center"/>
              <w:rPr>
                <w:color w:val="000000" w:themeColor="text1"/>
                <w:sz w:val="18"/>
                <w:szCs w:val="20"/>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p>
        </w:tc>
        <w:tc>
          <w:tcPr>
            <w:tcW w:w="1701" w:type="dxa"/>
            <w:tcBorders>
              <w:top w:val="single" w:sz="8" w:space="0" w:color="auto"/>
              <w:left w:val="single" w:sz="2" w:space="0" w:color="auto"/>
              <w:bottom w:val="single" w:sz="2" w:space="0" w:color="auto"/>
              <w:right w:val="single" w:sz="2" w:space="0" w:color="auto"/>
            </w:tcBorders>
            <w:vAlign w:val="center"/>
          </w:tcPr>
          <w:p w:rsidR="00B6109B" w:rsidRPr="009263D7" w:rsidRDefault="00CB4B9E" w:rsidP="00103D28">
            <w:pPr>
              <w:jc w:val="center"/>
              <w:rPr>
                <w:color w:val="000000" w:themeColor="text1"/>
                <w:sz w:val="18"/>
                <w:szCs w:val="20"/>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名</w:t>
            </w:r>
          </w:p>
        </w:tc>
        <w:tc>
          <w:tcPr>
            <w:tcW w:w="709" w:type="dxa"/>
            <w:tcBorders>
              <w:top w:val="single" w:sz="8" w:space="0" w:color="auto"/>
              <w:left w:val="single" w:sz="2" w:space="0" w:color="auto"/>
              <w:bottom w:val="single" w:sz="2" w:space="0" w:color="auto"/>
              <w:right w:val="single" w:sz="2" w:space="0" w:color="auto"/>
            </w:tcBorders>
            <w:vAlign w:val="center"/>
          </w:tcPr>
          <w:p w:rsidR="00B6109B" w:rsidRPr="009263D7" w:rsidRDefault="00CB4B9E" w:rsidP="00103D28">
            <w:pPr>
              <w:jc w:val="center"/>
              <w:rPr>
                <w:color w:val="000000" w:themeColor="text1"/>
                <w:sz w:val="18"/>
                <w:szCs w:val="20"/>
              </w:rPr>
            </w:pPr>
            <w:r w:rsidRPr="00CB4B9E">
              <w:rPr>
                <w:rFonts w:hint="eastAsia"/>
                <w:color w:val="000000" w:themeColor="text1"/>
                <w:sz w:val="18"/>
              </w:rPr>
              <w:t>报告期别</w:t>
            </w:r>
          </w:p>
        </w:tc>
        <w:tc>
          <w:tcPr>
            <w:tcW w:w="2268" w:type="dxa"/>
            <w:tcBorders>
              <w:top w:val="single" w:sz="8" w:space="0" w:color="auto"/>
              <w:left w:val="single" w:sz="2" w:space="0" w:color="auto"/>
              <w:bottom w:val="single" w:sz="2" w:space="0" w:color="auto"/>
              <w:right w:val="single" w:sz="2" w:space="0" w:color="auto"/>
            </w:tcBorders>
            <w:vAlign w:val="center"/>
          </w:tcPr>
          <w:p w:rsidR="00B6109B" w:rsidRPr="009263D7" w:rsidRDefault="00CB4B9E" w:rsidP="00D15641">
            <w:pPr>
              <w:jc w:val="center"/>
              <w:rPr>
                <w:color w:val="000000" w:themeColor="text1"/>
                <w:sz w:val="18"/>
                <w:szCs w:val="20"/>
              </w:rPr>
            </w:pPr>
            <w:r w:rsidRPr="00CB4B9E">
              <w:rPr>
                <w:rFonts w:hint="eastAsia"/>
                <w:color w:val="000000" w:themeColor="text1"/>
                <w:sz w:val="18"/>
              </w:rPr>
              <w:t>统计内容</w:t>
            </w:r>
          </w:p>
        </w:tc>
        <w:tc>
          <w:tcPr>
            <w:tcW w:w="1843" w:type="dxa"/>
            <w:tcBorders>
              <w:top w:val="single" w:sz="8" w:space="0" w:color="auto"/>
              <w:left w:val="single" w:sz="2" w:space="0" w:color="auto"/>
              <w:bottom w:val="single" w:sz="2" w:space="0" w:color="auto"/>
              <w:right w:val="single" w:sz="2" w:space="0" w:color="auto"/>
            </w:tcBorders>
            <w:vAlign w:val="center"/>
          </w:tcPr>
          <w:p w:rsidR="00B6109B" w:rsidRPr="009263D7" w:rsidRDefault="00CB4B9E" w:rsidP="00103D28">
            <w:pPr>
              <w:jc w:val="center"/>
              <w:rPr>
                <w:color w:val="000000" w:themeColor="text1"/>
                <w:sz w:val="18"/>
                <w:szCs w:val="20"/>
              </w:rPr>
            </w:pPr>
            <w:r w:rsidRPr="00CB4B9E">
              <w:rPr>
                <w:rFonts w:hint="eastAsia"/>
                <w:color w:val="000000" w:themeColor="text1"/>
                <w:sz w:val="18"/>
              </w:rPr>
              <w:t>统计范围</w:t>
            </w:r>
            <w:r w:rsidRPr="00CB4B9E">
              <w:rPr>
                <w:color w:val="000000" w:themeColor="text1"/>
                <w:sz w:val="18"/>
              </w:rPr>
              <w:t>(</w:t>
            </w:r>
            <w:r w:rsidRPr="00CB4B9E">
              <w:rPr>
                <w:rFonts w:hint="eastAsia"/>
                <w:color w:val="000000" w:themeColor="text1"/>
                <w:sz w:val="18"/>
              </w:rPr>
              <w:t>填报主体</w:t>
            </w:r>
            <w:r w:rsidRPr="00CB4B9E">
              <w:rPr>
                <w:color w:val="000000" w:themeColor="text1"/>
                <w:sz w:val="18"/>
              </w:rPr>
              <w:t>)</w:t>
            </w:r>
          </w:p>
        </w:tc>
        <w:tc>
          <w:tcPr>
            <w:tcW w:w="992" w:type="dxa"/>
            <w:tcBorders>
              <w:top w:val="single" w:sz="8" w:space="0" w:color="auto"/>
              <w:left w:val="single" w:sz="2" w:space="0" w:color="auto"/>
              <w:bottom w:val="single" w:sz="2" w:space="0" w:color="auto"/>
              <w:right w:val="single" w:sz="2" w:space="0" w:color="auto"/>
            </w:tcBorders>
            <w:vAlign w:val="center"/>
          </w:tcPr>
          <w:p w:rsidR="00B6109B" w:rsidRPr="009263D7" w:rsidRDefault="00CB4B9E" w:rsidP="00103D28">
            <w:pPr>
              <w:jc w:val="center"/>
              <w:rPr>
                <w:color w:val="000000" w:themeColor="text1"/>
                <w:sz w:val="18"/>
                <w:szCs w:val="20"/>
              </w:rPr>
            </w:pPr>
            <w:r w:rsidRPr="00CB4B9E">
              <w:rPr>
                <w:rFonts w:hint="eastAsia"/>
                <w:color w:val="000000" w:themeColor="text1"/>
                <w:sz w:val="18"/>
              </w:rPr>
              <w:t>报送日期及方式</w:t>
            </w:r>
          </w:p>
        </w:tc>
        <w:tc>
          <w:tcPr>
            <w:tcW w:w="709" w:type="dxa"/>
            <w:tcBorders>
              <w:top w:val="single" w:sz="8" w:space="0" w:color="auto"/>
              <w:left w:val="single" w:sz="2" w:space="0" w:color="auto"/>
              <w:bottom w:val="single" w:sz="2" w:space="0" w:color="auto"/>
              <w:right w:val="single" w:sz="2" w:space="0" w:color="auto"/>
            </w:tcBorders>
            <w:vAlign w:val="center"/>
          </w:tcPr>
          <w:p w:rsidR="00B6109B" w:rsidRPr="009263D7" w:rsidRDefault="00CB4B9E" w:rsidP="00103D28">
            <w:pPr>
              <w:jc w:val="center"/>
              <w:rPr>
                <w:color w:val="000000" w:themeColor="text1"/>
                <w:sz w:val="18"/>
                <w:szCs w:val="20"/>
              </w:rPr>
            </w:pPr>
            <w:r w:rsidRPr="00CB4B9E">
              <w:rPr>
                <w:rFonts w:hint="eastAsia"/>
                <w:color w:val="000000" w:themeColor="text1"/>
                <w:sz w:val="18"/>
              </w:rPr>
              <w:t>报表页码</w:t>
            </w:r>
          </w:p>
        </w:tc>
        <w:tc>
          <w:tcPr>
            <w:tcW w:w="789" w:type="dxa"/>
            <w:tcBorders>
              <w:top w:val="single" w:sz="8" w:space="0" w:color="auto"/>
              <w:left w:val="single" w:sz="2" w:space="0" w:color="auto"/>
              <w:bottom w:val="single" w:sz="2" w:space="0" w:color="auto"/>
              <w:right w:val="nil"/>
            </w:tcBorders>
            <w:vAlign w:val="center"/>
          </w:tcPr>
          <w:p w:rsidR="00B6109B" w:rsidRPr="009263D7" w:rsidRDefault="00CB4B9E" w:rsidP="00103D28">
            <w:pPr>
              <w:rPr>
                <w:color w:val="000000" w:themeColor="text1"/>
                <w:sz w:val="18"/>
                <w:szCs w:val="20"/>
              </w:rPr>
            </w:pPr>
            <w:r w:rsidRPr="00CB4B9E">
              <w:rPr>
                <w:rFonts w:hint="eastAsia"/>
                <w:color w:val="000000" w:themeColor="text1"/>
                <w:sz w:val="18"/>
              </w:rPr>
              <w:t>指标解释页码</w:t>
            </w:r>
          </w:p>
        </w:tc>
      </w:tr>
      <w:tr w:rsidR="00AA548D" w:rsidRPr="009263D7">
        <w:trPr>
          <w:trHeight w:val="445"/>
        </w:trPr>
        <w:tc>
          <w:tcPr>
            <w:tcW w:w="9720" w:type="dxa"/>
            <w:gridSpan w:val="8"/>
            <w:tcBorders>
              <w:top w:val="single" w:sz="2" w:space="0" w:color="auto"/>
              <w:left w:val="nil"/>
              <w:bottom w:val="single" w:sz="2" w:space="0" w:color="auto"/>
              <w:right w:val="nil"/>
            </w:tcBorders>
            <w:vAlign w:val="center"/>
          </w:tcPr>
          <w:p w:rsidR="00AA548D" w:rsidRPr="009263D7" w:rsidRDefault="00CB4B9E" w:rsidP="00114507">
            <w:pPr>
              <w:spacing w:line="190" w:lineRule="exact"/>
              <w:rPr>
                <w:rFonts w:ascii="宋体" w:hAnsi="宋体"/>
                <w:color w:val="000000" w:themeColor="text1"/>
                <w:sz w:val="18"/>
              </w:rPr>
            </w:pPr>
            <w:r w:rsidRPr="00CB4B9E">
              <w:rPr>
                <w:rFonts w:ascii="宋体" w:hAnsi="宋体" w:hint="eastAsia"/>
                <w:color w:val="000000" w:themeColor="text1"/>
                <w:sz w:val="18"/>
              </w:rPr>
              <w:t>（一）填报单位基本信息</w:t>
            </w:r>
          </w:p>
        </w:tc>
      </w:tr>
      <w:tr w:rsidR="009342F2" w:rsidRPr="009263D7" w:rsidTr="00D15641">
        <w:trPr>
          <w:trHeight w:val="1572"/>
        </w:trPr>
        <w:tc>
          <w:tcPr>
            <w:tcW w:w="709" w:type="dxa"/>
            <w:tcBorders>
              <w:top w:val="single" w:sz="2" w:space="0" w:color="auto"/>
              <w:left w:val="nil"/>
              <w:bottom w:val="single" w:sz="2" w:space="0" w:color="auto"/>
              <w:right w:val="single" w:sz="2" w:space="0" w:color="auto"/>
            </w:tcBorders>
            <w:vAlign w:val="center"/>
          </w:tcPr>
          <w:p w:rsidR="009342F2" w:rsidRPr="009263D7" w:rsidRDefault="00CB4B9E" w:rsidP="00103D28">
            <w:pPr>
              <w:jc w:val="center"/>
              <w:rPr>
                <w:color w:val="000000" w:themeColor="text1"/>
                <w:sz w:val="18"/>
              </w:rPr>
            </w:pPr>
            <w:r w:rsidRPr="00CB4B9E">
              <w:rPr>
                <w:color w:val="000000" w:themeColor="text1"/>
                <w:sz w:val="18"/>
              </w:rPr>
              <w:t>Z01</w:t>
            </w:r>
            <w:r w:rsidRPr="00CB4B9E">
              <w:rPr>
                <w:rFonts w:hint="eastAsia"/>
                <w:color w:val="000000" w:themeColor="text1"/>
                <w:sz w:val="18"/>
              </w:rPr>
              <w:t>表</w:t>
            </w:r>
          </w:p>
        </w:tc>
        <w:tc>
          <w:tcPr>
            <w:tcW w:w="1701" w:type="dxa"/>
            <w:tcBorders>
              <w:top w:val="single" w:sz="2" w:space="0" w:color="auto"/>
              <w:left w:val="single" w:sz="2" w:space="0" w:color="auto"/>
              <w:bottom w:val="single" w:sz="2" w:space="0" w:color="auto"/>
              <w:right w:val="single" w:sz="2" w:space="0" w:color="auto"/>
            </w:tcBorders>
            <w:vAlign w:val="center"/>
          </w:tcPr>
          <w:p w:rsidR="009342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填报单位基本信息</w:t>
            </w:r>
          </w:p>
        </w:tc>
        <w:tc>
          <w:tcPr>
            <w:tcW w:w="709" w:type="dxa"/>
            <w:tcBorders>
              <w:top w:val="single" w:sz="2" w:space="0" w:color="auto"/>
              <w:left w:val="single" w:sz="2" w:space="0" w:color="auto"/>
              <w:bottom w:val="single" w:sz="2" w:space="0" w:color="auto"/>
              <w:right w:val="single" w:sz="2" w:space="0" w:color="auto"/>
            </w:tcBorders>
            <w:vAlign w:val="center"/>
          </w:tcPr>
          <w:p w:rsidR="009342F2" w:rsidRPr="009263D7" w:rsidRDefault="00CB4B9E" w:rsidP="00103D28">
            <w:pPr>
              <w:jc w:val="center"/>
              <w:rPr>
                <w:color w:val="000000" w:themeColor="text1"/>
                <w:sz w:val="18"/>
              </w:rPr>
            </w:pPr>
            <w:r w:rsidRPr="00CB4B9E">
              <w:rPr>
                <w:rFonts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9342F2" w:rsidRPr="009263D7" w:rsidRDefault="00CB4B9E" w:rsidP="00AA4A93">
            <w:pPr>
              <w:pStyle w:val="xl28"/>
              <w:widowControl w:val="0"/>
              <w:pBdr>
                <w:right w:val="none" w:sz="0" w:space="0" w:color="auto"/>
              </w:pBdr>
              <w:spacing w:before="0" w:beforeAutospacing="0" w:after="0" w:afterAutospacing="0" w:line="190" w:lineRule="exact"/>
              <w:jc w:val="center"/>
              <w:textAlignment w:val="auto"/>
              <w:rPr>
                <w:rFonts w:ascii="宋体" w:hAnsi="宋体"/>
                <w:color w:val="000000" w:themeColor="text1"/>
              </w:rPr>
            </w:pPr>
            <w:r w:rsidRPr="00CB4B9E">
              <w:rPr>
                <w:rFonts w:ascii="宋体" w:eastAsia="宋体" w:hAnsi="宋体" w:hint="eastAsia"/>
                <w:color w:val="000000" w:themeColor="text1"/>
                <w:kern w:val="2"/>
              </w:rPr>
              <w:t>填报单位基本情况</w:t>
            </w:r>
          </w:p>
        </w:tc>
        <w:tc>
          <w:tcPr>
            <w:tcW w:w="1843" w:type="dxa"/>
            <w:tcBorders>
              <w:top w:val="single" w:sz="2" w:space="0" w:color="auto"/>
              <w:left w:val="single" w:sz="2" w:space="0" w:color="auto"/>
              <w:bottom w:val="single" w:sz="2" w:space="0" w:color="auto"/>
              <w:right w:val="single" w:sz="2" w:space="0" w:color="auto"/>
            </w:tcBorders>
            <w:vAlign w:val="center"/>
          </w:tcPr>
          <w:p w:rsidR="009342F2" w:rsidRPr="009263D7" w:rsidRDefault="00CB4B9E" w:rsidP="00187657">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2" w:space="0" w:color="auto"/>
            </w:tcBorders>
            <w:vAlign w:val="center"/>
          </w:tcPr>
          <w:p w:rsidR="009342F2" w:rsidRPr="009263D7" w:rsidRDefault="00CB4B9E" w:rsidP="00341B3B">
            <w:pPr>
              <w:jc w:val="center"/>
              <w:rPr>
                <w:color w:val="000000" w:themeColor="text1"/>
                <w:sz w:val="18"/>
                <w:szCs w:val="18"/>
              </w:rPr>
            </w:pPr>
            <w:r w:rsidRPr="00CB4B9E">
              <w:rPr>
                <w:rFonts w:ascii="宋体" w:hAnsi="宋体" w:hint="eastAsia"/>
                <w:color w:val="000000" w:themeColor="text1"/>
                <w:sz w:val="18"/>
                <w:szCs w:val="18"/>
              </w:rPr>
              <w:t>月后</w:t>
            </w:r>
            <w:r w:rsidRPr="00CB4B9E">
              <w:rPr>
                <w:rFonts w:ascii="宋体" w:hAnsi="宋体"/>
                <w:color w:val="000000" w:themeColor="text1"/>
                <w:sz w:val="18"/>
                <w:szCs w:val="18"/>
              </w:rPr>
              <w:t>10日内网络报送</w:t>
            </w:r>
          </w:p>
        </w:tc>
        <w:tc>
          <w:tcPr>
            <w:tcW w:w="709" w:type="dxa"/>
            <w:tcBorders>
              <w:top w:val="single" w:sz="2" w:space="0" w:color="auto"/>
              <w:left w:val="single" w:sz="2" w:space="0" w:color="auto"/>
              <w:bottom w:val="single" w:sz="2" w:space="0" w:color="auto"/>
              <w:right w:val="single" w:sz="2" w:space="0" w:color="auto"/>
            </w:tcBorders>
            <w:vAlign w:val="center"/>
          </w:tcPr>
          <w:p w:rsidR="009342F2" w:rsidRPr="009263D7" w:rsidRDefault="00CB4B9E" w:rsidP="00575C92">
            <w:pPr>
              <w:jc w:val="center"/>
              <w:rPr>
                <w:rFonts w:ascii="宋体" w:hAnsi="宋体"/>
                <w:color w:val="000000" w:themeColor="text1"/>
                <w:sz w:val="18"/>
                <w:szCs w:val="18"/>
              </w:rPr>
            </w:pPr>
            <w:r w:rsidRPr="00CB4B9E">
              <w:rPr>
                <w:rFonts w:ascii="宋体" w:hAnsi="宋体"/>
                <w:color w:val="000000" w:themeColor="text1"/>
                <w:sz w:val="18"/>
              </w:rPr>
              <w:t>13</w:t>
            </w:r>
          </w:p>
        </w:tc>
        <w:tc>
          <w:tcPr>
            <w:tcW w:w="789" w:type="dxa"/>
            <w:tcBorders>
              <w:top w:val="single" w:sz="2" w:space="0" w:color="auto"/>
              <w:left w:val="single" w:sz="2" w:space="0" w:color="auto"/>
              <w:bottom w:val="single" w:sz="2" w:space="0" w:color="auto"/>
              <w:right w:val="nil"/>
            </w:tcBorders>
            <w:vAlign w:val="center"/>
          </w:tcPr>
          <w:p w:rsidR="009342F2" w:rsidRPr="009263D7" w:rsidRDefault="00CB4B9E" w:rsidP="00B3221E">
            <w:pPr>
              <w:jc w:val="center"/>
              <w:rPr>
                <w:rFonts w:ascii="宋体" w:hAnsi="宋体"/>
                <w:color w:val="000000" w:themeColor="text1"/>
                <w:sz w:val="18"/>
              </w:rPr>
            </w:pPr>
            <w:r w:rsidRPr="00CB4B9E">
              <w:rPr>
                <w:rFonts w:ascii="宋体" w:hAnsi="宋体"/>
                <w:color w:val="000000" w:themeColor="text1"/>
                <w:sz w:val="18"/>
              </w:rPr>
              <w:t>50</w:t>
            </w:r>
          </w:p>
        </w:tc>
      </w:tr>
      <w:tr w:rsidR="00FF78F2" w:rsidRPr="009263D7" w:rsidTr="00D15641">
        <w:trPr>
          <w:trHeight w:val="1572"/>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103D28">
            <w:pPr>
              <w:jc w:val="center"/>
              <w:rPr>
                <w:color w:val="000000" w:themeColor="text1"/>
                <w:sz w:val="18"/>
              </w:rPr>
            </w:pPr>
            <w:r w:rsidRPr="00CB4B9E">
              <w:rPr>
                <w:color w:val="000000" w:themeColor="text1"/>
                <w:sz w:val="18"/>
              </w:rPr>
              <w:t>Z02</w:t>
            </w:r>
            <w:r w:rsidRPr="00CB4B9E">
              <w:rPr>
                <w:rFonts w:hint="eastAsia"/>
                <w:color w:val="000000" w:themeColor="text1"/>
                <w:sz w:val="18"/>
              </w:rPr>
              <w:t>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业务概览及联系方式</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B4701F">
            <w:pPr>
              <w:jc w:val="center"/>
              <w:rPr>
                <w:color w:val="000000" w:themeColor="text1"/>
                <w:sz w:val="18"/>
              </w:rPr>
            </w:pPr>
            <w:r w:rsidRPr="00CB4B9E">
              <w:rPr>
                <w:rFonts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填报本机构是否有相关业务及相关报表联系人和联系方式</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582E13">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341B3B">
            <w:pPr>
              <w:jc w:val="center"/>
              <w:rPr>
                <w:rFonts w:ascii="宋体" w:hAnsi="宋体"/>
                <w:color w:val="000000" w:themeColor="text1"/>
                <w:sz w:val="18"/>
                <w:szCs w:val="18"/>
              </w:rPr>
            </w:pPr>
            <w:r w:rsidRPr="00CB4B9E">
              <w:rPr>
                <w:rFonts w:ascii="宋体" w:hAnsi="宋体" w:hint="eastAsia"/>
                <w:color w:val="000000" w:themeColor="text1"/>
                <w:sz w:val="18"/>
                <w:szCs w:val="18"/>
              </w:rPr>
              <w:t>月后</w:t>
            </w:r>
            <w:r w:rsidRPr="00CB4B9E">
              <w:rPr>
                <w:rFonts w:ascii="宋体" w:hAnsi="宋体"/>
                <w:color w:val="000000" w:themeColor="text1"/>
                <w:sz w:val="18"/>
                <w:szCs w:val="18"/>
              </w:rPr>
              <w:t>10日内网络报送</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575C92">
            <w:pPr>
              <w:jc w:val="center"/>
              <w:rPr>
                <w:rFonts w:ascii="宋体" w:hAnsi="宋体"/>
                <w:color w:val="000000" w:themeColor="text1"/>
                <w:sz w:val="18"/>
              </w:rPr>
            </w:pPr>
            <w:r w:rsidRPr="00CB4B9E">
              <w:rPr>
                <w:rFonts w:ascii="宋体" w:hAnsi="宋体"/>
                <w:color w:val="000000" w:themeColor="text1"/>
                <w:sz w:val="18"/>
              </w:rPr>
              <w:t>14</w:t>
            </w:r>
          </w:p>
        </w:tc>
        <w:tc>
          <w:tcPr>
            <w:tcW w:w="789" w:type="dxa"/>
            <w:tcBorders>
              <w:top w:val="single" w:sz="2" w:space="0" w:color="auto"/>
              <w:left w:val="single" w:sz="2" w:space="0" w:color="auto"/>
              <w:bottom w:val="single" w:sz="2" w:space="0" w:color="auto"/>
              <w:right w:val="nil"/>
            </w:tcBorders>
            <w:vAlign w:val="center"/>
          </w:tcPr>
          <w:p w:rsidR="00000000" w:rsidRDefault="00CB4B9E">
            <w:pPr>
              <w:jc w:val="center"/>
              <w:rPr>
                <w:rFonts w:ascii="宋体" w:hAnsi="宋体"/>
                <w:color w:val="000000" w:themeColor="text1"/>
                <w:sz w:val="18"/>
              </w:rPr>
            </w:pPr>
            <w:r w:rsidRPr="00CB4B9E">
              <w:rPr>
                <w:rFonts w:ascii="宋体" w:hAnsi="宋体"/>
                <w:color w:val="000000" w:themeColor="text1"/>
                <w:sz w:val="18"/>
              </w:rPr>
              <w:t>51</w:t>
            </w:r>
          </w:p>
        </w:tc>
      </w:tr>
      <w:tr w:rsidR="00FF78F2" w:rsidRPr="009263D7" w:rsidTr="00D15641">
        <w:trPr>
          <w:trHeight w:val="1572"/>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103D28">
            <w:pPr>
              <w:jc w:val="center"/>
              <w:rPr>
                <w:color w:val="000000" w:themeColor="text1"/>
                <w:sz w:val="18"/>
              </w:rPr>
            </w:pPr>
            <w:r w:rsidRPr="00CB4B9E">
              <w:rPr>
                <w:color w:val="000000" w:themeColor="text1"/>
                <w:sz w:val="18"/>
              </w:rPr>
              <w:t>Z03</w:t>
            </w:r>
            <w:r w:rsidRPr="00CB4B9E">
              <w:rPr>
                <w:rFonts w:hint="eastAsia"/>
                <w:color w:val="000000" w:themeColor="text1"/>
                <w:sz w:val="18"/>
              </w:rPr>
              <w:t>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投资关系（组织架构）</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B4701F">
            <w:pPr>
              <w:jc w:val="center"/>
              <w:rPr>
                <w:color w:val="000000" w:themeColor="text1"/>
                <w:sz w:val="18"/>
              </w:rPr>
            </w:pPr>
            <w:r w:rsidRPr="00CB4B9E">
              <w:rPr>
                <w:rFonts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填报向上</w:t>
            </w:r>
            <w:r w:rsidRPr="00CB4B9E">
              <w:rPr>
                <w:rFonts w:ascii="宋体" w:eastAsia="宋体" w:hAnsi="宋体"/>
                <w:color w:val="000000" w:themeColor="text1"/>
                <w:kern w:val="2"/>
              </w:rPr>
              <w:t>(投资者方向)和向下(被投资机构方向)，上级机构持有直接下级机构10%及以上表决权的情况</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341B3B">
            <w:pPr>
              <w:jc w:val="center"/>
              <w:rPr>
                <w:rFonts w:ascii="宋体" w:hAnsi="宋体"/>
                <w:color w:val="000000" w:themeColor="text1"/>
                <w:sz w:val="18"/>
                <w:szCs w:val="18"/>
              </w:rPr>
            </w:pPr>
            <w:r w:rsidRPr="00CB4B9E">
              <w:rPr>
                <w:rFonts w:ascii="宋体" w:hAnsi="宋体" w:hint="eastAsia"/>
                <w:color w:val="000000" w:themeColor="text1"/>
                <w:sz w:val="18"/>
                <w:szCs w:val="18"/>
              </w:rPr>
              <w:t>月后</w:t>
            </w:r>
            <w:r w:rsidRPr="00CB4B9E">
              <w:rPr>
                <w:rFonts w:ascii="宋体" w:hAnsi="宋体"/>
                <w:color w:val="000000" w:themeColor="text1"/>
                <w:sz w:val="18"/>
                <w:szCs w:val="18"/>
              </w:rPr>
              <w:t>10日内网络报送</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575C92">
            <w:pPr>
              <w:jc w:val="center"/>
              <w:rPr>
                <w:rFonts w:ascii="宋体" w:hAnsi="宋体"/>
                <w:color w:val="000000" w:themeColor="text1"/>
                <w:sz w:val="18"/>
              </w:rPr>
            </w:pPr>
            <w:r w:rsidRPr="00CB4B9E">
              <w:rPr>
                <w:rFonts w:ascii="宋体" w:hAnsi="宋体"/>
                <w:color w:val="000000" w:themeColor="text1"/>
                <w:sz w:val="18"/>
              </w:rPr>
              <w:t>15</w:t>
            </w:r>
          </w:p>
        </w:tc>
        <w:tc>
          <w:tcPr>
            <w:tcW w:w="789" w:type="dxa"/>
            <w:tcBorders>
              <w:top w:val="single" w:sz="2" w:space="0" w:color="auto"/>
              <w:left w:val="single" w:sz="2" w:space="0" w:color="auto"/>
              <w:bottom w:val="single" w:sz="2" w:space="0" w:color="auto"/>
              <w:right w:val="nil"/>
            </w:tcBorders>
            <w:vAlign w:val="center"/>
          </w:tcPr>
          <w:p w:rsidR="00000000" w:rsidRDefault="00CB4B9E">
            <w:pPr>
              <w:jc w:val="center"/>
              <w:rPr>
                <w:rFonts w:ascii="宋体" w:hAnsi="宋体"/>
                <w:color w:val="000000" w:themeColor="text1"/>
                <w:sz w:val="18"/>
              </w:rPr>
            </w:pPr>
            <w:r w:rsidRPr="00CB4B9E">
              <w:rPr>
                <w:rFonts w:ascii="宋体" w:hAnsi="宋体"/>
                <w:color w:val="000000" w:themeColor="text1"/>
                <w:sz w:val="18"/>
              </w:rPr>
              <w:t>51-52</w:t>
            </w:r>
          </w:p>
        </w:tc>
      </w:tr>
      <w:tr w:rsidR="009342F2" w:rsidRPr="009263D7">
        <w:trPr>
          <w:trHeight w:val="456"/>
        </w:trPr>
        <w:tc>
          <w:tcPr>
            <w:tcW w:w="9720" w:type="dxa"/>
            <w:gridSpan w:val="8"/>
            <w:tcBorders>
              <w:top w:val="single" w:sz="2" w:space="0" w:color="auto"/>
              <w:left w:val="nil"/>
              <w:bottom w:val="single" w:sz="2" w:space="0" w:color="auto"/>
              <w:right w:val="nil"/>
            </w:tcBorders>
            <w:vAlign w:val="center"/>
          </w:tcPr>
          <w:p w:rsidR="009342F2" w:rsidRPr="009263D7" w:rsidRDefault="00CB4B9E" w:rsidP="00454D1F">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（二）直接投资（</w:t>
            </w:r>
            <w:r w:rsidRPr="00CB4B9E">
              <w:rPr>
                <w:rFonts w:ascii="宋体" w:eastAsia="宋体" w:hAnsi="宋体"/>
                <w:color w:val="000000" w:themeColor="text1"/>
                <w:kern w:val="2"/>
              </w:rPr>
              <w:t>10%及以上股权）</w:t>
            </w:r>
          </w:p>
        </w:tc>
      </w:tr>
      <w:tr w:rsidR="00FF78F2" w:rsidRPr="009263D7" w:rsidTr="00D15641">
        <w:trPr>
          <w:trHeight w:val="1468"/>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4C48FD">
            <w:pPr>
              <w:spacing w:line="190" w:lineRule="exact"/>
              <w:jc w:val="center"/>
              <w:rPr>
                <w:rFonts w:ascii="宋体" w:hAnsi="宋体"/>
                <w:color w:val="000000" w:themeColor="text1"/>
                <w:sz w:val="18"/>
              </w:rPr>
            </w:pPr>
            <w:r w:rsidRPr="00CB4B9E">
              <w:rPr>
                <w:rFonts w:ascii="宋体" w:hAnsi="宋体"/>
                <w:color w:val="000000" w:themeColor="text1"/>
                <w:sz w:val="18"/>
              </w:rPr>
              <w:t>A01-1表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对外直接投资（资产负债、利润及市值）</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4C48FD">
            <w:pPr>
              <w:spacing w:line="190" w:lineRule="exact"/>
              <w:jc w:val="center"/>
              <w:rPr>
                <w:rFonts w:ascii="宋体" w:hAnsi="宋体"/>
                <w:color w:val="000000" w:themeColor="text1"/>
                <w:sz w:val="18"/>
              </w:rPr>
            </w:pPr>
            <w:r w:rsidRPr="00CB4B9E">
              <w:rPr>
                <w:rFonts w:ascii="宋体" w:hAnsi="宋体"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本机构持有表决权在</w:t>
            </w:r>
            <w:r w:rsidRPr="00CB4B9E">
              <w:rPr>
                <w:rFonts w:ascii="宋体" w:eastAsia="宋体" w:hAnsi="宋体"/>
                <w:color w:val="000000" w:themeColor="text1"/>
                <w:kern w:val="2"/>
              </w:rPr>
              <w:t>10%及以上的中国境外分支机构、子机构、联营（合营）机构的资产负债、利润及股权市值等情况</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8E053B">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pStyle w:val="a6"/>
              <w:tabs>
                <w:tab w:val="clear" w:pos="4153"/>
                <w:tab w:val="clear" w:pos="8306"/>
              </w:tabs>
              <w:snapToGrid/>
              <w:spacing w:line="190" w:lineRule="exact"/>
              <w:jc w:val="center"/>
              <w:rPr>
                <w:rFonts w:ascii="宋体" w:hAnsi="宋体"/>
                <w:color w:val="000000" w:themeColor="text1"/>
              </w:rPr>
            </w:pPr>
            <w:r w:rsidRPr="00CB4B9E">
              <w:rPr>
                <w:rFonts w:ascii="宋体" w:hAnsi="宋体" w:hint="eastAsia"/>
                <w:color w:val="000000" w:themeColor="text1"/>
                <w:szCs w:val="24"/>
              </w:rPr>
              <w:t>月后</w:t>
            </w:r>
            <w:r w:rsidRPr="00CB4B9E">
              <w:rPr>
                <w:rFonts w:ascii="宋体" w:hAnsi="宋体"/>
                <w:color w:val="000000" w:themeColor="text1"/>
                <w:szCs w:val="24"/>
              </w:rPr>
              <w:t>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EA0065">
            <w:pPr>
              <w:jc w:val="center"/>
              <w:rPr>
                <w:rFonts w:ascii="宋体" w:hAnsi="宋体"/>
                <w:color w:val="000000" w:themeColor="text1"/>
                <w:sz w:val="18"/>
              </w:rPr>
            </w:pPr>
            <w:r w:rsidRPr="00CB4B9E">
              <w:rPr>
                <w:rFonts w:ascii="宋体" w:hAnsi="宋体"/>
                <w:color w:val="000000" w:themeColor="text1"/>
                <w:sz w:val="18"/>
              </w:rPr>
              <w:t>16-17</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707904">
            <w:pPr>
              <w:jc w:val="center"/>
              <w:rPr>
                <w:rFonts w:ascii="宋体" w:hAnsi="宋体"/>
                <w:color w:val="000000" w:themeColor="text1"/>
                <w:sz w:val="18"/>
              </w:rPr>
            </w:pPr>
            <w:r w:rsidRPr="00CB4B9E">
              <w:rPr>
                <w:rFonts w:ascii="宋体" w:hAnsi="宋体"/>
                <w:color w:val="000000" w:themeColor="text1"/>
                <w:sz w:val="18"/>
              </w:rPr>
              <w:t>53-56</w:t>
            </w:r>
          </w:p>
        </w:tc>
      </w:tr>
      <w:tr w:rsidR="00FF78F2" w:rsidRPr="009263D7" w:rsidTr="00D15641">
        <w:trPr>
          <w:trHeight w:val="1468"/>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9704D5">
            <w:pPr>
              <w:spacing w:line="190" w:lineRule="exact"/>
              <w:jc w:val="center"/>
              <w:rPr>
                <w:rFonts w:ascii="宋体" w:hAnsi="宋体"/>
                <w:color w:val="000000" w:themeColor="text1"/>
                <w:sz w:val="18"/>
              </w:rPr>
            </w:pPr>
            <w:r w:rsidRPr="00CB4B9E">
              <w:rPr>
                <w:rFonts w:ascii="宋体" w:hAnsi="宋体"/>
                <w:color w:val="000000" w:themeColor="text1"/>
                <w:sz w:val="18"/>
              </w:rPr>
              <w:t>A01-2表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对外直接投资（流量）</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4C48FD">
            <w:pPr>
              <w:spacing w:line="190" w:lineRule="exact"/>
              <w:jc w:val="center"/>
              <w:rPr>
                <w:rFonts w:ascii="宋体" w:hAnsi="宋体"/>
                <w:color w:val="000000" w:themeColor="text1"/>
                <w:sz w:val="18"/>
              </w:rPr>
            </w:pPr>
            <w:r w:rsidRPr="00CB4B9E">
              <w:rPr>
                <w:rFonts w:ascii="宋体" w:hAnsi="宋体"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本机构与其持有表决权在</w:t>
            </w:r>
            <w:r w:rsidRPr="00CB4B9E">
              <w:rPr>
                <w:rFonts w:ascii="宋体" w:eastAsia="宋体" w:hAnsi="宋体"/>
                <w:color w:val="000000" w:themeColor="text1"/>
                <w:kern w:val="2"/>
              </w:rPr>
              <w:t>10%及以上的中国境外分支机构、子机构、联营（合营）机构的股权</w:t>
            </w:r>
            <w:r w:rsidRPr="00CB4B9E">
              <w:rPr>
                <w:rFonts w:ascii="宋体" w:eastAsia="宋体" w:hAnsi="宋体" w:hint="eastAsia"/>
                <w:color w:val="000000" w:themeColor="text1"/>
                <w:kern w:val="2"/>
              </w:rPr>
              <w:t>或基金份额投资往来</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pStyle w:val="a6"/>
              <w:tabs>
                <w:tab w:val="clear" w:pos="4153"/>
                <w:tab w:val="clear" w:pos="8306"/>
              </w:tabs>
              <w:snapToGrid/>
              <w:spacing w:line="190" w:lineRule="exact"/>
              <w:jc w:val="center"/>
              <w:rPr>
                <w:rFonts w:ascii="宋体" w:hAnsi="宋体"/>
                <w:color w:val="000000" w:themeColor="text1"/>
                <w:szCs w:val="24"/>
              </w:rPr>
            </w:pPr>
            <w:r w:rsidRPr="00CB4B9E">
              <w:rPr>
                <w:rFonts w:ascii="宋体" w:hAnsi="宋体" w:hint="eastAsia"/>
                <w:color w:val="000000" w:themeColor="text1"/>
                <w:szCs w:val="24"/>
              </w:rPr>
              <w:t>月后</w:t>
            </w:r>
            <w:r w:rsidRPr="00CB4B9E">
              <w:rPr>
                <w:rFonts w:ascii="宋体" w:hAnsi="宋体"/>
                <w:color w:val="000000" w:themeColor="text1"/>
                <w:szCs w:val="24"/>
              </w:rPr>
              <w:t>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EA0065">
            <w:pPr>
              <w:jc w:val="center"/>
              <w:rPr>
                <w:rFonts w:ascii="宋体" w:hAnsi="宋体"/>
                <w:color w:val="000000" w:themeColor="text1"/>
                <w:sz w:val="18"/>
              </w:rPr>
            </w:pPr>
            <w:r w:rsidRPr="00CB4B9E">
              <w:rPr>
                <w:rFonts w:ascii="宋体" w:hAnsi="宋体"/>
                <w:color w:val="000000" w:themeColor="text1"/>
                <w:sz w:val="18"/>
              </w:rPr>
              <w:t>18</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707904">
            <w:pPr>
              <w:jc w:val="center"/>
              <w:rPr>
                <w:rFonts w:ascii="宋体" w:hAnsi="宋体"/>
                <w:color w:val="000000" w:themeColor="text1"/>
                <w:sz w:val="18"/>
              </w:rPr>
            </w:pPr>
            <w:r w:rsidRPr="00CB4B9E">
              <w:rPr>
                <w:rFonts w:ascii="宋体" w:hAnsi="宋体"/>
                <w:color w:val="000000" w:themeColor="text1"/>
                <w:sz w:val="18"/>
              </w:rPr>
              <w:t>56</w:t>
            </w:r>
          </w:p>
        </w:tc>
      </w:tr>
      <w:tr w:rsidR="00FF78F2" w:rsidRPr="009263D7" w:rsidTr="00D15641">
        <w:trPr>
          <w:trHeight w:val="1615"/>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4C48FD">
            <w:pPr>
              <w:spacing w:line="190" w:lineRule="exact"/>
              <w:jc w:val="center"/>
              <w:rPr>
                <w:rFonts w:ascii="宋体" w:hAnsi="宋体"/>
                <w:color w:val="000000" w:themeColor="text1"/>
                <w:sz w:val="18"/>
              </w:rPr>
            </w:pPr>
            <w:r w:rsidRPr="00CB4B9E">
              <w:rPr>
                <w:rFonts w:ascii="宋体" w:hAnsi="宋体"/>
                <w:color w:val="000000" w:themeColor="text1"/>
                <w:sz w:val="18"/>
              </w:rPr>
              <w:t>A02-1表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外国来华直接投资（资产负债及利润）</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4C48FD">
            <w:pPr>
              <w:jc w:val="center"/>
              <w:rPr>
                <w:rFonts w:ascii="宋体" w:hAnsi="宋体"/>
                <w:color w:val="000000" w:themeColor="text1"/>
                <w:sz w:val="18"/>
              </w:rPr>
            </w:pPr>
            <w:r w:rsidRPr="00CB4B9E">
              <w:rPr>
                <w:rFonts w:ascii="宋体" w:hAnsi="宋体"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境外投资者在中国境内的分支机构、子机构、联营（合营）机构的资产负债情况</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pStyle w:val="a6"/>
              <w:tabs>
                <w:tab w:val="clear" w:pos="4153"/>
                <w:tab w:val="clear" w:pos="8306"/>
              </w:tabs>
              <w:snapToGrid/>
              <w:spacing w:line="190" w:lineRule="exact"/>
              <w:jc w:val="center"/>
              <w:rPr>
                <w:rFonts w:ascii="宋体" w:hAnsi="宋体"/>
                <w:color w:val="000000" w:themeColor="text1"/>
                <w:szCs w:val="24"/>
              </w:rPr>
            </w:pPr>
            <w:r w:rsidRPr="00CB4B9E">
              <w:rPr>
                <w:rFonts w:ascii="宋体" w:hAnsi="宋体" w:hint="eastAsia"/>
                <w:color w:val="000000" w:themeColor="text1"/>
              </w:rPr>
              <w:t>月后</w:t>
            </w:r>
            <w:r w:rsidRPr="00CB4B9E">
              <w:rPr>
                <w:rFonts w:ascii="宋体" w:hAnsi="宋体"/>
                <w:color w:val="000000" w:themeColor="text1"/>
              </w:rPr>
              <w:t>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pStyle w:val="a6"/>
              <w:tabs>
                <w:tab w:val="clear" w:pos="4153"/>
                <w:tab w:val="clear" w:pos="8306"/>
              </w:tabs>
              <w:snapToGrid/>
              <w:spacing w:line="190" w:lineRule="exact"/>
              <w:jc w:val="center"/>
              <w:rPr>
                <w:rFonts w:ascii="宋体" w:hAnsi="宋体"/>
                <w:color w:val="000000" w:themeColor="text1"/>
                <w:szCs w:val="24"/>
              </w:rPr>
            </w:pPr>
            <w:r w:rsidRPr="00CB4B9E">
              <w:rPr>
                <w:rFonts w:ascii="宋体" w:hAnsi="宋体"/>
                <w:color w:val="000000" w:themeColor="text1"/>
              </w:rPr>
              <w:t>19</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F460A1">
            <w:pPr>
              <w:spacing w:line="190" w:lineRule="exact"/>
              <w:jc w:val="center"/>
              <w:rPr>
                <w:rFonts w:ascii="宋体" w:hAnsi="宋体"/>
                <w:color w:val="000000" w:themeColor="text1"/>
                <w:sz w:val="18"/>
              </w:rPr>
            </w:pPr>
            <w:r w:rsidRPr="00CB4B9E">
              <w:rPr>
                <w:rFonts w:ascii="宋体" w:hAnsi="宋体"/>
                <w:color w:val="000000" w:themeColor="text1"/>
                <w:sz w:val="18"/>
              </w:rPr>
              <w:t>57-58</w:t>
            </w:r>
          </w:p>
        </w:tc>
      </w:tr>
      <w:tr w:rsidR="00FF78F2" w:rsidRPr="009263D7" w:rsidTr="00D15641">
        <w:trPr>
          <w:trHeight w:val="1615"/>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4C48FD">
            <w:pPr>
              <w:spacing w:line="190" w:lineRule="exact"/>
              <w:jc w:val="center"/>
              <w:rPr>
                <w:rFonts w:ascii="宋体" w:hAnsi="宋体"/>
                <w:color w:val="000000" w:themeColor="text1"/>
                <w:sz w:val="18"/>
              </w:rPr>
            </w:pPr>
            <w:r w:rsidRPr="00CB4B9E">
              <w:rPr>
                <w:rFonts w:ascii="宋体" w:hAnsi="宋体"/>
                <w:color w:val="000000" w:themeColor="text1"/>
                <w:sz w:val="18"/>
              </w:rPr>
              <w:lastRenderedPageBreak/>
              <w:t>A02-2表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384E60">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外国来华直接投资（境外投资者持股情况）</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4C48FD">
            <w:pPr>
              <w:jc w:val="center"/>
              <w:rPr>
                <w:rFonts w:ascii="宋体" w:hAnsi="宋体"/>
                <w:color w:val="000000" w:themeColor="text1"/>
                <w:sz w:val="18"/>
              </w:rPr>
            </w:pPr>
            <w:r w:rsidRPr="00CB4B9E">
              <w:rPr>
                <w:rFonts w:ascii="宋体" w:hAnsi="宋体"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持有本机构表决权</w:t>
            </w:r>
            <w:r w:rsidRPr="00CB4B9E">
              <w:rPr>
                <w:rFonts w:ascii="宋体" w:eastAsia="宋体" w:hAnsi="宋体"/>
                <w:color w:val="000000" w:themeColor="text1"/>
                <w:kern w:val="2"/>
              </w:rPr>
              <w:t>10%及以上的境外投资者基本情况、持股数量和股权</w:t>
            </w:r>
            <w:r w:rsidRPr="00CB4B9E">
              <w:rPr>
                <w:rFonts w:ascii="宋体" w:eastAsia="宋体" w:hAnsi="宋体" w:hint="eastAsia"/>
                <w:color w:val="000000" w:themeColor="text1"/>
                <w:kern w:val="2"/>
              </w:rPr>
              <w:t>市值</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pStyle w:val="a6"/>
              <w:tabs>
                <w:tab w:val="clear" w:pos="4153"/>
                <w:tab w:val="clear" w:pos="8306"/>
              </w:tabs>
              <w:snapToGrid/>
              <w:spacing w:line="190" w:lineRule="exact"/>
              <w:jc w:val="center"/>
              <w:rPr>
                <w:rFonts w:ascii="宋体" w:hAnsi="宋体"/>
                <w:color w:val="000000" w:themeColor="text1"/>
              </w:rPr>
            </w:pPr>
            <w:r w:rsidRPr="00CB4B9E">
              <w:rPr>
                <w:rFonts w:ascii="宋体" w:hAnsi="宋体" w:hint="eastAsia"/>
                <w:color w:val="000000" w:themeColor="text1"/>
              </w:rPr>
              <w:t>月后</w:t>
            </w:r>
            <w:r w:rsidRPr="00CB4B9E">
              <w:rPr>
                <w:rFonts w:ascii="宋体" w:hAnsi="宋体"/>
                <w:color w:val="000000" w:themeColor="text1"/>
              </w:rPr>
              <w:t>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pStyle w:val="a6"/>
              <w:tabs>
                <w:tab w:val="clear" w:pos="4153"/>
                <w:tab w:val="clear" w:pos="8306"/>
              </w:tabs>
              <w:snapToGrid/>
              <w:spacing w:line="190" w:lineRule="exact"/>
              <w:jc w:val="center"/>
              <w:rPr>
                <w:rFonts w:ascii="宋体" w:hAnsi="宋体"/>
                <w:color w:val="000000" w:themeColor="text1"/>
              </w:rPr>
            </w:pPr>
            <w:r w:rsidRPr="00CB4B9E">
              <w:rPr>
                <w:rFonts w:ascii="宋体" w:hAnsi="宋体"/>
                <w:color w:val="000000" w:themeColor="text1"/>
              </w:rPr>
              <w:t>20</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F460A1">
            <w:pPr>
              <w:spacing w:line="190" w:lineRule="exact"/>
              <w:jc w:val="center"/>
              <w:rPr>
                <w:rFonts w:ascii="宋体" w:hAnsi="宋体"/>
                <w:color w:val="000000" w:themeColor="text1"/>
                <w:sz w:val="18"/>
              </w:rPr>
            </w:pPr>
            <w:r w:rsidRPr="00CB4B9E">
              <w:rPr>
                <w:rFonts w:ascii="宋体" w:hAnsi="宋体"/>
                <w:color w:val="000000" w:themeColor="text1"/>
                <w:sz w:val="18"/>
              </w:rPr>
              <w:t>58-59</w:t>
            </w:r>
          </w:p>
        </w:tc>
      </w:tr>
      <w:tr w:rsidR="00FF78F2" w:rsidRPr="009263D7" w:rsidTr="00D15641">
        <w:trPr>
          <w:trHeight w:val="1615"/>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8C7A7C">
            <w:pPr>
              <w:spacing w:line="190" w:lineRule="exact"/>
              <w:jc w:val="center"/>
              <w:rPr>
                <w:rFonts w:ascii="宋体" w:hAnsi="宋体"/>
                <w:color w:val="000000" w:themeColor="text1"/>
                <w:sz w:val="18"/>
              </w:rPr>
            </w:pPr>
            <w:r w:rsidRPr="00CB4B9E">
              <w:rPr>
                <w:rFonts w:ascii="宋体" w:hAnsi="宋体"/>
                <w:color w:val="000000" w:themeColor="text1"/>
                <w:sz w:val="18"/>
              </w:rPr>
              <w:t>A02-3表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外国来华直接投资（流量）</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4C48FD">
            <w:pPr>
              <w:jc w:val="center"/>
              <w:rPr>
                <w:rFonts w:ascii="宋体" w:hAnsi="宋体"/>
                <w:color w:val="000000" w:themeColor="text1"/>
                <w:sz w:val="18"/>
              </w:rPr>
            </w:pPr>
            <w:r w:rsidRPr="00CB4B9E">
              <w:rPr>
                <w:rFonts w:ascii="宋体" w:hAnsi="宋体"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1161B2">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境外投资者在中国境内的分支机构、子机构、联营（合营）机构与持有表决权</w:t>
            </w:r>
            <w:r w:rsidRPr="00CB4B9E">
              <w:rPr>
                <w:rFonts w:ascii="宋体" w:eastAsia="宋体" w:hAnsi="宋体"/>
                <w:color w:val="000000" w:themeColor="text1"/>
                <w:kern w:val="2"/>
              </w:rPr>
              <w:t>10%及以上的境外投资者的股权或基金份额投资往来</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pStyle w:val="a6"/>
              <w:tabs>
                <w:tab w:val="clear" w:pos="4153"/>
                <w:tab w:val="clear" w:pos="8306"/>
              </w:tabs>
              <w:snapToGrid/>
              <w:spacing w:line="190" w:lineRule="exact"/>
              <w:jc w:val="center"/>
              <w:rPr>
                <w:rFonts w:ascii="宋体" w:hAnsi="宋体"/>
                <w:color w:val="000000" w:themeColor="text1"/>
              </w:rPr>
            </w:pPr>
            <w:r w:rsidRPr="00CB4B9E">
              <w:rPr>
                <w:rFonts w:ascii="宋体" w:hAnsi="宋体" w:hint="eastAsia"/>
                <w:color w:val="000000" w:themeColor="text1"/>
              </w:rPr>
              <w:t>月后</w:t>
            </w:r>
            <w:r w:rsidRPr="00CB4B9E">
              <w:rPr>
                <w:rFonts w:ascii="宋体" w:hAnsi="宋体"/>
                <w:color w:val="000000" w:themeColor="text1"/>
              </w:rPr>
              <w:t>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pStyle w:val="a6"/>
              <w:tabs>
                <w:tab w:val="clear" w:pos="4153"/>
                <w:tab w:val="clear" w:pos="8306"/>
              </w:tabs>
              <w:snapToGrid/>
              <w:spacing w:line="190" w:lineRule="exact"/>
              <w:jc w:val="center"/>
              <w:rPr>
                <w:rFonts w:ascii="宋体" w:hAnsi="宋体"/>
                <w:color w:val="000000" w:themeColor="text1"/>
              </w:rPr>
            </w:pPr>
            <w:r w:rsidRPr="00CB4B9E">
              <w:rPr>
                <w:rFonts w:ascii="宋体" w:hAnsi="宋体"/>
                <w:color w:val="000000" w:themeColor="text1"/>
              </w:rPr>
              <w:t>21</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B3221E">
            <w:pPr>
              <w:spacing w:line="190" w:lineRule="exact"/>
              <w:jc w:val="center"/>
              <w:rPr>
                <w:rFonts w:ascii="宋体" w:hAnsi="宋体"/>
                <w:color w:val="000000" w:themeColor="text1"/>
                <w:sz w:val="18"/>
              </w:rPr>
            </w:pPr>
            <w:r w:rsidRPr="00CB4B9E">
              <w:rPr>
                <w:rFonts w:ascii="宋体" w:hAnsi="宋体"/>
                <w:color w:val="000000" w:themeColor="text1"/>
                <w:sz w:val="18"/>
              </w:rPr>
              <w:t>59-60</w:t>
            </w:r>
          </w:p>
        </w:tc>
      </w:tr>
      <w:tr w:rsidR="009342F2" w:rsidRPr="009263D7">
        <w:trPr>
          <w:trHeight w:val="554"/>
        </w:trPr>
        <w:tc>
          <w:tcPr>
            <w:tcW w:w="9720" w:type="dxa"/>
            <w:gridSpan w:val="8"/>
            <w:tcBorders>
              <w:top w:val="single" w:sz="2" w:space="0" w:color="auto"/>
              <w:left w:val="nil"/>
              <w:bottom w:val="single" w:sz="2" w:space="0" w:color="auto"/>
              <w:right w:val="nil"/>
            </w:tcBorders>
            <w:vAlign w:val="center"/>
          </w:tcPr>
          <w:p w:rsidR="009342F2" w:rsidRPr="009263D7" w:rsidRDefault="00CB4B9E" w:rsidP="00CB0EB6">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（三）证券投资（</w:t>
            </w:r>
            <w:r w:rsidRPr="00CB4B9E">
              <w:rPr>
                <w:rFonts w:ascii="宋体" w:eastAsia="宋体" w:hAnsi="宋体"/>
                <w:color w:val="000000" w:themeColor="text1"/>
                <w:kern w:val="2"/>
              </w:rPr>
              <w:t>10%以下股权和债务证券）</w:t>
            </w:r>
          </w:p>
        </w:tc>
      </w:tr>
      <w:tr w:rsidR="00FF78F2" w:rsidRPr="009263D7" w:rsidTr="00D15641">
        <w:trPr>
          <w:trHeight w:val="1682"/>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103D28">
            <w:pPr>
              <w:spacing w:line="190" w:lineRule="exact"/>
              <w:jc w:val="center"/>
              <w:rPr>
                <w:rFonts w:ascii="宋体" w:hAnsi="宋体"/>
                <w:color w:val="000000" w:themeColor="text1"/>
                <w:sz w:val="18"/>
              </w:rPr>
            </w:pPr>
            <w:r w:rsidRPr="00CB4B9E">
              <w:rPr>
                <w:rFonts w:ascii="宋体" w:hAnsi="宋体"/>
                <w:color w:val="000000" w:themeColor="text1"/>
                <w:sz w:val="18"/>
              </w:rPr>
              <w:t>B01表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投资境外股本证券和投资基金份额（资产）</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103D28">
            <w:pPr>
              <w:spacing w:line="190" w:lineRule="exact"/>
              <w:jc w:val="center"/>
              <w:rPr>
                <w:rFonts w:ascii="宋体" w:hAnsi="宋体"/>
                <w:color w:val="000000" w:themeColor="text1"/>
                <w:sz w:val="18"/>
              </w:rPr>
            </w:pPr>
            <w:r w:rsidRPr="00CB4B9E">
              <w:rPr>
                <w:rFonts w:ascii="宋体" w:hAnsi="宋体"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持有境内机构境外发行以及境外机构的普通股、投资基金份额和参与性优先股的情况（本机构持有表决权在</w:t>
            </w:r>
            <w:r w:rsidRPr="00CB4B9E">
              <w:rPr>
                <w:rFonts w:ascii="宋体" w:eastAsia="宋体" w:hAnsi="宋体"/>
                <w:color w:val="000000" w:themeColor="text1"/>
                <w:kern w:val="2"/>
              </w:rPr>
              <w:t>10%以下）；持有境内机构境外发行以及境外机构发行的投资基金份额或单位（持有份额比例在10%以下）</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rPr>
            </w:pPr>
            <w:r w:rsidRPr="00CB4B9E">
              <w:rPr>
                <w:rFonts w:ascii="宋体" w:hAnsi="宋体" w:hint="eastAsia"/>
                <w:color w:val="000000" w:themeColor="text1"/>
                <w:sz w:val="18"/>
              </w:rPr>
              <w:t>月后</w:t>
            </w:r>
            <w:r w:rsidRPr="00CB4B9E">
              <w:rPr>
                <w:rFonts w:ascii="宋体" w:hAnsi="宋体"/>
                <w:color w:val="000000" w:themeColor="text1"/>
                <w:sz w:val="18"/>
              </w:rPr>
              <w:t>10日前网络报送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spacing w:line="190" w:lineRule="exact"/>
              <w:jc w:val="center"/>
              <w:rPr>
                <w:rFonts w:ascii="宋体" w:hAnsi="宋体"/>
                <w:color w:val="000000" w:themeColor="text1"/>
                <w:sz w:val="18"/>
              </w:rPr>
            </w:pPr>
            <w:r w:rsidRPr="00CB4B9E">
              <w:rPr>
                <w:rFonts w:ascii="宋体" w:hAnsi="宋体"/>
                <w:color w:val="000000" w:themeColor="text1"/>
                <w:sz w:val="18"/>
              </w:rPr>
              <w:t>22</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B3221E">
            <w:pPr>
              <w:spacing w:line="190" w:lineRule="exact"/>
              <w:jc w:val="center"/>
              <w:rPr>
                <w:rFonts w:ascii="宋体" w:hAnsi="宋体"/>
                <w:color w:val="000000" w:themeColor="text1"/>
                <w:sz w:val="18"/>
              </w:rPr>
            </w:pPr>
            <w:r w:rsidRPr="00CB4B9E">
              <w:rPr>
                <w:rFonts w:ascii="宋体" w:hAnsi="宋体"/>
                <w:color w:val="000000" w:themeColor="text1"/>
                <w:sz w:val="18"/>
              </w:rPr>
              <w:t>62-64</w:t>
            </w:r>
          </w:p>
        </w:tc>
      </w:tr>
      <w:tr w:rsidR="00FF78F2" w:rsidRPr="009263D7" w:rsidTr="00D15641">
        <w:trPr>
          <w:trHeight w:val="915"/>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103D28">
            <w:pPr>
              <w:spacing w:line="190" w:lineRule="exact"/>
              <w:jc w:val="center"/>
              <w:rPr>
                <w:rFonts w:ascii="宋体" w:hAnsi="宋体"/>
                <w:color w:val="000000" w:themeColor="text1"/>
                <w:sz w:val="18"/>
              </w:rPr>
            </w:pPr>
            <w:r w:rsidRPr="00CB4B9E">
              <w:rPr>
                <w:rFonts w:ascii="宋体" w:hAnsi="宋体"/>
                <w:color w:val="000000" w:themeColor="text1"/>
                <w:sz w:val="18"/>
              </w:rPr>
              <w:t>B02表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投资境外债务证券（资产）</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103D28">
            <w:pPr>
              <w:spacing w:line="190" w:lineRule="exact"/>
              <w:jc w:val="center"/>
              <w:rPr>
                <w:rFonts w:ascii="宋体" w:hAnsi="宋体"/>
                <w:color w:val="000000" w:themeColor="text1"/>
                <w:sz w:val="18"/>
              </w:rPr>
            </w:pPr>
            <w:r w:rsidRPr="00CB4B9E">
              <w:rPr>
                <w:rFonts w:ascii="宋体" w:hAnsi="宋体"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持有境内机构在境外发行，以及境外机构发行的可流通债务证券的情况</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8352F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pStyle w:val="a3"/>
              <w:pBdr>
                <w:bottom w:val="none" w:sz="0" w:space="0" w:color="auto"/>
              </w:pBdr>
              <w:tabs>
                <w:tab w:val="clear" w:pos="4153"/>
                <w:tab w:val="clear" w:pos="8306"/>
              </w:tabs>
              <w:snapToGrid/>
              <w:spacing w:line="190" w:lineRule="exact"/>
              <w:rPr>
                <w:rFonts w:ascii="宋体" w:hAnsi="宋体"/>
                <w:color w:val="000000" w:themeColor="text1"/>
              </w:rPr>
            </w:pPr>
            <w:r w:rsidRPr="00CB4B9E">
              <w:rPr>
                <w:rFonts w:ascii="宋体" w:hAnsi="宋体" w:hint="eastAsia"/>
                <w:color w:val="000000" w:themeColor="text1"/>
              </w:rPr>
              <w:t>月后</w:t>
            </w:r>
            <w:r w:rsidRPr="00CB4B9E">
              <w:rPr>
                <w:rFonts w:ascii="宋体" w:hAnsi="宋体"/>
                <w:color w:val="000000" w:themeColor="text1"/>
              </w:rPr>
              <w:t>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pStyle w:val="a3"/>
              <w:pBdr>
                <w:bottom w:val="none" w:sz="0" w:space="0" w:color="auto"/>
              </w:pBdr>
              <w:tabs>
                <w:tab w:val="clear" w:pos="4153"/>
                <w:tab w:val="clear" w:pos="8306"/>
              </w:tabs>
              <w:snapToGrid/>
              <w:spacing w:line="190" w:lineRule="exact"/>
              <w:rPr>
                <w:rFonts w:ascii="宋体" w:hAnsi="宋体"/>
                <w:color w:val="000000" w:themeColor="text1"/>
              </w:rPr>
            </w:pPr>
            <w:r w:rsidRPr="00CB4B9E">
              <w:rPr>
                <w:rFonts w:ascii="宋体" w:hAnsi="宋体"/>
                <w:color w:val="000000" w:themeColor="text1"/>
                <w:szCs w:val="20"/>
              </w:rPr>
              <w:t>23</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641EA0">
            <w:pPr>
              <w:jc w:val="center"/>
              <w:rPr>
                <w:rFonts w:ascii="宋体" w:hAnsi="宋体"/>
                <w:color w:val="000000" w:themeColor="text1"/>
                <w:sz w:val="18"/>
                <w:szCs w:val="20"/>
              </w:rPr>
            </w:pPr>
            <w:r w:rsidRPr="00CB4B9E">
              <w:rPr>
                <w:rFonts w:ascii="宋体" w:hAnsi="宋体"/>
                <w:color w:val="000000" w:themeColor="text1"/>
                <w:sz w:val="18"/>
                <w:szCs w:val="20"/>
              </w:rPr>
              <w:t>64-66</w:t>
            </w:r>
          </w:p>
        </w:tc>
      </w:tr>
      <w:tr w:rsidR="00FF78F2" w:rsidRPr="009263D7" w:rsidTr="00D15641">
        <w:trPr>
          <w:trHeight w:val="941"/>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40606C">
            <w:pPr>
              <w:spacing w:line="190" w:lineRule="exact"/>
              <w:jc w:val="center"/>
              <w:rPr>
                <w:rFonts w:ascii="宋体" w:hAnsi="宋体"/>
                <w:color w:val="000000" w:themeColor="text1"/>
                <w:sz w:val="18"/>
              </w:rPr>
            </w:pPr>
            <w:r w:rsidRPr="00CB4B9E">
              <w:rPr>
                <w:rFonts w:ascii="宋体" w:hAnsi="宋体"/>
                <w:color w:val="000000" w:themeColor="text1"/>
                <w:sz w:val="18"/>
              </w:rPr>
              <w:t>B03表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投资非居民境内发行股本证券和债务证券</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75CD0">
            <w:pPr>
              <w:spacing w:line="190" w:lineRule="exact"/>
              <w:jc w:val="center"/>
              <w:rPr>
                <w:rFonts w:ascii="宋体" w:hAnsi="宋体"/>
                <w:color w:val="000000" w:themeColor="text1"/>
                <w:sz w:val="18"/>
              </w:rPr>
            </w:pPr>
            <w:r w:rsidRPr="00CB4B9E">
              <w:rPr>
                <w:rFonts w:hint="eastAsia"/>
                <w:color w:val="000000" w:themeColor="text1"/>
                <w:sz w:val="18"/>
                <w:szCs w:val="20"/>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中国居民投资非居民在境内金融市场发行的股本证券、投资基金份额、债务证券情况</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BC09B4">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中央国债登记结算有限责任公司、中国证券登记结算有限公司、银行间市场清算所股份有限公司</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s="Century"/>
                <w:color w:val="000000" w:themeColor="text1"/>
                <w:sz w:val="18"/>
                <w:szCs w:val="18"/>
              </w:rPr>
            </w:pPr>
            <w:r w:rsidRPr="00CB4B9E">
              <w:rPr>
                <w:rFonts w:ascii="宋体" w:hAnsi="宋体" w:hint="eastAsia"/>
                <w:color w:val="000000" w:themeColor="text1"/>
                <w:sz w:val="18"/>
                <w:szCs w:val="18"/>
              </w:rPr>
              <w:t>月后</w:t>
            </w:r>
            <w:r w:rsidRPr="00CB4B9E">
              <w:rPr>
                <w:rFonts w:ascii="宋体" w:hAnsi="宋体"/>
                <w:color w:val="000000" w:themeColor="text1"/>
                <w:sz w:val="18"/>
                <w:szCs w:val="18"/>
              </w:rPr>
              <w:t>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75CD0">
            <w:pPr>
              <w:spacing w:line="190" w:lineRule="exact"/>
              <w:jc w:val="center"/>
              <w:rPr>
                <w:rFonts w:ascii="宋体" w:hAnsi="宋体"/>
                <w:color w:val="000000" w:themeColor="text1"/>
                <w:sz w:val="18"/>
              </w:rPr>
            </w:pPr>
            <w:r w:rsidRPr="00CB4B9E">
              <w:rPr>
                <w:rFonts w:ascii="宋体" w:hAnsi="宋体"/>
                <w:color w:val="000000" w:themeColor="text1"/>
                <w:sz w:val="18"/>
                <w:szCs w:val="20"/>
              </w:rPr>
              <w:t>24</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spacing w:line="190" w:lineRule="exact"/>
              <w:jc w:val="center"/>
              <w:rPr>
                <w:rFonts w:ascii="宋体" w:hAnsi="宋体"/>
                <w:color w:val="000000" w:themeColor="text1"/>
                <w:sz w:val="18"/>
              </w:rPr>
            </w:pPr>
            <w:r w:rsidRPr="00CB4B9E">
              <w:rPr>
                <w:rFonts w:ascii="宋体" w:hAnsi="宋体"/>
                <w:color w:val="000000" w:themeColor="text1"/>
                <w:sz w:val="18"/>
              </w:rPr>
              <w:t>66-68</w:t>
            </w:r>
          </w:p>
        </w:tc>
      </w:tr>
      <w:tr w:rsidR="00FF78F2" w:rsidRPr="009263D7" w:rsidTr="00D15641">
        <w:trPr>
          <w:trHeight w:val="707"/>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C90E91">
            <w:pPr>
              <w:spacing w:line="190" w:lineRule="exact"/>
              <w:jc w:val="center"/>
              <w:rPr>
                <w:rFonts w:ascii="宋体" w:hAnsi="宋体"/>
                <w:color w:val="000000" w:themeColor="text1"/>
                <w:sz w:val="18"/>
              </w:rPr>
            </w:pPr>
            <w:r w:rsidRPr="00CB4B9E">
              <w:rPr>
                <w:rFonts w:ascii="宋体" w:hAnsi="宋体"/>
                <w:color w:val="000000" w:themeColor="text1"/>
                <w:sz w:val="18"/>
              </w:rPr>
              <w:t>B04表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吸收境外股权和基金份额投资（负债）</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103D28">
            <w:pPr>
              <w:jc w:val="center"/>
              <w:rPr>
                <w:rFonts w:ascii="宋体" w:hAnsi="宋体"/>
                <w:color w:val="000000" w:themeColor="text1"/>
                <w:sz w:val="18"/>
              </w:rPr>
            </w:pPr>
            <w:r w:rsidRPr="00CB4B9E">
              <w:rPr>
                <w:rFonts w:ascii="宋体" w:hAnsi="宋体" w:hint="eastAsia"/>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境内外投资者持有本机构在境外发行的普通股和参与性优先股的情况，且持股或持有份额在</w:t>
            </w:r>
            <w:r w:rsidRPr="00CB4B9E">
              <w:rPr>
                <w:rFonts w:ascii="宋体" w:eastAsia="宋体" w:hAnsi="宋体"/>
                <w:color w:val="000000" w:themeColor="text1"/>
                <w:kern w:val="2"/>
              </w:rPr>
              <w:t>10%以下；境内外投资者持有本机构在境外发行的投资基金份额和单位情况，且持有份额</w:t>
            </w:r>
            <w:r w:rsidRPr="00CB4B9E">
              <w:rPr>
                <w:rFonts w:ascii="宋体" w:eastAsia="宋体" w:hAnsi="宋体" w:hint="eastAsia"/>
                <w:color w:val="000000" w:themeColor="text1"/>
                <w:kern w:val="2"/>
              </w:rPr>
              <w:t>或单位的比例在</w:t>
            </w:r>
            <w:r w:rsidRPr="00CB4B9E">
              <w:rPr>
                <w:rFonts w:ascii="宋体" w:eastAsia="宋体" w:hAnsi="宋体"/>
                <w:color w:val="000000" w:themeColor="text1"/>
                <w:kern w:val="2"/>
              </w:rPr>
              <w:t>10%以下</w:t>
            </w:r>
          </w:p>
        </w:tc>
        <w:tc>
          <w:tcPr>
            <w:tcW w:w="1843" w:type="dxa"/>
            <w:tcBorders>
              <w:top w:val="single" w:sz="2" w:space="0" w:color="auto"/>
              <w:left w:val="single" w:sz="2" w:space="0" w:color="auto"/>
              <w:bottom w:val="single" w:sz="2" w:space="0" w:color="auto"/>
              <w:right w:val="single" w:sz="2" w:space="0" w:color="auto"/>
            </w:tcBorders>
            <w:vAlign w:val="center"/>
          </w:tcPr>
          <w:p w:rsidR="00DA25C1" w:rsidRPr="009263D7" w:rsidRDefault="00CB4B9E">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jc w:val="center"/>
              <w:rPr>
                <w:color w:val="000000" w:themeColor="text1"/>
                <w:sz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jc w:val="center"/>
              <w:rPr>
                <w:rFonts w:ascii="宋体" w:hAnsi="宋体"/>
                <w:color w:val="000000" w:themeColor="text1"/>
                <w:sz w:val="18"/>
              </w:rPr>
            </w:pPr>
            <w:r w:rsidRPr="00CB4B9E">
              <w:rPr>
                <w:rFonts w:ascii="宋体" w:hAnsi="宋体"/>
                <w:color w:val="000000" w:themeColor="text1"/>
                <w:sz w:val="18"/>
              </w:rPr>
              <w:t>25</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spacing w:line="190" w:lineRule="exact"/>
              <w:jc w:val="center"/>
              <w:rPr>
                <w:rFonts w:ascii="宋体" w:hAnsi="宋体"/>
                <w:color w:val="000000" w:themeColor="text1"/>
                <w:sz w:val="18"/>
              </w:rPr>
            </w:pPr>
            <w:r w:rsidRPr="00CB4B9E">
              <w:rPr>
                <w:rFonts w:ascii="宋体" w:hAnsi="宋体"/>
                <w:color w:val="000000" w:themeColor="text1"/>
                <w:sz w:val="18"/>
              </w:rPr>
              <w:t>68-70</w:t>
            </w:r>
          </w:p>
        </w:tc>
      </w:tr>
      <w:tr w:rsidR="00FF78F2" w:rsidRPr="009263D7" w:rsidTr="00D15641">
        <w:trPr>
          <w:trHeight w:val="727"/>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C90E91">
            <w:pPr>
              <w:spacing w:line="190" w:lineRule="exact"/>
              <w:jc w:val="center"/>
              <w:rPr>
                <w:rFonts w:ascii="宋体" w:hAnsi="宋体"/>
                <w:color w:val="000000" w:themeColor="text1"/>
                <w:sz w:val="18"/>
              </w:rPr>
            </w:pPr>
            <w:r w:rsidRPr="00CB4B9E">
              <w:rPr>
                <w:rFonts w:ascii="宋体" w:hAnsi="宋体"/>
                <w:color w:val="000000" w:themeColor="text1"/>
                <w:sz w:val="18"/>
              </w:rPr>
              <w:t>B05表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境外发行债务证券（负债）</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103D28">
            <w:pPr>
              <w:spacing w:line="190" w:lineRule="exact"/>
              <w:jc w:val="center"/>
              <w:rPr>
                <w:rFonts w:ascii="宋体" w:hAnsi="宋体"/>
                <w:color w:val="000000" w:themeColor="text1"/>
                <w:sz w:val="18"/>
              </w:rPr>
            </w:pPr>
            <w:r w:rsidRPr="00CB4B9E">
              <w:rPr>
                <w:rFonts w:ascii="宋体" w:hAnsi="宋体"/>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机构和个人持有本机构境外发行可流通债券的情况</w:t>
            </w:r>
          </w:p>
        </w:tc>
        <w:tc>
          <w:tcPr>
            <w:tcW w:w="1843" w:type="dxa"/>
            <w:tcBorders>
              <w:top w:val="single" w:sz="2" w:space="0" w:color="auto"/>
              <w:left w:val="single" w:sz="2" w:space="0" w:color="auto"/>
              <w:bottom w:val="single" w:sz="2" w:space="0" w:color="auto"/>
              <w:right w:val="single" w:sz="2" w:space="0" w:color="auto"/>
            </w:tcBorders>
            <w:vAlign w:val="center"/>
          </w:tcPr>
          <w:p w:rsidR="00DA25C1" w:rsidRPr="009263D7" w:rsidRDefault="00CB4B9E">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9A50B6">
            <w:pPr>
              <w:spacing w:line="190" w:lineRule="exact"/>
              <w:jc w:val="center"/>
              <w:rPr>
                <w:rFonts w:ascii="宋体" w:hAnsi="宋体"/>
                <w:color w:val="000000" w:themeColor="text1"/>
                <w:sz w:val="18"/>
              </w:rPr>
            </w:pPr>
            <w:r w:rsidRPr="00CB4B9E">
              <w:rPr>
                <w:rFonts w:ascii="宋体" w:hAnsi="宋体"/>
                <w:color w:val="000000" w:themeColor="text1"/>
                <w:sz w:val="18"/>
              </w:rPr>
              <w:t>26</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665952">
            <w:pPr>
              <w:spacing w:line="190" w:lineRule="exact"/>
              <w:jc w:val="center"/>
              <w:rPr>
                <w:rFonts w:ascii="宋体" w:hAnsi="宋体"/>
                <w:color w:val="000000" w:themeColor="text1"/>
                <w:sz w:val="18"/>
              </w:rPr>
            </w:pPr>
            <w:r w:rsidRPr="00CB4B9E">
              <w:rPr>
                <w:rFonts w:ascii="宋体" w:hAnsi="宋体"/>
                <w:color w:val="000000" w:themeColor="text1"/>
                <w:sz w:val="18"/>
              </w:rPr>
              <w:t>70-72</w:t>
            </w:r>
          </w:p>
        </w:tc>
      </w:tr>
      <w:tr w:rsidR="00FF78F2" w:rsidRPr="009263D7" w:rsidTr="00D15641">
        <w:trPr>
          <w:trHeight w:val="995"/>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40606C">
            <w:pPr>
              <w:spacing w:line="190" w:lineRule="exact"/>
              <w:jc w:val="center"/>
              <w:rPr>
                <w:rFonts w:ascii="宋体" w:hAnsi="宋体"/>
                <w:color w:val="000000" w:themeColor="text1"/>
                <w:sz w:val="18"/>
              </w:rPr>
            </w:pPr>
            <w:r w:rsidRPr="00CB4B9E">
              <w:rPr>
                <w:rFonts w:ascii="宋体" w:hAnsi="宋体"/>
                <w:color w:val="000000" w:themeColor="text1"/>
                <w:sz w:val="18"/>
              </w:rPr>
              <w:t>B06表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非居民投资境内发行股本证券和债务证券</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75CD0">
            <w:pPr>
              <w:spacing w:line="190" w:lineRule="exact"/>
              <w:jc w:val="center"/>
              <w:rPr>
                <w:rFonts w:ascii="宋体" w:hAnsi="宋体"/>
                <w:color w:val="000000" w:themeColor="text1"/>
                <w:sz w:val="18"/>
              </w:rPr>
            </w:pPr>
            <w:r w:rsidRPr="00CB4B9E">
              <w:rPr>
                <w:color w:val="000000" w:themeColor="text1"/>
                <w:sz w:val="18"/>
                <w:szCs w:val="20"/>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非居民投资者类型及投资中国居民境内上市的股本证券、投资基金份额、债务证券情况</w:t>
            </w:r>
            <w:r w:rsidRPr="00CB4B9E">
              <w:rPr>
                <w:rFonts w:ascii="宋体" w:eastAsia="宋体" w:hAnsi="宋体"/>
                <w:color w:val="000000" w:themeColor="text1"/>
                <w:kern w:val="2"/>
              </w:rPr>
              <w:t xml:space="preserve"> </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BC09B4">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中央国债登记结算有限责任公司、中国证券登记结算有限公司、银行间市场清算所股份有限公司</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s="Century"/>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75CD0">
            <w:pPr>
              <w:spacing w:line="190" w:lineRule="exact"/>
              <w:jc w:val="center"/>
              <w:rPr>
                <w:rFonts w:ascii="宋体" w:hAnsi="宋体"/>
                <w:color w:val="000000" w:themeColor="text1"/>
                <w:sz w:val="18"/>
              </w:rPr>
            </w:pPr>
            <w:r w:rsidRPr="00CB4B9E">
              <w:rPr>
                <w:rFonts w:ascii="宋体" w:hAnsi="宋体"/>
                <w:color w:val="000000" w:themeColor="text1"/>
                <w:sz w:val="18"/>
                <w:szCs w:val="20"/>
              </w:rPr>
              <w:t>27</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665952">
            <w:pPr>
              <w:spacing w:line="190" w:lineRule="exact"/>
              <w:jc w:val="center"/>
              <w:rPr>
                <w:rFonts w:ascii="宋体" w:hAnsi="宋体"/>
                <w:color w:val="000000" w:themeColor="text1"/>
                <w:sz w:val="18"/>
              </w:rPr>
            </w:pPr>
            <w:r w:rsidRPr="00CB4B9E">
              <w:rPr>
                <w:rFonts w:ascii="宋体" w:hAnsi="宋体"/>
                <w:color w:val="000000" w:themeColor="text1"/>
                <w:sz w:val="18"/>
              </w:rPr>
              <w:t>72-74</w:t>
            </w:r>
          </w:p>
        </w:tc>
      </w:tr>
      <w:tr w:rsidR="00FF78F2" w:rsidRPr="009263D7">
        <w:trPr>
          <w:trHeight w:val="295"/>
        </w:trPr>
        <w:tc>
          <w:tcPr>
            <w:tcW w:w="9720" w:type="dxa"/>
            <w:gridSpan w:val="8"/>
            <w:tcBorders>
              <w:top w:val="single" w:sz="2" w:space="0" w:color="auto"/>
              <w:left w:val="nil"/>
              <w:bottom w:val="single" w:sz="2" w:space="0" w:color="auto"/>
              <w:right w:val="nil"/>
            </w:tcBorders>
            <w:vAlign w:val="center"/>
          </w:tcPr>
          <w:p w:rsidR="00FF78F2" w:rsidRPr="009263D7" w:rsidRDefault="00CB4B9E" w:rsidP="001601E5">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（四）金融衍生产品及雇员认股权</w:t>
            </w:r>
          </w:p>
        </w:tc>
      </w:tr>
      <w:tr w:rsidR="00FF78F2" w:rsidRPr="009263D7" w:rsidTr="00D15641">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103D28">
            <w:pPr>
              <w:spacing w:line="190" w:lineRule="exact"/>
              <w:jc w:val="center"/>
              <w:rPr>
                <w:rFonts w:ascii="宋体" w:hAnsi="宋体"/>
                <w:color w:val="000000" w:themeColor="text1"/>
                <w:sz w:val="18"/>
              </w:rPr>
            </w:pPr>
            <w:r w:rsidRPr="00CB4B9E">
              <w:rPr>
                <w:rFonts w:ascii="宋体" w:hAnsi="宋体"/>
                <w:color w:val="000000" w:themeColor="text1"/>
                <w:sz w:val="18"/>
              </w:rPr>
              <w:t>C01表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金融衍生产品及雇员认股权</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103D28">
            <w:pPr>
              <w:jc w:val="center"/>
              <w:rPr>
                <w:rFonts w:ascii="宋体" w:hAnsi="宋体"/>
                <w:color w:val="000000" w:themeColor="text1"/>
                <w:sz w:val="18"/>
              </w:rPr>
            </w:pPr>
            <w:r w:rsidRPr="00CB4B9E">
              <w:rPr>
                <w:rFonts w:ascii="宋体" w:hAnsi="宋体"/>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中国居民与非居民之间的金融衍生产品和雇员认股权交易和头寸</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w:t>
            </w:r>
            <w:r w:rsidRPr="00CB4B9E">
              <w:rPr>
                <w:rFonts w:ascii="宋体" w:eastAsia="宋体" w:hAnsi="宋体" w:hint="eastAsia"/>
                <w:color w:val="000000" w:themeColor="text1"/>
                <w:kern w:val="2"/>
              </w:rPr>
              <w:lastRenderedPageBreak/>
              <w:t>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color w:val="000000" w:themeColor="text1"/>
                <w:sz w:val="18"/>
              </w:rPr>
            </w:pPr>
            <w:r w:rsidRPr="00CB4B9E">
              <w:rPr>
                <w:rFonts w:ascii="宋体" w:hAnsi="宋体"/>
                <w:color w:val="000000" w:themeColor="text1"/>
                <w:sz w:val="18"/>
              </w:rPr>
              <w:lastRenderedPageBreak/>
              <w:t>月后10日前网络报送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jc w:val="center"/>
              <w:rPr>
                <w:rFonts w:ascii="宋体" w:hAnsi="宋体"/>
                <w:color w:val="000000" w:themeColor="text1"/>
                <w:sz w:val="18"/>
              </w:rPr>
            </w:pPr>
            <w:r w:rsidRPr="00CB4B9E">
              <w:rPr>
                <w:rFonts w:ascii="宋体" w:hAnsi="宋体"/>
                <w:color w:val="000000" w:themeColor="text1"/>
                <w:sz w:val="18"/>
              </w:rPr>
              <w:t>28</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spacing w:line="190" w:lineRule="exact"/>
              <w:jc w:val="center"/>
              <w:rPr>
                <w:rFonts w:ascii="宋体" w:hAnsi="宋体"/>
                <w:color w:val="000000" w:themeColor="text1"/>
                <w:sz w:val="18"/>
              </w:rPr>
            </w:pPr>
            <w:r w:rsidRPr="00CB4B9E">
              <w:rPr>
                <w:rFonts w:ascii="宋体" w:hAnsi="宋体"/>
                <w:color w:val="000000" w:themeColor="text1"/>
                <w:sz w:val="18"/>
              </w:rPr>
              <w:t>75-79</w:t>
            </w:r>
          </w:p>
        </w:tc>
      </w:tr>
      <w:tr w:rsidR="00FF78F2" w:rsidRPr="009263D7">
        <w:trPr>
          <w:trHeight w:val="474"/>
        </w:trPr>
        <w:tc>
          <w:tcPr>
            <w:tcW w:w="9720" w:type="dxa"/>
            <w:gridSpan w:val="8"/>
            <w:tcBorders>
              <w:top w:val="single" w:sz="2" w:space="0" w:color="auto"/>
              <w:left w:val="nil"/>
              <w:bottom w:val="single" w:sz="2" w:space="0" w:color="auto"/>
              <w:right w:val="nil"/>
            </w:tcBorders>
            <w:vAlign w:val="center"/>
          </w:tcPr>
          <w:p w:rsidR="00FF78F2" w:rsidRPr="009263D7" w:rsidRDefault="00CB4B9E" w:rsidP="00C47E18">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lastRenderedPageBreak/>
              <w:t>（五）存贷款、应收应付款及非公司制机构股权等其他投资</w:t>
            </w:r>
          </w:p>
        </w:tc>
      </w:tr>
      <w:tr w:rsidR="00FF78F2" w:rsidRPr="009263D7" w:rsidTr="00D15641">
        <w:trPr>
          <w:trHeight w:val="1418"/>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FA2171">
            <w:pPr>
              <w:jc w:val="center"/>
              <w:rPr>
                <w:rFonts w:ascii="宋体" w:hAnsi="宋体"/>
                <w:color w:val="000000" w:themeColor="text1"/>
                <w:sz w:val="18"/>
                <w:szCs w:val="18"/>
              </w:rPr>
            </w:pPr>
            <w:r w:rsidRPr="00CB4B9E">
              <w:rPr>
                <w:rFonts w:ascii="宋体" w:hAnsi="宋体"/>
                <w:color w:val="000000" w:themeColor="text1"/>
                <w:sz w:val="18"/>
                <w:szCs w:val="18"/>
              </w:rPr>
              <w:t>D01表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货币与存款（含存放银行同业和联行）（资产）</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37141">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本机构持有的外币现金（外币现钞和硬币），以及存放在境外机构的款项，包括存放境外同业和联行的款项</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8B0D65">
            <w:pPr>
              <w:spacing w:line="190" w:lineRule="exact"/>
              <w:jc w:val="center"/>
              <w:rPr>
                <w:rFonts w:ascii="宋体" w:hAnsi="宋体"/>
                <w:color w:val="000000" w:themeColor="text1"/>
                <w:sz w:val="18"/>
                <w:szCs w:val="18"/>
              </w:rPr>
            </w:pPr>
            <w:r w:rsidRPr="00CB4B9E">
              <w:rPr>
                <w:rFonts w:ascii="宋体" w:hAnsi="宋体"/>
                <w:color w:val="000000" w:themeColor="text1"/>
                <w:sz w:val="18"/>
                <w:szCs w:val="20"/>
              </w:rPr>
              <w:t>29</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665952">
            <w:pPr>
              <w:jc w:val="center"/>
              <w:rPr>
                <w:rFonts w:ascii="宋体" w:hAnsi="宋体"/>
                <w:color w:val="000000" w:themeColor="text1"/>
                <w:sz w:val="18"/>
                <w:szCs w:val="20"/>
              </w:rPr>
            </w:pPr>
            <w:r w:rsidRPr="00CB4B9E">
              <w:rPr>
                <w:rFonts w:ascii="宋体" w:hAnsi="宋体"/>
                <w:color w:val="000000" w:themeColor="text1"/>
                <w:sz w:val="18"/>
                <w:szCs w:val="20"/>
              </w:rPr>
              <w:t>79-81</w:t>
            </w:r>
          </w:p>
        </w:tc>
      </w:tr>
      <w:tr w:rsidR="00FF78F2" w:rsidRPr="009263D7" w:rsidTr="00D15641">
        <w:trPr>
          <w:trHeight w:val="1410"/>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FA2171">
            <w:pPr>
              <w:jc w:val="center"/>
              <w:rPr>
                <w:rFonts w:ascii="宋体" w:hAnsi="宋体"/>
                <w:color w:val="000000" w:themeColor="text1"/>
                <w:sz w:val="18"/>
                <w:szCs w:val="18"/>
              </w:rPr>
            </w:pPr>
            <w:r w:rsidRPr="00CB4B9E">
              <w:rPr>
                <w:rFonts w:ascii="宋体" w:hAnsi="宋体"/>
                <w:color w:val="000000" w:themeColor="text1"/>
                <w:sz w:val="18"/>
                <w:szCs w:val="18"/>
              </w:rPr>
              <w:t>D02表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贷款（含拆放银行同业及联行）（资产）</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37141">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本机构向境外机构提供的贷款，包括向境外银行、非银行金融机构、非金融机构和个人提供的贷款，以及拆放境外同业和联行款项</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8B0D65">
            <w:pPr>
              <w:spacing w:line="190" w:lineRule="exact"/>
              <w:jc w:val="center"/>
              <w:rPr>
                <w:rFonts w:ascii="宋体" w:hAnsi="宋体"/>
                <w:color w:val="000000" w:themeColor="text1"/>
                <w:sz w:val="18"/>
                <w:szCs w:val="18"/>
              </w:rPr>
            </w:pPr>
            <w:r w:rsidRPr="00CB4B9E">
              <w:rPr>
                <w:rFonts w:ascii="宋体" w:hAnsi="宋体"/>
                <w:color w:val="000000" w:themeColor="text1"/>
                <w:sz w:val="18"/>
                <w:szCs w:val="20"/>
              </w:rPr>
              <w:t>30</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707904">
            <w:pPr>
              <w:jc w:val="center"/>
              <w:rPr>
                <w:rFonts w:ascii="宋体" w:hAnsi="宋体"/>
                <w:color w:val="000000" w:themeColor="text1"/>
                <w:sz w:val="18"/>
                <w:szCs w:val="20"/>
              </w:rPr>
            </w:pPr>
            <w:r w:rsidRPr="00CB4B9E">
              <w:rPr>
                <w:rFonts w:ascii="宋体" w:hAnsi="宋体"/>
                <w:color w:val="000000" w:themeColor="text1"/>
                <w:sz w:val="18"/>
                <w:szCs w:val="20"/>
              </w:rPr>
              <w:t>81-82</w:t>
            </w:r>
          </w:p>
        </w:tc>
      </w:tr>
      <w:tr w:rsidR="00FF78F2" w:rsidRPr="009263D7" w:rsidTr="00D15641">
        <w:trPr>
          <w:trHeight w:val="1558"/>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CA48B1">
            <w:pPr>
              <w:jc w:val="center"/>
              <w:rPr>
                <w:rFonts w:ascii="宋体" w:hAnsi="宋体"/>
                <w:color w:val="000000" w:themeColor="text1"/>
                <w:sz w:val="18"/>
                <w:szCs w:val="18"/>
              </w:rPr>
            </w:pPr>
            <w:r w:rsidRPr="00CB4B9E">
              <w:rPr>
                <w:rFonts w:ascii="宋体" w:hAnsi="宋体"/>
                <w:color w:val="000000" w:themeColor="text1"/>
                <w:sz w:val="18"/>
                <w:szCs w:val="18"/>
              </w:rPr>
              <w:t>D03表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持有境外非公司制机构</w:t>
            </w:r>
            <w:r w:rsidRPr="00CB4B9E">
              <w:rPr>
                <w:rFonts w:ascii="宋体" w:eastAsia="宋体" w:hAnsi="宋体"/>
                <w:color w:val="000000" w:themeColor="text1"/>
                <w:kern w:val="2"/>
              </w:rPr>
              <w:t>10%以下表决权和国际组织股权（资产）</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75CD0">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本机构持有国际组织和境外非关联实体的</w:t>
            </w:r>
            <w:r w:rsidRPr="00CB4B9E">
              <w:rPr>
                <w:rFonts w:ascii="宋体" w:eastAsia="宋体" w:hAnsi="宋体"/>
                <w:color w:val="000000" w:themeColor="text1"/>
                <w:kern w:val="2"/>
              </w:rPr>
              <w:t>10%以下表决权的不可流通股权</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月后10日前网络报送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A24BB">
            <w:pPr>
              <w:spacing w:line="190" w:lineRule="exact"/>
              <w:jc w:val="center"/>
              <w:rPr>
                <w:rFonts w:ascii="宋体" w:hAnsi="宋体"/>
                <w:color w:val="000000" w:themeColor="text1"/>
                <w:sz w:val="18"/>
                <w:szCs w:val="20"/>
              </w:rPr>
            </w:pPr>
            <w:r w:rsidRPr="00CB4B9E">
              <w:rPr>
                <w:rFonts w:ascii="宋体" w:hAnsi="宋体"/>
                <w:color w:val="000000" w:themeColor="text1"/>
                <w:sz w:val="18"/>
                <w:szCs w:val="20"/>
              </w:rPr>
              <w:t>31</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jc w:val="center"/>
              <w:rPr>
                <w:rFonts w:ascii="宋体" w:hAnsi="宋体"/>
                <w:color w:val="000000" w:themeColor="text1"/>
                <w:sz w:val="18"/>
                <w:szCs w:val="20"/>
              </w:rPr>
            </w:pPr>
            <w:r w:rsidRPr="00CB4B9E">
              <w:rPr>
                <w:rFonts w:ascii="宋体" w:hAnsi="宋体"/>
                <w:color w:val="000000" w:themeColor="text1"/>
                <w:sz w:val="18"/>
                <w:szCs w:val="20"/>
              </w:rPr>
              <w:t>82-83</w:t>
            </w:r>
          </w:p>
        </w:tc>
      </w:tr>
      <w:tr w:rsidR="00FF78F2" w:rsidRPr="009263D7" w:rsidTr="00D15641">
        <w:trPr>
          <w:trHeight w:val="1558"/>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CA48B1">
            <w:pPr>
              <w:jc w:val="center"/>
              <w:rPr>
                <w:rFonts w:ascii="宋体" w:hAnsi="宋体"/>
                <w:color w:val="000000" w:themeColor="text1"/>
                <w:sz w:val="18"/>
                <w:szCs w:val="18"/>
              </w:rPr>
            </w:pPr>
            <w:r w:rsidRPr="00CB4B9E">
              <w:rPr>
                <w:rFonts w:ascii="宋体" w:hAnsi="宋体"/>
                <w:color w:val="000000" w:themeColor="text1"/>
                <w:sz w:val="18"/>
                <w:szCs w:val="18"/>
              </w:rPr>
              <w:t>D04表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应收款（不含应收利息）（资产）</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37141">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本机构对境外机构和个人的各类应收款项，但不含应收利息</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8352F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A24BB">
            <w:pPr>
              <w:spacing w:line="190" w:lineRule="exact"/>
              <w:jc w:val="center"/>
              <w:rPr>
                <w:rFonts w:ascii="宋体" w:hAnsi="宋体"/>
                <w:color w:val="000000" w:themeColor="text1"/>
                <w:sz w:val="18"/>
                <w:szCs w:val="18"/>
              </w:rPr>
            </w:pPr>
            <w:r w:rsidRPr="00CB4B9E">
              <w:rPr>
                <w:rFonts w:ascii="宋体" w:hAnsi="宋体"/>
                <w:color w:val="000000" w:themeColor="text1"/>
                <w:sz w:val="18"/>
                <w:szCs w:val="20"/>
              </w:rPr>
              <w:t>32</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641EA0">
            <w:pPr>
              <w:jc w:val="center"/>
              <w:rPr>
                <w:rFonts w:ascii="宋体" w:hAnsi="宋体"/>
                <w:color w:val="000000" w:themeColor="text1"/>
                <w:sz w:val="18"/>
                <w:szCs w:val="20"/>
              </w:rPr>
            </w:pPr>
            <w:r w:rsidRPr="00CB4B9E">
              <w:rPr>
                <w:rFonts w:ascii="宋体" w:hAnsi="宋体"/>
                <w:color w:val="000000" w:themeColor="text1"/>
                <w:sz w:val="18"/>
                <w:szCs w:val="20"/>
              </w:rPr>
              <w:t>83-84</w:t>
            </w:r>
          </w:p>
        </w:tc>
      </w:tr>
      <w:tr w:rsidR="00FF78F2" w:rsidRPr="009263D7" w:rsidTr="00D15641">
        <w:trPr>
          <w:trHeight w:val="916"/>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FA2171">
            <w:pPr>
              <w:jc w:val="center"/>
              <w:rPr>
                <w:rFonts w:ascii="宋体" w:hAnsi="宋体"/>
                <w:color w:val="000000" w:themeColor="text1"/>
                <w:sz w:val="18"/>
                <w:szCs w:val="18"/>
              </w:rPr>
            </w:pPr>
            <w:r w:rsidRPr="00CB4B9E">
              <w:rPr>
                <w:rFonts w:ascii="宋体" w:hAnsi="宋体"/>
                <w:color w:val="000000" w:themeColor="text1"/>
                <w:sz w:val="18"/>
                <w:szCs w:val="18"/>
              </w:rPr>
              <w:t>D05表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存款（含银行同业和联行存放）（负债）</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37141">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本机构吸收的非居民存款，包括境外银行、非银行金融机构、非金融机构和非居民个人的存款</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8B0D65">
            <w:pPr>
              <w:spacing w:line="190" w:lineRule="exact"/>
              <w:jc w:val="center"/>
              <w:rPr>
                <w:rFonts w:ascii="宋体" w:hAnsi="宋体"/>
                <w:color w:val="000000" w:themeColor="text1"/>
                <w:sz w:val="18"/>
                <w:szCs w:val="18"/>
              </w:rPr>
            </w:pPr>
            <w:r w:rsidRPr="00CB4B9E">
              <w:rPr>
                <w:rFonts w:ascii="宋体" w:hAnsi="宋体"/>
                <w:color w:val="000000" w:themeColor="text1"/>
                <w:sz w:val="18"/>
                <w:szCs w:val="20"/>
              </w:rPr>
              <w:t>33</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jc w:val="center"/>
              <w:rPr>
                <w:rFonts w:ascii="宋体" w:hAnsi="宋体"/>
                <w:color w:val="000000" w:themeColor="text1"/>
                <w:sz w:val="18"/>
                <w:szCs w:val="20"/>
              </w:rPr>
            </w:pPr>
            <w:r w:rsidRPr="00CB4B9E">
              <w:rPr>
                <w:rFonts w:ascii="宋体" w:hAnsi="宋体"/>
                <w:color w:val="000000" w:themeColor="text1"/>
                <w:sz w:val="18"/>
                <w:szCs w:val="20"/>
              </w:rPr>
              <w:t>84-85</w:t>
            </w:r>
          </w:p>
        </w:tc>
      </w:tr>
      <w:tr w:rsidR="00FF78F2" w:rsidRPr="009263D7" w:rsidTr="00D15641">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FA2171">
            <w:pPr>
              <w:jc w:val="center"/>
              <w:rPr>
                <w:rFonts w:ascii="宋体" w:hAnsi="宋体"/>
                <w:color w:val="000000" w:themeColor="text1"/>
                <w:sz w:val="18"/>
                <w:szCs w:val="18"/>
              </w:rPr>
            </w:pPr>
            <w:r w:rsidRPr="00CB4B9E">
              <w:rPr>
                <w:rFonts w:ascii="宋体" w:hAnsi="宋体"/>
                <w:color w:val="000000" w:themeColor="text1"/>
                <w:sz w:val="18"/>
                <w:szCs w:val="18"/>
              </w:rPr>
              <w:t>D06表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贷款（含银行同业和联行拆借）（负债）</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37141">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本机构借用的非居民贷款，包括境外银行、非银行金融机构、非金融机构和个人提供的贷款和拆放款项</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8B0D65">
            <w:pPr>
              <w:spacing w:line="190" w:lineRule="exact"/>
              <w:jc w:val="center"/>
              <w:rPr>
                <w:rFonts w:ascii="宋体" w:hAnsi="宋体"/>
                <w:color w:val="000000" w:themeColor="text1"/>
                <w:sz w:val="18"/>
                <w:szCs w:val="18"/>
              </w:rPr>
            </w:pPr>
            <w:r w:rsidRPr="00CB4B9E">
              <w:rPr>
                <w:rFonts w:ascii="宋体" w:hAnsi="宋体"/>
                <w:color w:val="000000" w:themeColor="text1"/>
                <w:sz w:val="18"/>
                <w:szCs w:val="20"/>
              </w:rPr>
              <w:t>34</w:t>
            </w:r>
          </w:p>
        </w:tc>
        <w:tc>
          <w:tcPr>
            <w:tcW w:w="789" w:type="dxa"/>
            <w:tcBorders>
              <w:top w:val="single" w:sz="2" w:space="0" w:color="auto"/>
              <w:left w:val="single" w:sz="2" w:space="0" w:color="auto"/>
              <w:bottom w:val="single" w:sz="2" w:space="0" w:color="auto"/>
              <w:right w:val="nil"/>
            </w:tcBorders>
            <w:vAlign w:val="center"/>
          </w:tcPr>
          <w:p w:rsidR="00371B78" w:rsidRDefault="00CB4B9E">
            <w:pPr>
              <w:jc w:val="center"/>
              <w:rPr>
                <w:rFonts w:ascii="宋体" w:hAnsi="宋体"/>
                <w:color w:val="000000" w:themeColor="text1"/>
                <w:sz w:val="18"/>
                <w:szCs w:val="20"/>
              </w:rPr>
            </w:pPr>
            <w:r w:rsidRPr="00CB4B9E">
              <w:rPr>
                <w:rFonts w:ascii="宋体" w:hAnsi="宋体"/>
                <w:color w:val="000000" w:themeColor="text1"/>
                <w:sz w:val="18"/>
                <w:szCs w:val="20"/>
              </w:rPr>
              <w:t>85-86</w:t>
            </w:r>
          </w:p>
        </w:tc>
      </w:tr>
      <w:tr w:rsidR="00FF78F2" w:rsidRPr="009263D7" w:rsidTr="00D15641">
        <w:trPr>
          <w:trHeight w:val="1593"/>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9A50B6">
            <w:pPr>
              <w:jc w:val="center"/>
              <w:rPr>
                <w:rFonts w:ascii="宋体" w:hAnsi="宋体"/>
                <w:color w:val="000000" w:themeColor="text1"/>
                <w:sz w:val="18"/>
                <w:szCs w:val="18"/>
              </w:rPr>
            </w:pPr>
            <w:r w:rsidRPr="00CB4B9E">
              <w:rPr>
                <w:rFonts w:ascii="宋体" w:hAnsi="宋体"/>
                <w:color w:val="000000" w:themeColor="text1"/>
                <w:sz w:val="18"/>
                <w:szCs w:val="18"/>
              </w:rPr>
              <w:t>D07表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非居民持有本机构（非公司制）</w:t>
            </w:r>
            <w:r w:rsidRPr="00CB4B9E">
              <w:rPr>
                <w:rFonts w:ascii="宋体" w:eastAsia="宋体" w:hAnsi="宋体"/>
                <w:color w:val="000000" w:themeColor="text1"/>
                <w:kern w:val="2"/>
              </w:rPr>
              <w:t>10%以下表决权（负债）</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75CD0">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境外非关联实体持有本机构</w:t>
            </w:r>
            <w:r w:rsidRPr="00CB4B9E">
              <w:rPr>
                <w:rFonts w:ascii="宋体" w:eastAsia="宋体" w:hAnsi="宋体"/>
                <w:color w:val="000000" w:themeColor="text1"/>
                <w:kern w:val="2"/>
              </w:rPr>
              <w:t>10%以下表决权的不可流通股权</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8352F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中国境内非公司制金融机构</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A24BB">
            <w:pPr>
              <w:spacing w:line="190" w:lineRule="exact"/>
              <w:jc w:val="center"/>
              <w:rPr>
                <w:rFonts w:ascii="宋体" w:hAnsi="宋体"/>
                <w:color w:val="000000" w:themeColor="text1"/>
                <w:sz w:val="18"/>
                <w:szCs w:val="20"/>
              </w:rPr>
            </w:pPr>
            <w:r w:rsidRPr="00CB4B9E">
              <w:rPr>
                <w:rFonts w:ascii="宋体" w:hAnsi="宋体"/>
                <w:color w:val="000000" w:themeColor="text1"/>
                <w:sz w:val="18"/>
                <w:szCs w:val="20"/>
              </w:rPr>
              <w:t>35</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jc w:val="center"/>
              <w:rPr>
                <w:rFonts w:ascii="宋体" w:hAnsi="宋体"/>
                <w:color w:val="000000" w:themeColor="text1"/>
                <w:sz w:val="18"/>
                <w:szCs w:val="20"/>
              </w:rPr>
            </w:pPr>
            <w:r w:rsidRPr="00CB4B9E">
              <w:rPr>
                <w:rFonts w:ascii="宋体" w:hAnsi="宋体"/>
                <w:color w:val="000000" w:themeColor="text1"/>
                <w:sz w:val="18"/>
                <w:szCs w:val="20"/>
              </w:rPr>
              <w:t>86-87</w:t>
            </w:r>
          </w:p>
        </w:tc>
      </w:tr>
      <w:tr w:rsidR="00FF78F2" w:rsidRPr="009263D7" w:rsidTr="00D15641">
        <w:trPr>
          <w:trHeight w:val="1593"/>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9A50B6">
            <w:pPr>
              <w:jc w:val="center"/>
              <w:rPr>
                <w:rFonts w:ascii="宋体" w:hAnsi="宋体"/>
                <w:color w:val="000000" w:themeColor="text1"/>
                <w:sz w:val="18"/>
                <w:szCs w:val="18"/>
              </w:rPr>
            </w:pPr>
            <w:r w:rsidRPr="00CB4B9E">
              <w:rPr>
                <w:rFonts w:ascii="宋体" w:hAnsi="宋体"/>
                <w:color w:val="000000" w:themeColor="text1"/>
                <w:sz w:val="18"/>
                <w:szCs w:val="18"/>
              </w:rPr>
              <w:lastRenderedPageBreak/>
              <w:t>D08表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应付款（不含应付利息）（负债）</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37141">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本机构对非居民的应付款项，但不含应付利息</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A24BB">
            <w:pPr>
              <w:spacing w:line="190" w:lineRule="exact"/>
              <w:jc w:val="center"/>
              <w:rPr>
                <w:rFonts w:ascii="宋体" w:hAnsi="宋体"/>
                <w:color w:val="000000" w:themeColor="text1"/>
                <w:sz w:val="18"/>
                <w:szCs w:val="18"/>
              </w:rPr>
            </w:pPr>
            <w:r w:rsidRPr="00CB4B9E">
              <w:rPr>
                <w:rFonts w:ascii="宋体" w:hAnsi="宋体"/>
                <w:color w:val="000000" w:themeColor="text1"/>
                <w:sz w:val="18"/>
                <w:szCs w:val="20"/>
              </w:rPr>
              <w:t>36</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641EA0">
            <w:pPr>
              <w:jc w:val="center"/>
              <w:rPr>
                <w:rFonts w:ascii="宋体" w:hAnsi="宋体"/>
                <w:color w:val="000000" w:themeColor="text1"/>
                <w:sz w:val="18"/>
                <w:szCs w:val="20"/>
              </w:rPr>
            </w:pPr>
            <w:r w:rsidRPr="00CB4B9E">
              <w:rPr>
                <w:rFonts w:ascii="宋体" w:hAnsi="宋体"/>
                <w:color w:val="000000" w:themeColor="text1"/>
                <w:sz w:val="18"/>
                <w:szCs w:val="20"/>
              </w:rPr>
              <w:t>87-88</w:t>
            </w:r>
          </w:p>
        </w:tc>
      </w:tr>
      <w:tr w:rsidR="00FF78F2" w:rsidRPr="009263D7" w:rsidTr="00D15641">
        <w:trPr>
          <w:trHeight w:val="1501"/>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637141">
            <w:pPr>
              <w:jc w:val="center"/>
              <w:rPr>
                <w:rFonts w:ascii="宋体" w:hAnsi="宋体"/>
                <w:color w:val="000000" w:themeColor="text1"/>
                <w:sz w:val="18"/>
                <w:szCs w:val="18"/>
              </w:rPr>
            </w:pPr>
            <w:r w:rsidRPr="00CB4B9E">
              <w:rPr>
                <w:rFonts w:ascii="宋体" w:hAnsi="宋体"/>
                <w:color w:val="000000" w:themeColor="text1"/>
                <w:sz w:val="18"/>
                <w:szCs w:val="18"/>
              </w:rPr>
              <w:t>D09表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对非居民的贷款和应收款减值准备余额</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37141">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对非居民的贷款和应收款类资产的减值准备余额</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szCs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spacing w:line="190" w:lineRule="exact"/>
              <w:jc w:val="center"/>
              <w:rPr>
                <w:rFonts w:ascii="宋体" w:hAnsi="宋体"/>
                <w:color w:val="000000" w:themeColor="text1"/>
                <w:sz w:val="18"/>
                <w:szCs w:val="18"/>
              </w:rPr>
            </w:pPr>
            <w:r w:rsidRPr="00CB4B9E">
              <w:rPr>
                <w:rFonts w:ascii="宋体" w:hAnsi="宋体"/>
                <w:color w:val="000000" w:themeColor="text1"/>
                <w:sz w:val="18"/>
                <w:szCs w:val="20"/>
              </w:rPr>
              <w:t>37</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jc w:val="center"/>
              <w:rPr>
                <w:rFonts w:ascii="宋体" w:hAnsi="宋体"/>
                <w:color w:val="000000" w:themeColor="text1"/>
                <w:sz w:val="18"/>
                <w:szCs w:val="20"/>
              </w:rPr>
            </w:pPr>
            <w:r w:rsidRPr="00CB4B9E">
              <w:rPr>
                <w:rFonts w:ascii="宋体" w:hAnsi="宋体"/>
                <w:color w:val="000000" w:themeColor="text1"/>
                <w:sz w:val="18"/>
                <w:szCs w:val="20"/>
              </w:rPr>
              <w:t>88</w:t>
            </w:r>
          </w:p>
        </w:tc>
      </w:tr>
      <w:tr w:rsidR="00FF78F2" w:rsidRPr="009263D7">
        <w:trPr>
          <w:trHeight w:val="500"/>
        </w:trPr>
        <w:tc>
          <w:tcPr>
            <w:tcW w:w="9720" w:type="dxa"/>
            <w:gridSpan w:val="8"/>
            <w:tcBorders>
              <w:top w:val="single" w:sz="2" w:space="0" w:color="auto"/>
              <w:left w:val="nil"/>
              <w:bottom w:val="single" w:sz="2" w:space="0" w:color="auto"/>
              <w:right w:val="nil"/>
            </w:tcBorders>
            <w:vAlign w:val="center"/>
          </w:tcPr>
          <w:p w:rsidR="00FF78F2" w:rsidRPr="009263D7" w:rsidRDefault="00CB4B9E" w:rsidP="00C47E18">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（六）货物、服务、薪资及债务减免等其他各类往来</w:t>
            </w:r>
          </w:p>
        </w:tc>
      </w:tr>
      <w:tr w:rsidR="00FF78F2" w:rsidRPr="009263D7" w:rsidTr="00D15641">
        <w:trPr>
          <w:trHeight w:val="1458"/>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2C3044">
            <w:pPr>
              <w:jc w:val="center"/>
              <w:rPr>
                <w:color w:val="000000" w:themeColor="text1"/>
                <w:sz w:val="18"/>
                <w:szCs w:val="20"/>
              </w:rPr>
            </w:pPr>
            <w:r w:rsidRPr="00CB4B9E">
              <w:rPr>
                <w:rFonts w:ascii="宋体" w:hAnsi="宋体"/>
                <w:color w:val="000000" w:themeColor="text1"/>
                <w:sz w:val="18"/>
              </w:rPr>
              <w:t>E01</w:t>
            </w:r>
            <w:r w:rsidRPr="00CB4B9E">
              <w:rPr>
                <w:color w:val="000000" w:themeColor="text1"/>
                <w:sz w:val="18"/>
                <w:szCs w:val="20"/>
              </w:rPr>
              <w:t>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货物、服务、薪资及债务减免等其他各类往来</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C343A9">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与非居民发生的货物买卖、服务收支、雇员报酬以及转移等经常项目和资本项目交易</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13D2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中国境内金融机构法人和境外金融机构在中国境内的主报告分支机构，包括银行业、证券业、保险业和其他从事金融业务的机构；境外上市的境内非金融企业及其他指定主体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color w:val="000000" w:themeColor="text1"/>
                <w:sz w:val="18"/>
                <w:szCs w:val="20"/>
              </w:rPr>
            </w:pPr>
            <w:r w:rsidRPr="00CB4B9E">
              <w:rPr>
                <w:rFonts w:ascii="宋体" w:hAnsi="宋体"/>
                <w:color w:val="000000" w:themeColor="text1"/>
                <w:sz w:val="18"/>
              </w:rPr>
              <w:t>月后10日前网络报送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8B0D65">
            <w:pPr>
              <w:jc w:val="center"/>
              <w:rPr>
                <w:rFonts w:ascii="宋体" w:hAnsi="宋体"/>
                <w:color w:val="000000" w:themeColor="text1"/>
                <w:sz w:val="18"/>
                <w:szCs w:val="20"/>
              </w:rPr>
            </w:pPr>
            <w:r w:rsidRPr="00CB4B9E">
              <w:rPr>
                <w:rFonts w:ascii="宋体" w:hAnsi="宋体"/>
                <w:color w:val="000000" w:themeColor="text1"/>
                <w:sz w:val="18"/>
                <w:szCs w:val="20"/>
              </w:rPr>
              <w:t>38-39</w:t>
            </w:r>
          </w:p>
        </w:tc>
        <w:tc>
          <w:tcPr>
            <w:tcW w:w="789" w:type="dxa"/>
            <w:tcBorders>
              <w:top w:val="single" w:sz="2" w:space="0" w:color="auto"/>
              <w:left w:val="single" w:sz="2" w:space="0" w:color="auto"/>
              <w:bottom w:val="single" w:sz="2" w:space="0" w:color="auto"/>
              <w:right w:val="nil"/>
            </w:tcBorders>
            <w:vAlign w:val="center"/>
          </w:tcPr>
          <w:p w:rsidR="00FF78F2" w:rsidRPr="009263D7" w:rsidRDefault="00EC5ED2" w:rsidP="00707904">
            <w:pPr>
              <w:jc w:val="center"/>
              <w:rPr>
                <w:rFonts w:ascii="宋体" w:hAnsi="宋体"/>
                <w:color w:val="000000" w:themeColor="text1"/>
                <w:sz w:val="18"/>
                <w:szCs w:val="20"/>
              </w:rPr>
            </w:pPr>
            <w:r>
              <w:rPr>
                <w:rFonts w:ascii="宋体" w:hAnsi="宋体" w:hint="eastAsia"/>
                <w:color w:val="000000" w:themeColor="text1"/>
                <w:sz w:val="18"/>
                <w:szCs w:val="20"/>
              </w:rPr>
              <w:t>89</w:t>
            </w:r>
            <w:r w:rsidR="00CB4B9E" w:rsidRPr="00CB4B9E">
              <w:rPr>
                <w:rFonts w:ascii="宋体" w:hAnsi="宋体"/>
                <w:color w:val="000000" w:themeColor="text1"/>
                <w:sz w:val="18"/>
                <w:szCs w:val="20"/>
              </w:rPr>
              <w:t>-96</w:t>
            </w:r>
          </w:p>
        </w:tc>
      </w:tr>
      <w:tr w:rsidR="009342F2" w:rsidRPr="009263D7">
        <w:trPr>
          <w:trHeight w:val="500"/>
        </w:trPr>
        <w:tc>
          <w:tcPr>
            <w:tcW w:w="9720" w:type="dxa"/>
            <w:gridSpan w:val="8"/>
            <w:tcBorders>
              <w:top w:val="single" w:sz="2" w:space="0" w:color="auto"/>
              <w:left w:val="nil"/>
              <w:bottom w:val="single" w:sz="2" w:space="0" w:color="auto"/>
              <w:right w:val="nil"/>
            </w:tcBorders>
            <w:vAlign w:val="center"/>
          </w:tcPr>
          <w:p w:rsidR="009342F2" w:rsidRPr="009263D7" w:rsidRDefault="00CB4B9E" w:rsidP="00C47E18">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（七）与进出口票据、单证有关业务</w:t>
            </w:r>
          </w:p>
        </w:tc>
      </w:tr>
      <w:tr w:rsidR="00FF78F2" w:rsidRPr="009263D7" w:rsidTr="00D15641">
        <w:trPr>
          <w:trHeight w:val="1642"/>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D711E3">
            <w:pPr>
              <w:jc w:val="center"/>
              <w:rPr>
                <w:rFonts w:ascii="宋体" w:hAnsi="宋体"/>
                <w:color w:val="000000" w:themeColor="text1"/>
                <w:sz w:val="18"/>
              </w:rPr>
            </w:pPr>
            <w:r w:rsidRPr="00CB4B9E">
              <w:rPr>
                <w:rFonts w:ascii="宋体" w:hAnsi="宋体"/>
                <w:color w:val="000000" w:themeColor="text1"/>
                <w:sz w:val="18"/>
              </w:rPr>
              <w:t>F01表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买断出口票据、单证业务</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C343A9">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本机构买断境外机构承兑（付款）的出口票据、单证情况</w:t>
            </w:r>
          </w:p>
        </w:tc>
        <w:tc>
          <w:tcPr>
            <w:tcW w:w="1843" w:type="dxa"/>
            <w:tcBorders>
              <w:top w:val="single" w:sz="2" w:space="0" w:color="auto"/>
              <w:left w:val="single" w:sz="2" w:space="0" w:color="auto"/>
              <w:bottom w:val="single" w:sz="2" w:space="0" w:color="auto"/>
              <w:right w:val="single" w:sz="2" w:space="0" w:color="auto"/>
            </w:tcBorders>
            <w:vAlign w:val="center"/>
          </w:tcPr>
          <w:p w:rsidR="00DA25C1" w:rsidRPr="009263D7" w:rsidRDefault="00CB4B9E">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41EA0">
            <w:pPr>
              <w:spacing w:line="190" w:lineRule="exact"/>
              <w:jc w:val="center"/>
              <w:rPr>
                <w:rFonts w:ascii="宋体" w:hAnsi="宋体"/>
                <w:color w:val="000000" w:themeColor="text1"/>
                <w:sz w:val="18"/>
                <w:szCs w:val="20"/>
              </w:rPr>
            </w:pPr>
            <w:r w:rsidRPr="00CB4B9E">
              <w:rPr>
                <w:rFonts w:ascii="宋体" w:hAnsi="宋体"/>
                <w:color w:val="000000" w:themeColor="text1"/>
                <w:sz w:val="18"/>
                <w:szCs w:val="20"/>
              </w:rPr>
              <w:t>40</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707904">
            <w:pPr>
              <w:jc w:val="center"/>
              <w:rPr>
                <w:rFonts w:ascii="宋体" w:hAnsi="宋体"/>
                <w:color w:val="000000" w:themeColor="text1"/>
                <w:sz w:val="18"/>
                <w:szCs w:val="20"/>
              </w:rPr>
            </w:pPr>
            <w:r w:rsidRPr="00CB4B9E">
              <w:rPr>
                <w:rFonts w:ascii="宋体" w:hAnsi="宋体"/>
                <w:color w:val="000000" w:themeColor="text1"/>
                <w:sz w:val="18"/>
                <w:szCs w:val="20"/>
              </w:rPr>
              <w:t>96-97</w:t>
            </w:r>
          </w:p>
        </w:tc>
      </w:tr>
      <w:tr w:rsidR="00FF78F2" w:rsidRPr="009263D7" w:rsidTr="00D15641">
        <w:trPr>
          <w:trHeight w:val="1694"/>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D711E3">
            <w:pPr>
              <w:jc w:val="center"/>
              <w:rPr>
                <w:rFonts w:ascii="宋体" w:hAnsi="宋体"/>
                <w:color w:val="000000" w:themeColor="text1"/>
                <w:sz w:val="18"/>
              </w:rPr>
            </w:pPr>
            <w:r w:rsidRPr="00CB4B9E">
              <w:rPr>
                <w:rFonts w:ascii="宋体" w:hAnsi="宋体"/>
                <w:color w:val="000000" w:themeColor="text1"/>
                <w:sz w:val="18"/>
              </w:rPr>
              <w:t>F02表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对外承担第一性付款责任的票据、单证业务</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C343A9">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本机构承兑票据、单证，以及本机构承担第一性付款责任的延付保函情况</w:t>
            </w:r>
          </w:p>
        </w:tc>
        <w:tc>
          <w:tcPr>
            <w:tcW w:w="1843" w:type="dxa"/>
            <w:tcBorders>
              <w:top w:val="single" w:sz="2" w:space="0" w:color="auto"/>
              <w:left w:val="single" w:sz="2" w:space="0" w:color="auto"/>
              <w:bottom w:val="single" w:sz="2" w:space="0" w:color="auto"/>
              <w:right w:val="single" w:sz="2" w:space="0" w:color="auto"/>
            </w:tcBorders>
            <w:vAlign w:val="center"/>
          </w:tcPr>
          <w:p w:rsidR="00DA25C1" w:rsidRPr="009263D7" w:rsidRDefault="00CB4B9E">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中国境内金融机构法人和境外金融机构在中国境内的主报告分支机构，包括银行业、证券业、保险业和其他从事金融业务的机构及其他指定主体</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rFonts w:ascii="宋体" w:hAnsi="宋体"/>
                <w:color w:val="000000" w:themeColor="text1"/>
                <w:sz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41EA0">
            <w:pPr>
              <w:spacing w:line="190" w:lineRule="exact"/>
              <w:jc w:val="center"/>
              <w:rPr>
                <w:rFonts w:ascii="宋体" w:hAnsi="宋体"/>
                <w:color w:val="000000" w:themeColor="text1"/>
                <w:sz w:val="18"/>
              </w:rPr>
            </w:pPr>
            <w:r w:rsidRPr="00CB4B9E">
              <w:rPr>
                <w:rFonts w:ascii="宋体" w:hAnsi="宋体"/>
                <w:color w:val="000000" w:themeColor="text1"/>
                <w:sz w:val="18"/>
              </w:rPr>
              <w:t>41</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jc w:val="center"/>
              <w:rPr>
                <w:rFonts w:ascii="宋体" w:hAnsi="宋体"/>
                <w:color w:val="000000" w:themeColor="text1"/>
                <w:sz w:val="18"/>
                <w:szCs w:val="20"/>
              </w:rPr>
            </w:pPr>
            <w:r w:rsidRPr="00CB4B9E">
              <w:rPr>
                <w:rFonts w:ascii="宋体" w:hAnsi="宋体"/>
                <w:color w:val="000000" w:themeColor="text1"/>
                <w:sz w:val="18"/>
                <w:szCs w:val="20"/>
              </w:rPr>
              <w:t>97-98</w:t>
            </w:r>
          </w:p>
        </w:tc>
      </w:tr>
      <w:tr w:rsidR="00FF78F2" w:rsidRPr="009263D7">
        <w:trPr>
          <w:trHeight w:val="547"/>
        </w:trPr>
        <w:tc>
          <w:tcPr>
            <w:tcW w:w="9720" w:type="dxa"/>
            <w:gridSpan w:val="8"/>
            <w:tcBorders>
              <w:top w:val="single" w:sz="2" w:space="0" w:color="auto"/>
              <w:left w:val="nil"/>
              <w:bottom w:val="single" w:sz="2" w:space="0" w:color="auto"/>
            </w:tcBorders>
            <w:vAlign w:val="center"/>
          </w:tcPr>
          <w:p w:rsidR="00FF78F2" w:rsidRPr="009263D7" w:rsidRDefault="00CB4B9E" w:rsidP="00C47E18">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（八）涉外银行卡相关统计</w:t>
            </w:r>
          </w:p>
        </w:tc>
      </w:tr>
      <w:tr w:rsidR="00FF78F2" w:rsidRPr="009263D7" w:rsidTr="00D15641">
        <w:trPr>
          <w:trHeight w:val="1145"/>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D711E3">
            <w:pPr>
              <w:jc w:val="center"/>
              <w:rPr>
                <w:color w:val="000000" w:themeColor="text1"/>
                <w:sz w:val="18"/>
                <w:szCs w:val="20"/>
              </w:rPr>
            </w:pPr>
            <w:r w:rsidRPr="00CB4B9E">
              <w:rPr>
                <w:rFonts w:ascii="宋体" w:hAnsi="宋体"/>
                <w:color w:val="000000" w:themeColor="text1"/>
                <w:sz w:val="18"/>
              </w:rPr>
              <w:t>G01</w:t>
            </w:r>
            <w:r w:rsidRPr="00CB4B9E">
              <w:rPr>
                <w:color w:val="000000" w:themeColor="text1"/>
                <w:sz w:val="18"/>
                <w:szCs w:val="20"/>
              </w:rPr>
              <w:t>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境内银行卡境外消费提现</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C343A9">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境内发卡行所发行的银行卡在境外消费和提现的情况</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8352F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中国境内银行、银行卡组织和卡机构</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color w:val="000000" w:themeColor="text1"/>
                <w:sz w:val="18"/>
                <w:szCs w:val="20"/>
              </w:rPr>
            </w:pPr>
            <w:r w:rsidRPr="00CB4B9E">
              <w:rPr>
                <w:rFonts w:ascii="宋体" w:hAnsi="宋体"/>
                <w:color w:val="000000" w:themeColor="text1"/>
                <w:sz w:val="18"/>
              </w:rPr>
              <w:t>月后10日前网络报送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41EA0">
            <w:pPr>
              <w:jc w:val="center"/>
              <w:rPr>
                <w:rFonts w:ascii="宋体" w:hAnsi="宋体"/>
                <w:color w:val="000000" w:themeColor="text1"/>
                <w:sz w:val="18"/>
                <w:szCs w:val="20"/>
              </w:rPr>
            </w:pPr>
            <w:r w:rsidRPr="00CB4B9E">
              <w:rPr>
                <w:rFonts w:ascii="宋体" w:hAnsi="宋体"/>
                <w:color w:val="000000" w:themeColor="text1"/>
                <w:sz w:val="18"/>
                <w:szCs w:val="20"/>
              </w:rPr>
              <w:t>42</w:t>
            </w:r>
          </w:p>
        </w:tc>
        <w:tc>
          <w:tcPr>
            <w:tcW w:w="789" w:type="dxa"/>
            <w:tcBorders>
              <w:top w:val="single" w:sz="2" w:space="0" w:color="auto"/>
              <w:left w:val="single" w:sz="2" w:space="0" w:color="auto"/>
              <w:bottom w:val="single" w:sz="2" w:space="0" w:color="auto"/>
              <w:right w:val="nil"/>
            </w:tcBorders>
            <w:vAlign w:val="center"/>
          </w:tcPr>
          <w:p w:rsidR="00371B78" w:rsidRDefault="00CB4B9E">
            <w:pPr>
              <w:jc w:val="center"/>
              <w:rPr>
                <w:rFonts w:ascii="宋体" w:hAnsi="宋体"/>
                <w:color w:val="000000" w:themeColor="text1"/>
                <w:sz w:val="18"/>
                <w:szCs w:val="20"/>
              </w:rPr>
            </w:pPr>
            <w:r w:rsidRPr="00CB4B9E">
              <w:rPr>
                <w:rFonts w:ascii="宋体" w:hAnsi="宋体"/>
                <w:color w:val="000000" w:themeColor="text1"/>
                <w:sz w:val="18"/>
                <w:szCs w:val="20"/>
              </w:rPr>
              <w:t>99</w:t>
            </w:r>
          </w:p>
        </w:tc>
      </w:tr>
      <w:tr w:rsidR="00FF78F2" w:rsidRPr="009263D7" w:rsidTr="00D15641">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D711E3">
            <w:pPr>
              <w:jc w:val="center"/>
              <w:rPr>
                <w:color w:val="000000" w:themeColor="text1"/>
                <w:sz w:val="18"/>
                <w:szCs w:val="20"/>
              </w:rPr>
            </w:pPr>
            <w:r w:rsidRPr="00CB4B9E">
              <w:rPr>
                <w:rFonts w:ascii="宋体" w:hAnsi="宋体"/>
                <w:color w:val="000000" w:themeColor="text1"/>
                <w:sz w:val="18"/>
              </w:rPr>
              <w:t>G02</w:t>
            </w:r>
            <w:r w:rsidRPr="00CB4B9E">
              <w:rPr>
                <w:color w:val="000000" w:themeColor="text1"/>
                <w:sz w:val="18"/>
                <w:szCs w:val="20"/>
              </w:rPr>
              <w:t>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境外银行卡境内消费提现</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C343A9">
            <w:pPr>
              <w:jc w:val="center"/>
              <w:rPr>
                <w:rFonts w:ascii="宋体" w:hAnsi="宋体"/>
                <w:color w:val="000000" w:themeColor="text1"/>
                <w:sz w:val="18"/>
                <w:szCs w:val="18"/>
              </w:rPr>
            </w:pPr>
            <w:r w:rsidRPr="00CB4B9E">
              <w:rPr>
                <w:rFonts w:ascii="宋体" w:hAnsi="宋体"/>
                <w:color w:val="000000" w:themeColor="text1"/>
                <w:sz w:val="18"/>
                <w:szCs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境内收单行所清算的境外银行卡在境内消费和提现情况</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8352F6">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中国境内银行、银行卡组织和卡机构</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jc w:val="center"/>
              <w:rPr>
                <w:color w:val="000000" w:themeColor="text1"/>
                <w:sz w:val="18"/>
                <w:szCs w:val="20"/>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41EA0">
            <w:pPr>
              <w:jc w:val="center"/>
              <w:rPr>
                <w:rFonts w:ascii="宋体" w:hAnsi="宋体"/>
                <w:color w:val="000000" w:themeColor="text1"/>
                <w:sz w:val="18"/>
                <w:szCs w:val="20"/>
              </w:rPr>
            </w:pPr>
            <w:r w:rsidRPr="00CB4B9E">
              <w:rPr>
                <w:rFonts w:ascii="宋体" w:hAnsi="宋体"/>
                <w:color w:val="000000" w:themeColor="text1"/>
                <w:sz w:val="18"/>
                <w:szCs w:val="20"/>
              </w:rPr>
              <w:t>43</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jc w:val="center"/>
              <w:rPr>
                <w:rFonts w:ascii="宋体" w:hAnsi="宋体"/>
                <w:color w:val="000000" w:themeColor="text1"/>
                <w:sz w:val="18"/>
                <w:szCs w:val="20"/>
              </w:rPr>
            </w:pPr>
            <w:r w:rsidRPr="00CB4B9E">
              <w:rPr>
                <w:rFonts w:ascii="宋体" w:hAnsi="宋体"/>
                <w:color w:val="000000" w:themeColor="text1"/>
                <w:sz w:val="18"/>
                <w:szCs w:val="20"/>
              </w:rPr>
              <w:t>100</w:t>
            </w:r>
          </w:p>
        </w:tc>
      </w:tr>
      <w:tr w:rsidR="00FF78F2" w:rsidRPr="009263D7">
        <w:trPr>
          <w:trHeight w:val="304"/>
        </w:trPr>
        <w:tc>
          <w:tcPr>
            <w:tcW w:w="9720" w:type="dxa"/>
            <w:gridSpan w:val="8"/>
            <w:tcBorders>
              <w:top w:val="single" w:sz="2" w:space="0" w:color="auto"/>
              <w:left w:val="nil"/>
              <w:bottom w:val="single" w:sz="2" w:space="0" w:color="auto"/>
              <w:right w:val="nil"/>
            </w:tcBorders>
            <w:vAlign w:val="center"/>
          </w:tcPr>
          <w:p w:rsidR="00FF78F2" w:rsidRPr="009263D7" w:rsidRDefault="00CB4B9E" w:rsidP="00C643AE">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（九）涉外托管业务</w:t>
            </w:r>
          </w:p>
        </w:tc>
      </w:tr>
      <w:tr w:rsidR="00FF78F2" w:rsidRPr="009263D7">
        <w:trPr>
          <w:trHeight w:val="1292"/>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B5693C">
            <w:pPr>
              <w:spacing w:line="190" w:lineRule="exact"/>
              <w:jc w:val="center"/>
              <w:rPr>
                <w:rFonts w:ascii="宋体" w:hAnsi="宋体"/>
                <w:color w:val="000000" w:themeColor="text1"/>
                <w:sz w:val="18"/>
              </w:rPr>
            </w:pPr>
            <w:r w:rsidRPr="00CB4B9E">
              <w:rPr>
                <w:rFonts w:ascii="宋体" w:hAnsi="宋体"/>
                <w:color w:val="000000" w:themeColor="text1"/>
                <w:sz w:val="18"/>
              </w:rPr>
              <w:t>H01表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为非居民托管业务统计</w:t>
            </w:r>
          </w:p>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w:t>
            </w:r>
            <w:r w:rsidRPr="00CB4B9E">
              <w:rPr>
                <w:rFonts w:ascii="宋体" w:eastAsia="宋体" w:hAnsi="宋体"/>
                <w:color w:val="000000" w:themeColor="text1"/>
                <w:kern w:val="2"/>
              </w:rPr>
              <w:t>QFII、RQFII相关）</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B5693C">
            <w:pPr>
              <w:jc w:val="center"/>
              <w:rPr>
                <w:rFonts w:ascii="宋体" w:hAnsi="宋体"/>
                <w:color w:val="000000" w:themeColor="text1"/>
                <w:sz w:val="18"/>
              </w:rPr>
            </w:pPr>
            <w:r w:rsidRPr="00CB4B9E">
              <w:rPr>
                <w:rFonts w:ascii="宋体" w:hAnsi="宋体"/>
                <w:color w:val="000000" w:themeColor="text1"/>
                <w:sz w:val="18"/>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本机构作为境内托管人，为非居民托管的投资产品</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0E6ACF">
            <w:pPr>
              <w:jc w:val="center"/>
              <w:rPr>
                <w:rFonts w:ascii="宋体" w:hAnsi="宋体" w:cs="Century"/>
                <w:color w:val="000000" w:themeColor="text1"/>
                <w:sz w:val="18"/>
                <w:szCs w:val="18"/>
              </w:rPr>
            </w:pPr>
            <w:r w:rsidRPr="00CB4B9E">
              <w:rPr>
                <w:rFonts w:ascii="宋体" w:hAnsi="宋体" w:cs="Century"/>
                <w:color w:val="000000" w:themeColor="text1"/>
                <w:sz w:val="18"/>
                <w:szCs w:val="18"/>
              </w:rPr>
              <w:t>中国境内托管机构</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spacing w:line="190" w:lineRule="exact"/>
              <w:jc w:val="center"/>
              <w:rPr>
                <w:color w:val="000000" w:themeColor="text1"/>
                <w:sz w:val="18"/>
              </w:rPr>
            </w:pPr>
            <w:r w:rsidRPr="00CB4B9E">
              <w:rPr>
                <w:rFonts w:ascii="宋体" w:hAnsi="宋体"/>
                <w:color w:val="000000" w:themeColor="text1"/>
                <w:sz w:val="18"/>
              </w:rPr>
              <w:t>月后10日前网络报送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41EA0">
            <w:pPr>
              <w:jc w:val="center"/>
              <w:rPr>
                <w:rFonts w:ascii="宋体" w:hAnsi="宋体"/>
                <w:color w:val="000000" w:themeColor="text1"/>
                <w:sz w:val="18"/>
              </w:rPr>
            </w:pPr>
            <w:r w:rsidRPr="00CB4B9E">
              <w:rPr>
                <w:rFonts w:ascii="宋体" w:hAnsi="宋体"/>
                <w:color w:val="000000" w:themeColor="text1"/>
                <w:sz w:val="18"/>
              </w:rPr>
              <w:t>44</w:t>
            </w:r>
          </w:p>
        </w:tc>
        <w:tc>
          <w:tcPr>
            <w:tcW w:w="789" w:type="dxa"/>
            <w:tcBorders>
              <w:top w:val="single" w:sz="2" w:space="0" w:color="auto"/>
              <w:left w:val="single" w:sz="2" w:space="0" w:color="auto"/>
              <w:bottom w:val="single" w:sz="2" w:space="0" w:color="auto"/>
              <w:right w:val="nil"/>
            </w:tcBorders>
            <w:vAlign w:val="center"/>
          </w:tcPr>
          <w:p w:rsidR="000F78D8" w:rsidRPr="009263D7" w:rsidRDefault="00CB4B9E" w:rsidP="00665952">
            <w:pPr>
              <w:jc w:val="center"/>
              <w:rPr>
                <w:rFonts w:ascii="宋体" w:hAnsi="宋体"/>
                <w:color w:val="000000" w:themeColor="text1"/>
                <w:sz w:val="18"/>
              </w:rPr>
            </w:pPr>
            <w:r w:rsidRPr="00CB4B9E">
              <w:rPr>
                <w:rFonts w:ascii="宋体" w:hAnsi="宋体"/>
                <w:color w:val="000000" w:themeColor="text1"/>
                <w:sz w:val="18"/>
              </w:rPr>
              <w:t>100-</w:t>
            </w:r>
          </w:p>
          <w:p w:rsidR="00FF78F2" w:rsidRPr="009263D7" w:rsidRDefault="00CB4B9E" w:rsidP="00665952">
            <w:pPr>
              <w:jc w:val="center"/>
              <w:rPr>
                <w:rFonts w:ascii="宋体" w:hAnsi="宋体"/>
                <w:color w:val="000000" w:themeColor="text1"/>
                <w:sz w:val="18"/>
              </w:rPr>
            </w:pPr>
            <w:r w:rsidRPr="00CB4B9E">
              <w:rPr>
                <w:rFonts w:ascii="宋体" w:hAnsi="宋体"/>
                <w:color w:val="000000" w:themeColor="text1"/>
                <w:sz w:val="18"/>
              </w:rPr>
              <w:t>103</w:t>
            </w:r>
          </w:p>
        </w:tc>
      </w:tr>
      <w:tr w:rsidR="00FF78F2" w:rsidRPr="009263D7">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226900">
            <w:pPr>
              <w:spacing w:line="190" w:lineRule="exact"/>
              <w:jc w:val="center"/>
              <w:rPr>
                <w:rFonts w:ascii="宋体" w:hAnsi="宋体"/>
                <w:color w:val="000000" w:themeColor="text1"/>
                <w:sz w:val="18"/>
              </w:rPr>
            </w:pPr>
            <w:r w:rsidRPr="00CB4B9E">
              <w:rPr>
                <w:rFonts w:ascii="宋体" w:hAnsi="宋体"/>
                <w:color w:val="000000" w:themeColor="text1"/>
                <w:sz w:val="18"/>
              </w:rPr>
              <w:t>H02表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为居民托管业务统计</w:t>
            </w:r>
          </w:p>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lastRenderedPageBreak/>
              <w:t>（</w:t>
            </w:r>
            <w:r w:rsidRPr="00CB4B9E">
              <w:rPr>
                <w:rFonts w:ascii="宋体" w:eastAsia="宋体" w:hAnsi="宋体"/>
                <w:color w:val="000000" w:themeColor="text1"/>
                <w:kern w:val="2"/>
              </w:rPr>
              <w:t>QDII相关）</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226900">
            <w:pPr>
              <w:tabs>
                <w:tab w:val="center" w:pos="4153"/>
                <w:tab w:val="right" w:pos="8306"/>
              </w:tabs>
              <w:snapToGrid w:val="0"/>
              <w:jc w:val="center"/>
              <w:rPr>
                <w:rFonts w:ascii="宋体" w:hAnsi="宋体"/>
                <w:color w:val="000000" w:themeColor="text1"/>
                <w:sz w:val="18"/>
              </w:rPr>
            </w:pPr>
            <w:r w:rsidRPr="00CB4B9E">
              <w:rPr>
                <w:rFonts w:ascii="宋体" w:hAnsi="宋体"/>
                <w:color w:val="000000" w:themeColor="text1"/>
                <w:sz w:val="18"/>
              </w:rPr>
              <w:lastRenderedPageBreak/>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本机构作为境内托管人，为居民托管的投资产品</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0E6ACF">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中国境内托管机构</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tabs>
                <w:tab w:val="center" w:pos="4153"/>
                <w:tab w:val="right" w:pos="8306"/>
              </w:tabs>
              <w:snapToGrid w:val="0"/>
              <w:jc w:val="center"/>
              <w:rPr>
                <w:color w:val="000000" w:themeColor="text1"/>
                <w:sz w:val="18"/>
              </w:rPr>
            </w:pPr>
            <w:r w:rsidRPr="00CB4B9E">
              <w:rPr>
                <w:rFonts w:ascii="宋体" w:hAnsi="宋体"/>
                <w:color w:val="000000" w:themeColor="text1"/>
                <w:sz w:val="18"/>
                <w:szCs w:val="18"/>
              </w:rPr>
              <w:t>月后10日</w:t>
            </w:r>
            <w:r w:rsidRPr="00CB4B9E">
              <w:rPr>
                <w:rFonts w:ascii="宋体" w:hAnsi="宋体"/>
                <w:color w:val="000000" w:themeColor="text1"/>
                <w:sz w:val="18"/>
                <w:szCs w:val="18"/>
              </w:rPr>
              <w:lastRenderedPageBreak/>
              <w:t>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575C92">
            <w:pPr>
              <w:tabs>
                <w:tab w:val="center" w:pos="4153"/>
                <w:tab w:val="right" w:pos="8306"/>
              </w:tabs>
              <w:snapToGrid w:val="0"/>
              <w:jc w:val="center"/>
              <w:rPr>
                <w:rFonts w:ascii="宋体" w:hAnsi="宋体"/>
                <w:color w:val="000000" w:themeColor="text1"/>
                <w:sz w:val="18"/>
              </w:rPr>
            </w:pPr>
            <w:r w:rsidRPr="00CB4B9E">
              <w:rPr>
                <w:rFonts w:ascii="宋体" w:hAnsi="宋体"/>
                <w:color w:val="000000" w:themeColor="text1"/>
                <w:sz w:val="18"/>
              </w:rPr>
              <w:lastRenderedPageBreak/>
              <w:t>45</w:t>
            </w:r>
          </w:p>
        </w:tc>
        <w:tc>
          <w:tcPr>
            <w:tcW w:w="789" w:type="dxa"/>
            <w:tcBorders>
              <w:top w:val="single" w:sz="2" w:space="0" w:color="auto"/>
              <w:left w:val="single" w:sz="2" w:space="0" w:color="auto"/>
              <w:bottom w:val="single" w:sz="2" w:space="0" w:color="auto"/>
              <w:right w:val="nil"/>
            </w:tcBorders>
            <w:vAlign w:val="center"/>
          </w:tcPr>
          <w:p w:rsidR="000F78D8" w:rsidRPr="009263D7" w:rsidRDefault="00CB4B9E" w:rsidP="00665952">
            <w:pPr>
              <w:tabs>
                <w:tab w:val="center" w:pos="4153"/>
                <w:tab w:val="right" w:pos="8306"/>
              </w:tabs>
              <w:snapToGrid w:val="0"/>
              <w:jc w:val="center"/>
              <w:rPr>
                <w:rFonts w:ascii="宋体" w:hAnsi="宋体"/>
                <w:color w:val="000000" w:themeColor="text1"/>
                <w:sz w:val="18"/>
              </w:rPr>
            </w:pPr>
            <w:r w:rsidRPr="00CB4B9E">
              <w:rPr>
                <w:rFonts w:ascii="宋体" w:hAnsi="宋体"/>
                <w:color w:val="000000" w:themeColor="text1"/>
                <w:sz w:val="18"/>
              </w:rPr>
              <w:t>103-</w:t>
            </w:r>
          </w:p>
          <w:p w:rsidR="00FF78F2" w:rsidRPr="009263D7" w:rsidRDefault="00CB4B9E" w:rsidP="00665952">
            <w:pPr>
              <w:tabs>
                <w:tab w:val="center" w:pos="4153"/>
                <w:tab w:val="right" w:pos="8306"/>
              </w:tabs>
              <w:snapToGrid w:val="0"/>
              <w:jc w:val="center"/>
              <w:rPr>
                <w:rFonts w:ascii="宋体" w:hAnsi="宋体"/>
                <w:color w:val="000000" w:themeColor="text1"/>
                <w:sz w:val="18"/>
              </w:rPr>
            </w:pPr>
            <w:r w:rsidRPr="00CB4B9E">
              <w:rPr>
                <w:rFonts w:ascii="宋体" w:hAnsi="宋体"/>
                <w:color w:val="000000" w:themeColor="text1"/>
                <w:sz w:val="18"/>
              </w:rPr>
              <w:lastRenderedPageBreak/>
              <w:t>106</w:t>
            </w:r>
          </w:p>
        </w:tc>
      </w:tr>
      <w:tr w:rsidR="00FF78F2" w:rsidRPr="009263D7">
        <w:trPr>
          <w:trHeight w:val="500"/>
        </w:trPr>
        <w:tc>
          <w:tcPr>
            <w:tcW w:w="9720" w:type="dxa"/>
            <w:gridSpan w:val="8"/>
            <w:tcBorders>
              <w:top w:val="single" w:sz="2" w:space="0" w:color="auto"/>
              <w:left w:val="nil"/>
              <w:bottom w:val="single" w:sz="2" w:space="0" w:color="auto"/>
              <w:right w:val="nil"/>
            </w:tcBorders>
            <w:vAlign w:val="center"/>
          </w:tcPr>
          <w:p w:rsidR="00FF78F2" w:rsidRPr="009263D7" w:rsidRDefault="00CB4B9E" w:rsidP="00C47E18">
            <w:pPr>
              <w:pStyle w:val="xl28"/>
              <w:widowControl w:val="0"/>
              <w:pBdr>
                <w:right w:val="none" w:sz="0" w:space="0" w:color="auto"/>
              </w:pBdr>
              <w:tabs>
                <w:tab w:val="center" w:pos="4153"/>
                <w:tab w:val="right" w:pos="8306"/>
              </w:tabs>
              <w:snapToGrid w:val="0"/>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lastRenderedPageBreak/>
              <w:t>（十）涉外保险业务</w:t>
            </w:r>
          </w:p>
        </w:tc>
      </w:tr>
      <w:tr w:rsidR="00FF78F2" w:rsidRPr="009263D7">
        <w:trPr>
          <w:trHeight w:val="1060"/>
        </w:trPr>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CD3501">
            <w:pPr>
              <w:tabs>
                <w:tab w:val="center" w:pos="4153"/>
                <w:tab w:val="right" w:pos="8306"/>
              </w:tabs>
              <w:snapToGrid w:val="0"/>
              <w:jc w:val="center"/>
              <w:rPr>
                <w:color w:val="000000" w:themeColor="text1"/>
                <w:sz w:val="18"/>
                <w:szCs w:val="20"/>
              </w:rPr>
            </w:pPr>
            <w:r w:rsidRPr="00CB4B9E">
              <w:rPr>
                <w:rFonts w:ascii="宋体" w:hAnsi="宋体"/>
                <w:color w:val="000000" w:themeColor="text1"/>
                <w:sz w:val="18"/>
              </w:rPr>
              <w:t>I01</w:t>
            </w:r>
            <w:r w:rsidRPr="00CB4B9E">
              <w:rPr>
                <w:color w:val="000000" w:themeColor="text1"/>
                <w:sz w:val="18"/>
                <w:szCs w:val="20"/>
              </w:rPr>
              <w:t>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E68F3">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为非居民提供直接保险服务</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CD3501">
            <w:pPr>
              <w:tabs>
                <w:tab w:val="center" w:pos="4153"/>
                <w:tab w:val="right" w:pos="8306"/>
              </w:tabs>
              <w:snapToGrid w:val="0"/>
              <w:jc w:val="center"/>
              <w:rPr>
                <w:color w:val="000000" w:themeColor="text1"/>
                <w:sz w:val="18"/>
                <w:szCs w:val="20"/>
              </w:rPr>
            </w:pPr>
            <w:r w:rsidRPr="00CB4B9E">
              <w:rPr>
                <w:color w:val="000000" w:themeColor="text1"/>
                <w:sz w:val="18"/>
                <w:szCs w:val="20"/>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境内保险机构为非居民提供直接保险的情况</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0E6ACF">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中国境内保险机构</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tabs>
                <w:tab w:val="center" w:pos="4153"/>
                <w:tab w:val="right" w:pos="8306"/>
              </w:tabs>
              <w:snapToGrid w:val="0"/>
              <w:spacing w:line="190" w:lineRule="exact"/>
              <w:jc w:val="center"/>
              <w:rPr>
                <w:color w:val="000000" w:themeColor="text1"/>
                <w:sz w:val="18"/>
                <w:szCs w:val="20"/>
              </w:rPr>
            </w:pPr>
            <w:r w:rsidRPr="00CB4B9E">
              <w:rPr>
                <w:rFonts w:ascii="宋体" w:hAnsi="宋体"/>
                <w:color w:val="000000" w:themeColor="text1"/>
                <w:sz w:val="18"/>
              </w:rPr>
              <w:t>月后10日前网络报送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41EA0">
            <w:pPr>
              <w:tabs>
                <w:tab w:val="center" w:pos="4153"/>
                <w:tab w:val="right" w:pos="8306"/>
              </w:tabs>
              <w:snapToGrid w:val="0"/>
              <w:jc w:val="center"/>
              <w:rPr>
                <w:rFonts w:ascii="宋体" w:hAnsi="宋体"/>
                <w:color w:val="000000" w:themeColor="text1"/>
                <w:sz w:val="18"/>
                <w:szCs w:val="20"/>
              </w:rPr>
            </w:pPr>
            <w:r w:rsidRPr="00CB4B9E">
              <w:rPr>
                <w:rFonts w:ascii="宋体" w:hAnsi="宋体"/>
                <w:color w:val="000000" w:themeColor="text1"/>
                <w:sz w:val="18"/>
                <w:szCs w:val="20"/>
              </w:rPr>
              <w:t>46</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tabs>
                <w:tab w:val="center" w:pos="4153"/>
                <w:tab w:val="right" w:pos="8306"/>
              </w:tabs>
              <w:snapToGrid w:val="0"/>
              <w:jc w:val="center"/>
              <w:rPr>
                <w:rFonts w:ascii="宋体" w:hAnsi="宋体"/>
                <w:color w:val="000000" w:themeColor="text1"/>
                <w:sz w:val="18"/>
                <w:szCs w:val="20"/>
              </w:rPr>
            </w:pPr>
            <w:r w:rsidRPr="00CB4B9E">
              <w:rPr>
                <w:rFonts w:ascii="宋体" w:hAnsi="宋体"/>
                <w:color w:val="000000" w:themeColor="text1"/>
                <w:sz w:val="18"/>
                <w:szCs w:val="20"/>
              </w:rPr>
              <w:t>106-</w:t>
            </w:r>
          </w:p>
          <w:p w:rsidR="00FF78F2" w:rsidRPr="009263D7" w:rsidRDefault="00CB4B9E" w:rsidP="00665952">
            <w:pPr>
              <w:tabs>
                <w:tab w:val="center" w:pos="4153"/>
                <w:tab w:val="right" w:pos="8306"/>
              </w:tabs>
              <w:snapToGrid w:val="0"/>
              <w:jc w:val="center"/>
              <w:rPr>
                <w:rFonts w:ascii="宋体" w:hAnsi="宋体"/>
                <w:color w:val="000000" w:themeColor="text1"/>
                <w:sz w:val="18"/>
                <w:szCs w:val="20"/>
              </w:rPr>
            </w:pPr>
            <w:r w:rsidRPr="00CB4B9E">
              <w:rPr>
                <w:rFonts w:ascii="宋体" w:hAnsi="宋体"/>
                <w:color w:val="000000" w:themeColor="text1"/>
                <w:sz w:val="18"/>
                <w:szCs w:val="20"/>
              </w:rPr>
              <w:t>108</w:t>
            </w:r>
          </w:p>
        </w:tc>
      </w:tr>
      <w:tr w:rsidR="00FF78F2" w:rsidRPr="009263D7">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CD3501">
            <w:pPr>
              <w:tabs>
                <w:tab w:val="center" w:pos="4153"/>
                <w:tab w:val="right" w:pos="8306"/>
              </w:tabs>
              <w:snapToGrid w:val="0"/>
              <w:jc w:val="center"/>
              <w:rPr>
                <w:rFonts w:ascii="宋体" w:hAnsi="宋体"/>
                <w:color w:val="000000" w:themeColor="text1"/>
                <w:sz w:val="18"/>
              </w:rPr>
            </w:pPr>
            <w:r w:rsidRPr="00CB4B9E">
              <w:rPr>
                <w:rFonts w:ascii="宋体" w:hAnsi="宋体"/>
                <w:color w:val="000000" w:themeColor="text1"/>
                <w:sz w:val="18"/>
                <w:szCs w:val="18"/>
              </w:rPr>
              <w:t>I02表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E68F3">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为非居民提供再保险服务（分入保险）</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CD3501">
            <w:pPr>
              <w:tabs>
                <w:tab w:val="center" w:pos="4153"/>
                <w:tab w:val="right" w:pos="8306"/>
              </w:tabs>
              <w:snapToGrid w:val="0"/>
              <w:jc w:val="center"/>
              <w:rPr>
                <w:color w:val="000000" w:themeColor="text1"/>
                <w:sz w:val="18"/>
                <w:szCs w:val="20"/>
              </w:rPr>
            </w:pPr>
            <w:r w:rsidRPr="00CB4B9E">
              <w:rPr>
                <w:color w:val="000000" w:themeColor="text1"/>
                <w:sz w:val="18"/>
                <w:szCs w:val="20"/>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为非居民提供再保险服务的情况（分入保险）</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0E6ACF">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中国境内保险机构</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tabs>
                <w:tab w:val="center" w:pos="4153"/>
                <w:tab w:val="right" w:pos="8306"/>
              </w:tabs>
              <w:snapToGrid w:val="0"/>
              <w:spacing w:line="190" w:lineRule="exact"/>
              <w:jc w:val="center"/>
              <w:rPr>
                <w:rFonts w:ascii="宋体" w:hAnsi="宋体"/>
                <w:color w:val="000000" w:themeColor="text1"/>
                <w:sz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41EA0">
            <w:pPr>
              <w:tabs>
                <w:tab w:val="center" w:pos="4153"/>
                <w:tab w:val="right" w:pos="8306"/>
              </w:tabs>
              <w:snapToGrid w:val="0"/>
              <w:spacing w:line="190" w:lineRule="exact"/>
              <w:jc w:val="center"/>
              <w:rPr>
                <w:rFonts w:ascii="宋体" w:hAnsi="宋体"/>
                <w:color w:val="000000" w:themeColor="text1"/>
                <w:sz w:val="18"/>
              </w:rPr>
            </w:pPr>
            <w:r w:rsidRPr="00CB4B9E">
              <w:rPr>
                <w:rFonts w:ascii="宋体" w:hAnsi="宋体"/>
                <w:color w:val="000000" w:themeColor="text1"/>
                <w:sz w:val="18"/>
                <w:szCs w:val="20"/>
              </w:rPr>
              <w:t>47</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4539F4">
            <w:pPr>
              <w:tabs>
                <w:tab w:val="center" w:pos="4153"/>
                <w:tab w:val="right" w:pos="8306"/>
              </w:tabs>
              <w:snapToGrid w:val="0"/>
              <w:jc w:val="center"/>
              <w:rPr>
                <w:rFonts w:ascii="宋体" w:hAnsi="宋体"/>
                <w:color w:val="000000" w:themeColor="text1"/>
                <w:sz w:val="18"/>
                <w:szCs w:val="20"/>
              </w:rPr>
            </w:pPr>
            <w:r w:rsidRPr="00CB4B9E">
              <w:rPr>
                <w:rFonts w:ascii="宋体" w:hAnsi="宋体"/>
                <w:color w:val="000000" w:themeColor="text1"/>
                <w:sz w:val="18"/>
                <w:szCs w:val="20"/>
              </w:rPr>
              <w:t>108-</w:t>
            </w:r>
          </w:p>
          <w:p w:rsidR="00FF78F2" w:rsidRPr="009263D7" w:rsidRDefault="00CB4B9E" w:rsidP="00665952">
            <w:pPr>
              <w:tabs>
                <w:tab w:val="center" w:pos="4153"/>
                <w:tab w:val="right" w:pos="8306"/>
              </w:tabs>
              <w:snapToGrid w:val="0"/>
              <w:jc w:val="center"/>
              <w:rPr>
                <w:rFonts w:ascii="宋体" w:hAnsi="宋体"/>
                <w:color w:val="000000" w:themeColor="text1"/>
                <w:sz w:val="18"/>
                <w:szCs w:val="20"/>
              </w:rPr>
            </w:pPr>
            <w:r w:rsidRPr="00CB4B9E">
              <w:rPr>
                <w:rFonts w:ascii="宋体" w:hAnsi="宋体"/>
                <w:color w:val="000000" w:themeColor="text1"/>
                <w:sz w:val="18"/>
                <w:szCs w:val="20"/>
              </w:rPr>
              <w:t>109</w:t>
            </w:r>
          </w:p>
        </w:tc>
      </w:tr>
      <w:tr w:rsidR="00FF78F2" w:rsidRPr="009263D7">
        <w:tc>
          <w:tcPr>
            <w:tcW w:w="709" w:type="dxa"/>
            <w:tcBorders>
              <w:top w:val="single" w:sz="2" w:space="0" w:color="auto"/>
              <w:left w:val="nil"/>
              <w:bottom w:val="single" w:sz="2" w:space="0" w:color="auto"/>
              <w:right w:val="single" w:sz="2" w:space="0" w:color="auto"/>
            </w:tcBorders>
            <w:vAlign w:val="center"/>
          </w:tcPr>
          <w:p w:rsidR="00FF78F2" w:rsidRPr="009263D7" w:rsidRDefault="00CB4B9E" w:rsidP="00CD3501">
            <w:pPr>
              <w:tabs>
                <w:tab w:val="center" w:pos="4153"/>
                <w:tab w:val="right" w:pos="8306"/>
              </w:tabs>
              <w:snapToGrid w:val="0"/>
              <w:jc w:val="center"/>
              <w:rPr>
                <w:rFonts w:ascii="宋体" w:hAnsi="宋体"/>
                <w:color w:val="000000" w:themeColor="text1"/>
                <w:sz w:val="18"/>
              </w:rPr>
            </w:pPr>
            <w:r w:rsidRPr="00CB4B9E">
              <w:rPr>
                <w:rFonts w:ascii="宋体" w:hAnsi="宋体"/>
                <w:color w:val="000000" w:themeColor="text1"/>
                <w:sz w:val="18"/>
                <w:szCs w:val="18"/>
              </w:rPr>
              <w:t>I03表</w:t>
            </w:r>
          </w:p>
        </w:tc>
        <w:tc>
          <w:tcPr>
            <w:tcW w:w="1701"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6E68F3">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从非居民保险机构获得再保险服务（分出保险）</w:t>
            </w:r>
          </w:p>
        </w:tc>
        <w:tc>
          <w:tcPr>
            <w:tcW w:w="709"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CD3501">
            <w:pPr>
              <w:tabs>
                <w:tab w:val="center" w:pos="4153"/>
                <w:tab w:val="right" w:pos="8306"/>
              </w:tabs>
              <w:snapToGrid w:val="0"/>
              <w:jc w:val="center"/>
              <w:rPr>
                <w:color w:val="000000" w:themeColor="text1"/>
                <w:sz w:val="18"/>
                <w:szCs w:val="20"/>
              </w:rPr>
            </w:pPr>
            <w:r w:rsidRPr="00CB4B9E">
              <w:rPr>
                <w:color w:val="000000" w:themeColor="text1"/>
                <w:sz w:val="18"/>
                <w:szCs w:val="20"/>
              </w:rPr>
              <w:t>月报</w:t>
            </w:r>
          </w:p>
        </w:tc>
        <w:tc>
          <w:tcPr>
            <w:tcW w:w="2268"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D15641">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从非居民保险机构获得再保险服务的情况（分出保险）</w:t>
            </w:r>
          </w:p>
        </w:tc>
        <w:tc>
          <w:tcPr>
            <w:tcW w:w="1843" w:type="dxa"/>
            <w:tcBorders>
              <w:top w:val="single" w:sz="2" w:space="0" w:color="auto"/>
              <w:left w:val="single" w:sz="2" w:space="0" w:color="auto"/>
              <w:bottom w:val="single" w:sz="2" w:space="0" w:color="auto"/>
              <w:right w:val="single" w:sz="2" w:space="0" w:color="auto"/>
            </w:tcBorders>
            <w:vAlign w:val="center"/>
          </w:tcPr>
          <w:p w:rsidR="00FF78F2" w:rsidRPr="009263D7" w:rsidRDefault="00CB4B9E" w:rsidP="000E6ACF">
            <w:pPr>
              <w:pStyle w:val="xl28"/>
              <w:widowControl w:val="0"/>
              <w:pBdr>
                <w:right w:val="none" w:sz="0" w:space="0" w:color="auto"/>
              </w:pBdr>
              <w:tabs>
                <w:tab w:val="center" w:pos="4153"/>
                <w:tab w:val="right" w:pos="8306"/>
              </w:tabs>
              <w:snapToGrid w:val="0"/>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中国境内保险机构</w:t>
            </w:r>
          </w:p>
        </w:tc>
        <w:tc>
          <w:tcPr>
            <w:tcW w:w="992" w:type="dxa"/>
            <w:tcBorders>
              <w:top w:val="single" w:sz="2" w:space="0" w:color="auto"/>
              <w:left w:val="single" w:sz="2" w:space="0" w:color="auto"/>
              <w:bottom w:val="single" w:sz="2" w:space="0" w:color="auto"/>
              <w:right w:val="single" w:sz="4" w:space="0" w:color="auto"/>
            </w:tcBorders>
            <w:vAlign w:val="center"/>
          </w:tcPr>
          <w:p w:rsidR="00FF78F2" w:rsidRPr="009263D7" w:rsidRDefault="00CB4B9E" w:rsidP="00341B3B">
            <w:pPr>
              <w:tabs>
                <w:tab w:val="center" w:pos="4153"/>
                <w:tab w:val="right" w:pos="8306"/>
              </w:tabs>
              <w:snapToGrid w:val="0"/>
              <w:spacing w:line="190" w:lineRule="exact"/>
              <w:jc w:val="center"/>
              <w:rPr>
                <w:rFonts w:ascii="宋体" w:hAnsi="宋体"/>
                <w:color w:val="000000" w:themeColor="text1"/>
                <w:sz w:val="18"/>
              </w:rPr>
            </w:pPr>
            <w:r w:rsidRPr="00CB4B9E">
              <w:rPr>
                <w:rFonts w:ascii="宋体" w:hAnsi="宋体"/>
                <w:color w:val="000000" w:themeColor="text1"/>
                <w:sz w:val="18"/>
                <w:szCs w:val="18"/>
              </w:rPr>
              <w:t>月后10日内网络报送</w:t>
            </w:r>
          </w:p>
        </w:tc>
        <w:tc>
          <w:tcPr>
            <w:tcW w:w="709" w:type="dxa"/>
            <w:tcBorders>
              <w:top w:val="single" w:sz="2" w:space="0" w:color="auto"/>
              <w:left w:val="single" w:sz="4" w:space="0" w:color="auto"/>
              <w:bottom w:val="single" w:sz="2" w:space="0" w:color="auto"/>
              <w:right w:val="single" w:sz="2" w:space="0" w:color="auto"/>
            </w:tcBorders>
            <w:vAlign w:val="center"/>
          </w:tcPr>
          <w:p w:rsidR="00FF78F2" w:rsidRPr="009263D7" w:rsidRDefault="00CB4B9E" w:rsidP="00641EA0">
            <w:pPr>
              <w:tabs>
                <w:tab w:val="center" w:pos="4153"/>
                <w:tab w:val="right" w:pos="8306"/>
              </w:tabs>
              <w:snapToGrid w:val="0"/>
              <w:spacing w:line="190" w:lineRule="exact"/>
              <w:jc w:val="center"/>
              <w:rPr>
                <w:rFonts w:ascii="宋体" w:hAnsi="宋体"/>
                <w:color w:val="000000" w:themeColor="text1"/>
                <w:sz w:val="18"/>
              </w:rPr>
            </w:pPr>
            <w:r w:rsidRPr="00CB4B9E">
              <w:rPr>
                <w:rFonts w:ascii="宋体" w:hAnsi="宋体"/>
                <w:color w:val="000000" w:themeColor="text1"/>
                <w:sz w:val="18"/>
                <w:szCs w:val="20"/>
              </w:rPr>
              <w:t>48</w:t>
            </w:r>
          </w:p>
        </w:tc>
        <w:tc>
          <w:tcPr>
            <w:tcW w:w="789" w:type="dxa"/>
            <w:tcBorders>
              <w:top w:val="single" w:sz="2" w:space="0" w:color="auto"/>
              <w:left w:val="single" w:sz="2" w:space="0" w:color="auto"/>
              <w:bottom w:val="single" w:sz="2" w:space="0" w:color="auto"/>
              <w:right w:val="nil"/>
            </w:tcBorders>
            <w:vAlign w:val="center"/>
          </w:tcPr>
          <w:p w:rsidR="00FF78F2" w:rsidRPr="009263D7" w:rsidRDefault="00CB4B9E" w:rsidP="00031786">
            <w:pPr>
              <w:jc w:val="center"/>
              <w:rPr>
                <w:rFonts w:ascii="宋体" w:hAnsi="宋体"/>
                <w:color w:val="000000" w:themeColor="text1"/>
                <w:sz w:val="18"/>
                <w:szCs w:val="20"/>
              </w:rPr>
            </w:pPr>
            <w:r w:rsidRPr="00CB4B9E">
              <w:rPr>
                <w:rFonts w:ascii="宋体" w:hAnsi="宋体"/>
                <w:color w:val="000000" w:themeColor="text1"/>
                <w:sz w:val="18"/>
                <w:szCs w:val="20"/>
              </w:rPr>
              <w:t>109</w:t>
            </w:r>
          </w:p>
          <w:p w:rsidR="00FF78F2" w:rsidRPr="009263D7" w:rsidRDefault="00CB4B9E" w:rsidP="00665952">
            <w:pPr>
              <w:jc w:val="center"/>
              <w:rPr>
                <w:rFonts w:ascii="宋体" w:hAnsi="宋体"/>
                <w:color w:val="000000" w:themeColor="text1"/>
                <w:sz w:val="18"/>
                <w:szCs w:val="20"/>
              </w:rPr>
            </w:pPr>
            <w:r w:rsidRPr="00CB4B9E">
              <w:rPr>
                <w:rFonts w:ascii="宋体" w:hAnsi="宋体"/>
                <w:color w:val="000000" w:themeColor="text1"/>
                <w:sz w:val="18"/>
                <w:szCs w:val="20"/>
              </w:rPr>
              <w:t>-111</w:t>
            </w:r>
          </w:p>
        </w:tc>
      </w:tr>
      <w:tr w:rsidR="00FF78F2" w:rsidRPr="009263D7">
        <w:trPr>
          <w:trHeight w:val="500"/>
        </w:trPr>
        <w:tc>
          <w:tcPr>
            <w:tcW w:w="9720" w:type="dxa"/>
            <w:gridSpan w:val="8"/>
            <w:tcBorders>
              <w:top w:val="single" w:sz="2" w:space="0" w:color="auto"/>
              <w:left w:val="nil"/>
              <w:bottom w:val="single" w:sz="2" w:space="0" w:color="auto"/>
              <w:right w:val="nil"/>
            </w:tcBorders>
            <w:vAlign w:val="center"/>
          </w:tcPr>
          <w:p w:rsidR="00FF78F2" w:rsidRPr="009263D7" w:rsidRDefault="00CB4B9E" w:rsidP="00C47E18">
            <w:pPr>
              <w:pStyle w:val="xl28"/>
              <w:widowControl w:val="0"/>
              <w:pBdr>
                <w:right w:val="none" w:sz="0" w:space="0" w:color="auto"/>
              </w:pBdr>
              <w:spacing w:before="0" w:beforeAutospacing="0" w:after="0" w:afterAutospacing="0" w:line="190" w:lineRule="exact"/>
              <w:jc w:val="left"/>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（十一）补充报表：银行进出口贸易融资余额</w:t>
            </w:r>
          </w:p>
        </w:tc>
      </w:tr>
      <w:tr w:rsidR="00FF78F2" w:rsidRPr="009263D7">
        <w:trPr>
          <w:trHeight w:val="1009"/>
        </w:trPr>
        <w:tc>
          <w:tcPr>
            <w:tcW w:w="709" w:type="dxa"/>
            <w:tcBorders>
              <w:top w:val="single" w:sz="2" w:space="0" w:color="auto"/>
              <w:left w:val="nil"/>
              <w:bottom w:val="single" w:sz="8" w:space="0" w:color="auto"/>
              <w:right w:val="single" w:sz="2" w:space="0" w:color="auto"/>
            </w:tcBorders>
            <w:vAlign w:val="center"/>
          </w:tcPr>
          <w:p w:rsidR="00FF78F2" w:rsidRPr="009263D7" w:rsidRDefault="00CB4B9E" w:rsidP="003E277A">
            <w:pPr>
              <w:jc w:val="center"/>
              <w:rPr>
                <w:color w:val="000000" w:themeColor="text1"/>
                <w:sz w:val="18"/>
                <w:szCs w:val="20"/>
              </w:rPr>
            </w:pPr>
            <w:r w:rsidRPr="00CB4B9E">
              <w:rPr>
                <w:rFonts w:ascii="宋体" w:hAnsi="宋体"/>
                <w:color w:val="000000" w:themeColor="text1"/>
                <w:sz w:val="18"/>
              </w:rPr>
              <w:t>X01表</w:t>
            </w:r>
          </w:p>
        </w:tc>
        <w:tc>
          <w:tcPr>
            <w:tcW w:w="1701" w:type="dxa"/>
            <w:tcBorders>
              <w:top w:val="single" w:sz="2" w:space="0" w:color="auto"/>
              <w:left w:val="single" w:sz="2" w:space="0" w:color="auto"/>
              <w:bottom w:val="single" w:sz="8" w:space="0" w:color="auto"/>
              <w:right w:val="single" w:sz="2" w:space="0" w:color="auto"/>
            </w:tcBorders>
            <w:vAlign w:val="center"/>
          </w:tcPr>
          <w:p w:rsidR="00FF78F2" w:rsidRPr="009263D7" w:rsidRDefault="00CB4B9E" w:rsidP="00FF77D9">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银行进出口贸易融资余额</w:t>
            </w:r>
          </w:p>
        </w:tc>
        <w:tc>
          <w:tcPr>
            <w:tcW w:w="709" w:type="dxa"/>
            <w:tcBorders>
              <w:top w:val="single" w:sz="2" w:space="0" w:color="auto"/>
              <w:left w:val="single" w:sz="2" w:space="0" w:color="auto"/>
              <w:bottom w:val="single" w:sz="8" w:space="0" w:color="auto"/>
              <w:right w:val="single" w:sz="2" w:space="0" w:color="auto"/>
            </w:tcBorders>
            <w:vAlign w:val="center"/>
          </w:tcPr>
          <w:p w:rsidR="00FF78F2" w:rsidRPr="009263D7" w:rsidRDefault="00CB4B9E" w:rsidP="003E277A">
            <w:pPr>
              <w:jc w:val="center"/>
              <w:rPr>
                <w:color w:val="000000" w:themeColor="text1"/>
                <w:sz w:val="18"/>
                <w:szCs w:val="20"/>
              </w:rPr>
            </w:pPr>
            <w:r w:rsidRPr="00CB4B9E">
              <w:rPr>
                <w:color w:val="000000" w:themeColor="text1"/>
                <w:sz w:val="18"/>
                <w:szCs w:val="20"/>
              </w:rPr>
              <w:t>月报</w:t>
            </w:r>
          </w:p>
        </w:tc>
        <w:tc>
          <w:tcPr>
            <w:tcW w:w="2268" w:type="dxa"/>
            <w:tcBorders>
              <w:top w:val="single" w:sz="2" w:space="0" w:color="auto"/>
              <w:left w:val="single" w:sz="2" w:space="0" w:color="auto"/>
              <w:bottom w:val="single" w:sz="8" w:space="0" w:color="auto"/>
              <w:right w:val="single" w:sz="2" w:space="0" w:color="auto"/>
            </w:tcBorders>
            <w:vAlign w:val="center"/>
          </w:tcPr>
          <w:p w:rsidR="00FF78F2" w:rsidRPr="009263D7" w:rsidRDefault="00CB4B9E" w:rsidP="00D15641">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银行与进出口有关的贸易融资业务余额</w:t>
            </w:r>
          </w:p>
        </w:tc>
        <w:tc>
          <w:tcPr>
            <w:tcW w:w="1843" w:type="dxa"/>
            <w:tcBorders>
              <w:top w:val="single" w:sz="2" w:space="0" w:color="auto"/>
              <w:left w:val="single" w:sz="2" w:space="0" w:color="auto"/>
              <w:bottom w:val="single" w:sz="8" w:space="0" w:color="auto"/>
              <w:right w:val="single" w:sz="2" w:space="0" w:color="auto"/>
            </w:tcBorders>
            <w:vAlign w:val="center"/>
          </w:tcPr>
          <w:p w:rsidR="00FF78F2" w:rsidRPr="009263D7" w:rsidRDefault="00CB4B9E" w:rsidP="000E6ACF">
            <w:pPr>
              <w:pStyle w:val="xl28"/>
              <w:widowControl w:val="0"/>
              <w:pBdr>
                <w:right w:val="none" w:sz="0" w:space="0" w:color="auto"/>
              </w:pBdr>
              <w:spacing w:before="0" w:beforeAutospacing="0" w:after="0" w:afterAutospacing="0" w:line="190" w:lineRule="exact"/>
              <w:jc w:val="center"/>
              <w:textAlignment w:val="auto"/>
              <w:rPr>
                <w:rFonts w:ascii="宋体" w:eastAsia="宋体" w:hAnsi="宋体"/>
                <w:color w:val="000000" w:themeColor="text1"/>
                <w:kern w:val="2"/>
              </w:rPr>
            </w:pPr>
            <w:r w:rsidRPr="00CB4B9E">
              <w:rPr>
                <w:rFonts w:ascii="宋体" w:eastAsia="宋体" w:hAnsi="宋体" w:hint="eastAsia"/>
                <w:color w:val="000000" w:themeColor="text1"/>
                <w:kern w:val="2"/>
              </w:rPr>
              <w:t>中国境内银行</w:t>
            </w:r>
          </w:p>
        </w:tc>
        <w:tc>
          <w:tcPr>
            <w:tcW w:w="992" w:type="dxa"/>
            <w:tcBorders>
              <w:top w:val="single" w:sz="2" w:space="0" w:color="auto"/>
              <w:left w:val="single" w:sz="2" w:space="0" w:color="auto"/>
              <w:bottom w:val="single" w:sz="8" w:space="0" w:color="auto"/>
              <w:right w:val="single" w:sz="4" w:space="0" w:color="auto"/>
            </w:tcBorders>
            <w:vAlign w:val="center"/>
          </w:tcPr>
          <w:p w:rsidR="00FF78F2" w:rsidRPr="009263D7" w:rsidRDefault="00CB4B9E" w:rsidP="00341B3B">
            <w:pPr>
              <w:spacing w:line="190" w:lineRule="exact"/>
              <w:jc w:val="center"/>
              <w:rPr>
                <w:color w:val="000000" w:themeColor="text1"/>
                <w:sz w:val="18"/>
                <w:szCs w:val="20"/>
              </w:rPr>
            </w:pPr>
            <w:r w:rsidRPr="00CB4B9E">
              <w:rPr>
                <w:rFonts w:ascii="宋体" w:hAnsi="宋体"/>
                <w:color w:val="000000" w:themeColor="text1"/>
                <w:sz w:val="18"/>
              </w:rPr>
              <w:t>月后10日前网络报送</w:t>
            </w:r>
          </w:p>
        </w:tc>
        <w:tc>
          <w:tcPr>
            <w:tcW w:w="709" w:type="dxa"/>
            <w:tcBorders>
              <w:top w:val="single" w:sz="2" w:space="0" w:color="auto"/>
              <w:left w:val="single" w:sz="4" w:space="0" w:color="auto"/>
              <w:bottom w:val="single" w:sz="8" w:space="0" w:color="auto"/>
              <w:right w:val="single" w:sz="2" w:space="0" w:color="auto"/>
            </w:tcBorders>
            <w:vAlign w:val="center"/>
          </w:tcPr>
          <w:p w:rsidR="00FF78F2" w:rsidRPr="009263D7" w:rsidRDefault="00CB4B9E" w:rsidP="00641EA0">
            <w:pPr>
              <w:jc w:val="center"/>
              <w:rPr>
                <w:rFonts w:ascii="宋体" w:hAnsi="宋体"/>
                <w:color w:val="000000" w:themeColor="text1"/>
                <w:sz w:val="18"/>
                <w:szCs w:val="20"/>
              </w:rPr>
            </w:pPr>
            <w:r w:rsidRPr="00CB4B9E">
              <w:rPr>
                <w:rFonts w:ascii="宋体" w:hAnsi="宋体"/>
                <w:color w:val="000000" w:themeColor="text1"/>
                <w:sz w:val="18"/>
                <w:szCs w:val="20"/>
              </w:rPr>
              <w:t>49</w:t>
            </w:r>
          </w:p>
        </w:tc>
        <w:tc>
          <w:tcPr>
            <w:tcW w:w="789" w:type="dxa"/>
            <w:tcBorders>
              <w:top w:val="single" w:sz="2" w:space="0" w:color="auto"/>
              <w:left w:val="single" w:sz="2" w:space="0" w:color="auto"/>
              <w:bottom w:val="single" w:sz="8" w:space="0" w:color="auto"/>
              <w:right w:val="nil"/>
            </w:tcBorders>
            <w:vAlign w:val="center"/>
          </w:tcPr>
          <w:p w:rsidR="00FF78F2" w:rsidRPr="009263D7" w:rsidRDefault="00CB4B9E" w:rsidP="00707904">
            <w:pPr>
              <w:jc w:val="center"/>
              <w:rPr>
                <w:rFonts w:ascii="宋体" w:hAnsi="宋体"/>
                <w:color w:val="000000" w:themeColor="text1"/>
                <w:sz w:val="18"/>
                <w:szCs w:val="20"/>
              </w:rPr>
            </w:pPr>
            <w:r w:rsidRPr="00CB4B9E">
              <w:rPr>
                <w:rFonts w:ascii="宋体" w:hAnsi="宋体"/>
                <w:color w:val="000000" w:themeColor="text1"/>
                <w:sz w:val="18"/>
                <w:szCs w:val="20"/>
              </w:rPr>
              <w:t>111-</w:t>
            </w:r>
          </w:p>
          <w:p w:rsidR="00C9630B" w:rsidRDefault="00CB4B9E">
            <w:pPr>
              <w:jc w:val="center"/>
              <w:rPr>
                <w:rFonts w:ascii="宋体" w:hAnsi="宋体"/>
                <w:color w:val="000000" w:themeColor="text1"/>
                <w:sz w:val="18"/>
                <w:szCs w:val="20"/>
              </w:rPr>
            </w:pPr>
            <w:r w:rsidRPr="00CB4B9E">
              <w:rPr>
                <w:rFonts w:ascii="宋体" w:hAnsi="宋体"/>
                <w:color w:val="000000" w:themeColor="text1"/>
                <w:sz w:val="18"/>
                <w:szCs w:val="20"/>
              </w:rPr>
              <w:t>11</w:t>
            </w:r>
            <w:r w:rsidR="00EC5ED2">
              <w:rPr>
                <w:rFonts w:ascii="宋体" w:hAnsi="宋体" w:hint="eastAsia"/>
                <w:color w:val="000000" w:themeColor="text1"/>
                <w:sz w:val="18"/>
                <w:szCs w:val="20"/>
              </w:rPr>
              <w:t>3</w:t>
            </w:r>
          </w:p>
        </w:tc>
      </w:tr>
    </w:tbl>
    <w:p w:rsidR="00A92645" w:rsidRPr="009263D7" w:rsidRDefault="00CB4B9E" w:rsidP="000C3B63">
      <w:pPr>
        <w:ind w:rightChars="154" w:right="323"/>
        <w:rPr>
          <w:rFonts w:ascii="黑体" w:eastAsia="黑体"/>
          <w:color w:val="000000" w:themeColor="text1"/>
          <w:sz w:val="18"/>
          <w:szCs w:val="18"/>
        </w:rPr>
      </w:pPr>
      <w:r w:rsidRPr="00CB4B9E">
        <w:rPr>
          <w:color w:val="000000" w:themeColor="text1"/>
          <w:sz w:val="18"/>
          <w:szCs w:val="18"/>
        </w:rPr>
        <w:t>注：本制度中境内指中国大陆，境外指中国大陆以外，包括外国和中国香港、澳门和台湾地区。</w:t>
      </w:r>
      <w:r w:rsidRPr="00CB4B9E">
        <w:rPr>
          <w:color w:val="000000" w:themeColor="text1"/>
          <w:sz w:val="18"/>
          <w:szCs w:val="18"/>
        </w:rPr>
        <w:br w:type="page"/>
      </w:r>
      <w:r w:rsidRPr="00CB4B9E">
        <w:rPr>
          <w:rFonts w:ascii="黑体" w:eastAsia="黑体"/>
          <w:color w:val="000000" w:themeColor="text1"/>
          <w:sz w:val="18"/>
          <w:szCs w:val="18"/>
        </w:rPr>
        <w:lastRenderedPageBreak/>
        <w:t xml:space="preserve"> </w:t>
      </w:r>
    </w:p>
    <w:p w:rsidR="008D6E65" w:rsidRPr="009263D7" w:rsidRDefault="00CB4B9E" w:rsidP="008D6E65">
      <w:pPr>
        <w:pStyle w:val="10"/>
        <w:rPr>
          <w:rFonts w:eastAsia="黑体"/>
          <w:color w:val="000000" w:themeColor="text1"/>
          <w:sz w:val="32"/>
        </w:rPr>
      </w:pPr>
      <w:bookmarkStart w:id="4" w:name="_Toc340494460"/>
      <w:bookmarkStart w:id="5" w:name="_Toc452017118"/>
      <w:r w:rsidRPr="00CB4B9E">
        <w:rPr>
          <w:rFonts w:eastAsia="黑体" w:hint="eastAsia"/>
          <w:color w:val="000000" w:themeColor="text1"/>
          <w:sz w:val="32"/>
        </w:rPr>
        <w:t>三</w:t>
      </w:r>
      <w:r w:rsidRPr="00CB4B9E">
        <w:rPr>
          <w:rFonts w:ascii="黑体" w:eastAsia="黑体" w:hint="eastAsia"/>
          <w:color w:val="000000" w:themeColor="text1"/>
          <w:sz w:val="32"/>
        </w:rPr>
        <w:t>、</w:t>
      </w:r>
      <w:r w:rsidRPr="00CB4B9E">
        <w:rPr>
          <w:rFonts w:eastAsia="黑体" w:hint="eastAsia"/>
          <w:color w:val="000000" w:themeColor="text1"/>
          <w:sz w:val="32"/>
        </w:rPr>
        <w:t>调</w:t>
      </w:r>
      <w:r w:rsidRPr="00CB4B9E">
        <w:rPr>
          <w:rFonts w:eastAsia="黑体"/>
          <w:color w:val="000000" w:themeColor="text1"/>
          <w:sz w:val="32"/>
        </w:rPr>
        <w:t xml:space="preserve"> </w:t>
      </w:r>
      <w:r w:rsidRPr="00CB4B9E">
        <w:rPr>
          <w:rFonts w:eastAsia="黑体" w:hint="eastAsia"/>
          <w:color w:val="000000" w:themeColor="text1"/>
          <w:sz w:val="32"/>
        </w:rPr>
        <w:t>查</w:t>
      </w:r>
      <w:r w:rsidRPr="00CB4B9E">
        <w:rPr>
          <w:rFonts w:eastAsia="黑体"/>
          <w:color w:val="000000" w:themeColor="text1"/>
          <w:sz w:val="32"/>
        </w:rPr>
        <w:t xml:space="preserve"> </w:t>
      </w:r>
      <w:r w:rsidRPr="00CB4B9E">
        <w:rPr>
          <w:rFonts w:eastAsia="黑体" w:hint="eastAsia"/>
          <w:color w:val="000000" w:themeColor="text1"/>
          <w:sz w:val="32"/>
        </w:rPr>
        <w:t>表</w:t>
      </w:r>
      <w:r w:rsidRPr="00CB4B9E">
        <w:rPr>
          <w:rFonts w:eastAsia="黑体"/>
          <w:color w:val="000000" w:themeColor="text1"/>
          <w:sz w:val="32"/>
        </w:rPr>
        <w:t xml:space="preserve"> </w:t>
      </w:r>
      <w:r w:rsidRPr="00CB4B9E">
        <w:rPr>
          <w:rFonts w:eastAsia="黑体" w:hint="eastAsia"/>
          <w:color w:val="000000" w:themeColor="text1"/>
          <w:sz w:val="32"/>
        </w:rPr>
        <w:t>式</w:t>
      </w:r>
      <w:bookmarkEnd w:id="4"/>
      <w:bookmarkEnd w:id="5"/>
    </w:p>
    <w:p w:rsidR="009C2891" w:rsidRPr="009263D7" w:rsidRDefault="00CB4B9E" w:rsidP="008D6E65">
      <w:pPr>
        <w:pStyle w:val="2"/>
        <w:jc w:val="center"/>
        <w:rPr>
          <w:rFonts w:ascii="宋体" w:eastAsia="宋体" w:hAnsi="宋体"/>
          <w:b w:val="0"/>
          <w:color w:val="000000" w:themeColor="text1"/>
          <w:kern w:val="0"/>
        </w:rPr>
      </w:pPr>
      <w:bookmarkStart w:id="6" w:name="_Toc452017119"/>
      <w:bookmarkStart w:id="7" w:name="_Toc372634046"/>
      <w:r w:rsidRPr="00CB4B9E">
        <w:rPr>
          <w:rFonts w:ascii="宋体" w:eastAsia="宋体" w:hAnsi="宋体" w:hint="eastAsia"/>
          <w:b w:val="0"/>
          <w:color w:val="000000" w:themeColor="text1"/>
          <w:kern w:val="0"/>
        </w:rPr>
        <w:t>（一）基本信息</w:t>
      </w:r>
      <w:bookmarkEnd w:id="6"/>
    </w:p>
    <w:p w:rsidR="008D6E65" w:rsidRPr="009263D7" w:rsidRDefault="00CB4B9E" w:rsidP="008D6E65">
      <w:pPr>
        <w:pStyle w:val="2"/>
        <w:jc w:val="center"/>
        <w:rPr>
          <w:rFonts w:ascii="宋体" w:eastAsia="宋体" w:hAnsi="宋体"/>
          <w:b w:val="0"/>
          <w:color w:val="000000" w:themeColor="text1"/>
          <w:kern w:val="0"/>
          <w:sz w:val="28"/>
          <w:szCs w:val="28"/>
        </w:rPr>
      </w:pPr>
      <w:bookmarkStart w:id="8" w:name="_Toc452017120"/>
      <w:r w:rsidRPr="00CB4B9E">
        <w:rPr>
          <w:rFonts w:ascii="宋体" w:eastAsia="宋体" w:hAnsi="宋体" w:hint="eastAsia"/>
          <w:b w:val="0"/>
          <w:color w:val="000000" w:themeColor="text1"/>
          <w:kern w:val="0"/>
          <w:sz w:val="28"/>
          <w:szCs w:val="28"/>
        </w:rPr>
        <w:t>填报单位基本信息</w:t>
      </w:r>
      <w:bookmarkEnd w:id="7"/>
      <w:bookmarkEnd w:id="8"/>
    </w:p>
    <w:p w:rsidR="00D8295D" w:rsidRPr="009263D7" w:rsidRDefault="00D8295D" w:rsidP="008D6E65">
      <w:pPr>
        <w:tabs>
          <w:tab w:val="left" w:pos="8306"/>
        </w:tabs>
        <w:spacing w:line="240" w:lineRule="exact"/>
        <w:ind w:right="-58" w:firstLineChars="3350" w:firstLine="6030"/>
        <w:rPr>
          <w:color w:val="000000" w:themeColor="text1"/>
          <w:sz w:val="18"/>
        </w:rPr>
      </w:pPr>
    </w:p>
    <w:p w:rsidR="00D8295D" w:rsidRPr="009263D7" w:rsidRDefault="00D8295D" w:rsidP="008D6E65">
      <w:pPr>
        <w:tabs>
          <w:tab w:val="left" w:pos="8306"/>
        </w:tabs>
        <w:spacing w:line="240" w:lineRule="exact"/>
        <w:ind w:right="-58" w:firstLineChars="3350" w:firstLine="6030"/>
        <w:rPr>
          <w:color w:val="000000" w:themeColor="text1"/>
          <w:sz w:val="18"/>
        </w:rPr>
      </w:pPr>
    </w:p>
    <w:p w:rsidR="008D6E65" w:rsidRPr="009263D7" w:rsidRDefault="00CB4B9E" w:rsidP="008D6E65">
      <w:pPr>
        <w:tabs>
          <w:tab w:val="left" w:pos="8306"/>
        </w:tabs>
        <w:spacing w:line="240" w:lineRule="exact"/>
        <w:ind w:right="-58" w:firstLineChars="3350" w:firstLine="6030"/>
        <w:rPr>
          <w:color w:val="000000" w:themeColor="text1"/>
          <w:sz w:val="18"/>
        </w:rPr>
      </w:pPr>
      <w:r w:rsidRPr="00CB4B9E">
        <w:rPr>
          <w:color w:val="000000" w:themeColor="text1"/>
          <w:sz w:val="18"/>
        </w:rPr>
        <w:t>表</w:t>
      </w:r>
      <w:r w:rsidRPr="00CB4B9E">
        <w:rPr>
          <w:color w:val="000000" w:themeColor="text1"/>
          <w:sz w:val="18"/>
        </w:rPr>
        <w:t xml:space="preserve">    </w:t>
      </w:r>
      <w:r w:rsidRPr="00CB4B9E">
        <w:rPr>
          <w:color w:val="000000" w:themeColor="text1"/>
          <w:sz w:val="18"/>
        </w:rPr>
        <w:t>号：</w:t>
      </w:r>
      <w:r w:rsidRPr="00CB4B9E">
        <w:rPr>
          <w:rFonts w:ascii="宋体" w:hAnsi="宋体" w:cs="宋体"/>
          <w:color w:val="000000" w:themeColor="text1"/>
          <w:kern w:val="0"/>
          <w:sz w:val="18"/>
          <w:szCs w:val="18"/>
        </w:rPr>
        <w:t>外统Z01表</w:t>
      </w:r>
    </w:p>
    <w:p w:rsidR="008D6E65" w:rsidRPr="009263D7" w:rsidRDefault="00CB4B9E" w:rsidP="008D6E65">
      <w:pPr>
        <w:spacing w:line="240" w:lineRule="exact"/>
        <w:rPr>
          <w:color w:val="000000" w:themeColor="text1"/>
          <w:sz w:val="18"/>
        </w:rPr>
      </w:pPr>
      <w:r w:rsidRPr="00CB4B9E">
        <w:rPr>
          <w:rFonts w:ascii="宋体" w:hAnsi="宋体" w:cs="宋体"/>
          <w:color w:val="000000" w:themeColor="text1"/>
          <w:kern w:val="0"/>
          <w:sz w:val="18"/>
          <w:szCs w:val="18"/>
        </w:rPr>
        <w:t xml:space="preserve">机构（单位）名称：                                                 </w:t>
      </w:r>
      <w:r w:rsidRPr="00CB4B9E">
        <w:rPr>
          <w:color w:val="000000" w:themeColor="text1"/>
          <w:sz w:val="18"/>
        </w:rPr>
        <w:t>制定机关：国家外汇管理局</w:t>
      </w:r>
    </w:p>
    <w:p w:rsidR="008D6E65" w:rsidRPr="009263D7" w:rsidRDefault="00CB4B9E" w:rsidP="008D6E65">
      <w:pPr>
        <w:spacing w:line="240" w:lineRule="exact"/>
        <w:ind w:rightChars="-17" w:right="-36"/>
        <w:jc w:val="left"/>
        <w:rPr>
          <w:color w:val="000000" w:themeColor="text1"/>
          <w:sz w:val="18"/>
        </w:rPr>
      </w:pPr>
      <w:r w:rsidRPr="00CB4B9E">
        <w:rPr>
          <w:rFonts w:ascii="宋体" w:hAnsi="宋体" w:cs="宋体"/>
          <w:color w:val="000000" w:themeColor="text1"/>
          <w:kern w:val="0"/>
          <w:sz w:val="18"/>
          <w:szCs w:val="18"/>
        </w:rPr>
        <w:t>机构代码（</w:t>
      </w:r>
      <w:r w:rsidRPr="00CB4B9E">
        <w:rPr>
          <w:rFonts w:ascii="宋体" w:hAnsi="宋体" w:cs="宋体" w:hint="eastAsia"/>
          <w:color w:val="000000" w:themeColor="text1"/>
          <w:kern w:val="0"/>
          <w:sz w:val="18"/>
          <w:szCs w:val="18"/>
        </w:rPr>
        <w:t>九位</w:t>
      </w:r>
      <w:r w:rsidRPr="00CB4B9E">
        <w:rPr>
          <w:rFonts w:ascii="宋体" w:hAnsi="宋体" w:cs="宋体"/>
          <w:color w:val="000000" w:themeColor="text1"/>
          <w:kern w:val="0"/>
          <w:sz w:val="18"/>
          <w:szCs w:val="18"/>
        </w:rPr>
        <w:t xml:space="preserve">）：                                                 </w:t>
      </w:r>
      <w:r w:rsidRPr="00CB4B9E">
        <w:rPr>
          <w:color w:val="000000" w:themeColor="text1"/>
          <w:sz w:val="18"/>
        </w:rPr>
        <w:t>批准机关：国家统计局</w:t>
      </w:r>
    </w:p>
    <w:p w:rsidR="008D6E65" w:rsidRPr="009263D7" w:rsidRDefault="00CB4B9E" w:rsidP="008D6E65">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color w:val="000000" w:themeColor="text1"/>
          <w:sz w:val="18"/>
        </w:rPr>
        <w:t>批准文号：国统制</w:t>
      </w:r>
      <w:r w:rsidRPr="00CB4B9E">
        <w:rPr>
          <w:color w:val="000000" w:themeColor="text1"/>
          <w:sz w:val="18"/>
        </w:rPr>
        <w:t>[2015]159</w:t>
      </w:r>
      <w:r w:rsidRPr="00CB4B9E">
        <w:rPr>
          <w:color w:val="000000" w:themeColor="text1"/>
          <w:sz w:val="18"/>
        </w:rPr>
        <w:t>号</w:t>
      </w:r>
    </w:p>
    <w:p w:rsidR="008D6E65" w:rsidRPr="009263D7" w:rsidRDefault="00CB4B9E" w:rsidP="008D6E65">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tbl>
      <w:tblPr>
        <w:tblW w:w="5000" w:type="pct"/>
        <w:tblLook w:val="04A0"/>
      </w:tblPr>
      <w:tblGrid>
        <w:gridCol w:w="877"/>
        <w:gridCol w:w="877"/>
        <w:gridCol w:w="876"/>
        <w:gridCol w:w="876"/>
        <w:gridCol w:w="876"/>
        <w:gridCol w:w="876"/>
        <w:gridCol w:w="876"/>
        <w:gridCol w:w="876"/>
        <w:gridCol w:w="876"/>
        <w:gridCol w:w="876"/>
        <w:gridCol w:w="867"/>
      </w:tblGrid>
      <w:tr w:rsidR="008D6E65" w:rsidRPr="009263D7" w:rsidTr="008D6E65">
        <w:trPr>
          <w:trHeight w:val="540"/>
        </w:trPr>
        <w:tc>
          <w:tcPr>
            <w:tcW w:w="455" w:type="pct"/>
            <w:vMerge w:val="restart"/>
            <w:tcBorders>
              <w:top w:val="single" w:sz="8" w:space="0" w:color="auto"/>
              <w:left w:val="nil"/>
              <w:bottom w:val="nil"/>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填报单位名称</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证照类别</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证照号码</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金融机构代码</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机构所属行业代码</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经济类型</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填报单位类型（法人、分支机构、个人）</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所在地</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地址</w:t>
            </w:r>
          </w:p>
        </w:tc>
        <w:tc>
          <w:tcPr>
            <w:tcW w:w="455" w:type="pct"/>
            <w:vMerge w:val="restart"/>
            <w:tcBorders>
              <w:top w:val="single" w:sz="8" w:space="0" w:color="auto"/>
              <w:left w:val="single" w:sz="2" w:space="0" w:color="auto"/>
              <w:right w:val="single" w:sz="2" w:space="0" w:color="auto"/>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联系人</w:t>
            </w:r>
          </w:p>
        </w:tc>
        <w:tc>
          <w:tcPr>
            <w:tcW w:w="450" w:type="pct"/>
            <w:vMerge w:val="restart"/>
            <w:tcBorders>
              <w:top w:val="single" w:sz="8" w:space="0" w:color="auto"/>
              <w:left w:val="single" w:sz="2" w:space="0" w:color="auto"/>
              <w:right w:val="nil"/>
            </w:tcBorders>
            <w:shd w:val="clear" w:color="auto" w:fill="auto"/>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联系电话</w:t>
            </w:r>
          </w:p>
        </w:tc>
      </w:tr>
      <w:tr w:rsidR="008D6E65" w:rsidRPr="009263D7" w:rsidTr="008D6E65">
        <w:trPr>
          <w:trHeight w:val="320"/>
        </w:trPr>
        <w:tc>
          <w:tcPr>
            <w:tcW w:w="455" w:type="pct"/>
            <w:vMerge/>
            <w:tcBorders>
              <w:left w:val="nil"/>
              <w:bottom w:val="nil"/>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0" w:type="pct"/>
            <w:vMerge/>
            <w:tcBorders>
              <w:left w:val="single" w:sz="2" w:space="0" w:color="auto"/>
              <w:right w:val="nil"/>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r>
      <w:tr w:rsidR="008D6E65" w:rsidRPr="009263D7" w:rsidTr="008D6E65">
        <w:trPr>
          <w:trHeight w:val="320"/>
        </w:trPr>
        <w:tc>
          <w:tcPr>
            <w:tcW w:w="455" w:type="pct"/>
            <w:vMerge/>
            <w:tcBorders>
              <w:left w:val="nil"/>
              <w:bottom w:val="nil"/>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5" w:type="pct"/>
            <w:vMerge/>
            <w:tcBorders>
              <w:left w:val="single" w:sz="2" w:space="0" w:color="auto"/>
              <w:right w:val="single" w:sz="2" w:space="0" w:color="auto"/>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c>
          <w:tcPr>
            <w:tcW w:w="450" w:type="pct"/>
            <w:vMerge/>
            <w:tcBorders>
              <w:left w:val="single" w:sz="2" w:space="0" w:color="auto"/>
              <w:right w:val="nil"/>
            </w:tcBorders>
            <w:vAlign w:val="center"/>
          </w:tcPr>
          <w:p w:rsidR="008D6E65" w:rsidRPr="009263D7" w:rsidRDefault="008D6E65" w:rsidP="006C34A4">
            <w:pPr>
              <w:keepNext/>
              <w:spacing w:line="320" w:lineRule="exact"/>
              <w:jc w:val="center"/>
              <w:outlineLvl w:val="0"/>
              <w:rPr>
                <w:rFonts w:ascii="宋体" w:hAnsi="宋体" w:cs="宋体"/>
                <w:color w:val="000000" w:themeColor="text1"/>
                <w:sz w:val="18"/>
                <w:szCs w:val="18"/>
              </w:rPr>
            </w:pPr>
          </w:p>
        </w:tc>
      </w:tr>
      <w:tr w:rsidR="008D6E65" w:rsidRPr="009263D7" w:rsidTr="008D6E65">
        <w:trPr>
          <w:trHeight w:val="285"/>
        </w:trPr>
        <w:tc>
          <w:tcPr>
            <w:tcW w:w="455" w:type="pct"/>
            <w:tcBorders>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Z0101</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Z0102</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Z0103</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Z0104</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Z0105</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Z0106</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Z0107</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Z0108</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Z0109</w:t>
            </w:r>
          </w:p>
        </w:tc>
        <w:tc>
          <w:tcPr>
            <w:tcW w:w="455" w:type="pct"/>
            <w:tcBorders>
              <w:top w:val="nil"/>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Z0110</w:t>
            </w:r>
          </w:p>
        </w:tc>
        <w:tc>
          <w:tcPr>
            <w:tcW w:w="450" w:type="pct"/>
            <w:tcBorders>
              <w:top w:val="nil"/>
              <w:left w:val="single" w:sz="2" w:space="0" w:color="auto"/>
              <w:bottom w:val="single" w:sz="2" w:space="0" w:color="auto"/>
              <w:right w:val="nil"/>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Z0111</w:t>
            </w:r>
          </w:p>
        </w:tc>
      </w:tr>
      <w:tr w:rsidR="008D6E65" w:rsidRPr="009263D7" w:rsidTr="008D6E65">
        <w:trPr>
          <w:trHeight w:val="285"/>
        </w:trPr>
        <w:tc>
          <w:tcPr>
            <w:tcW w:w="455" w:type="pct"/>
            <w:tcBorders>
              <w:top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甲</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乙</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丙</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丁</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戊</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己</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庚</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辛</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壬</w:t>
            </w:r>
          </w:p>
        </w:tc>
        <w:tc>
          <w:tcPr>
            <w:tcW w:w="4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癸</w:t>
            </w:r>
          </w:p>
        </w:tc>
        <w:tc>
          <w:tcPr>
            <w:tcW w:w="450" w:type="pct"/>
            <w:tcBorders>
              <w:top w:val="single" w:sz="2" w:space="0" w:color="auto"/>
              <w:left w:val="single" w:sz="2" w:space="0" w:color="auto"/>
              <w:bottom w:val="single" w:sz="2" w:space="0" w:color="auto"/>
              <w:right w:val="nil"/>
            </w:tcBorders>
            <w:shd w:val="clear" w:color="auto" w:fill="auto"/>
            <w:noWrap/>
            <w:vAlign w:val="center"/>
          </w:tcPr>
          <w:p w:rsidR="008D6E65"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子</w:t>
            </w:r>
          </w:p>
        </w:tc>
      </w:tr>
    </w:tbl>
    <w:p w:rsidR="000F01C4" w:rsidRPr="009263D7" w:rsidRDefault="000F01C4" w:rsidP="000F01C4">
      <w:pPr>
        <w:tabs>
          <w:tab w:val="left" w:pos="8306"/>
        </w:tabs>
        <w:spacing w:line="240" w:lineRule="exact"/>
        <w:ind w:right="-58" w:firstLineChars="3350" w:firstLine="6030"/>
        <w:rPr>
          <w:color w:val="000000" w:themeColor="text1"/>
          <w:sz w:val="18"/>
        </w:rPr>
      </w:pPr>
    </w:p>
    <w:p w:rsidR="000F01C4" w:rsidRPr="009263D7" w:rsidRDefault="000F01C4" w:rsidP="000F01C4">
      <w:pPr>
        <w:tabs>
          <w:tab w:val="left" w:pos="8306"/>
        </w:tabs>
        <w:spacing w:line="240" w:lineRule="exact"/>
        <w:ind w:right="-58" w:firstLineChars="3350" w:firstLine="6030"/>
        <w:rPr>
          <w:color w:val="000000" w:themeColor="text1"/>
          <w:sz w:val="18"/>
        </w:rPr>
      </w:pPr>
    </w:p>
    <w:p w:rsidR="006B1CB4" w:rsidRPr="009263D7" w:rsidRDefault="006B1CB4" w:rsidP="000F01C4">
      <w:pPr>
        <w:tabs>
          <w:tab w:val="left" w:pos="8306"/>
        </w:tabs>
        <w:spacing w:line="240" w:lineRule="exact"/>
        <w:ind w:right="-58" w:firstLineChars="3350" w:firstLine="6030"/>
        <w:rPr>
          <w:color w:val="000000" w:themeColor="text1"/>
          <w:sz w:val="18"/>
        </w:rPr>
      </w:pPr>
    </w:p>
    <w:p w:rsidR="006B1CB4" w:rsidRPr="009263D7" w:rsidRDefault="006B1CB4" w:rsidP="000F01C4">
      <w:pPr>
        <w:tabs>
          <w:tab w:val="left" w:pos="8306"/>
        </w:tabs>
        <w:spacing w:line="240" w:lineRule="exact"/>
        <w:ind w:right="-58" w:firstLineChars="3350" w:firstLine="6030"/>
        <w:rPr>
          <w:color w:val="000000" w:themeColor="text1"/>
          <w:sz w:val="18"/>
        </w:rPr>
      </w:pPr>
    </w:p>
    <w:tbl>
      <w:tblPr>
        <w:tblW w:w="5000" w:type="pct"/>
        <w:tblLook w:val="04A0"/>
      </w:tblPr>
      <w:tblGrid>
        <w:gridCol w:w="877"/>
        <w:gridCol w:w="877"/>
        <w:gridCol w:w="876"/>
        <w:gridCol w:w="876"/>
        <w:gridCol w:w="876"/>
        <w:gridCol w:w="876"/>
        <w:gridCol w:w="876"/>
        <w:gridCol w:w="876"/>
        <w:gridCol w:w="876"/>
        <w:gridCol w:w="876"/>
        <w:gridCol w:w="867"/>
      </w:tblGrid>
      <w:tr w:rsidR="006B1CB4" w:rsidRPr="009263D7" w:rsidTr="009015D4">
        <w:trPr>
          <w:trHeight w:val="285"/>
        </w:trPr>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r>
    </w:tbl>
    <w:p w:rsidR="006B1CB4" w:rsidRPr="009263D7" w:rsidRDefault="00CB4B9E" w:rsidP="006B1CB4">
      <w:pPr>
        <w:spacing w:line="240" w:lineRule="exact"/>
        <w:rPr>
          <w:color w:val="000000" w:themeColor="text1"/>
          <w:sz w:val="18"/>
        </w:rPr>
      </w:pPr>
      <w:r w:rsidRPr="00CB4B9E">
        <w:rPr>
          <w:rFonts w:ascii="宋体"/>
          <w:color w:val="000000" w:themeColor="text1"/>
          <w:sz w:val="18"/>
        </w:rPr>
        <w:t>单位负责人：           统计负责人：                    填表人：             报出日期：２０  年  月   日</w:t>
      </w:r>
    </w:p>
    <w:p w:rsidR="006B1CB4" w:rsidRPr="009263D7" w:rsidRDefault="00CB4B9E" w:rsidP="006B1CB4">
      <w:pPr>
        <w:rPr>
          <w:rFonts w:ascii="宋体"/>
          <w:color w:val="000000" w:themeColor="text1"/>
          <w:sz w:val="18"/>
        </w:rPr>
      </w:pPr>
      <w:r w:rsidRPr="00CB4B9E">
        <w:rPr>
          <w:rFonts w:ascii="宋体"/>
          <w:color w:val="000000" w:themeColor="text1"/>
          <w:sz w:val="18"/>
        </w:rPr>
        <w:t>电话：                 电话：                          电话：               传真：</w:t>
      </w:r>
    </w:p>
    <w:p w:rsidR="000F01C4" w:rsidRPr="009263D7" w:rsidRDefault="000F01C4" w:rsidP="000F01C4">
      <w:pPr>
        <w:tabs>
          <w:tab w:val="left" w:pos="8306"/>
        </w:tabs>
        <w:spacing w:line="240" w:lineRule="exact"/>
        <w:ind w:right="-58" w:firstLineChars="3350" w:firstLine="6030"/>
        <w:rPr>
          <w:color w:val="000000" w:themeColor="text1"/>
          <w:sz w:val="18"/>
        </w:rPr>
      </w:pPr>
    </w:p>
    <w:p w:rsidR="0051346B" w:rsidRPr="009263D7" w:rsidRDefault="0051346B" w:rsidP="0051346B">
      <w:pPr>
        <w:pStyle w:val="2"/>
        <w:jc w:val="center"/>
        <w:rPr>
          <w:rFonts w:ascii="宋体" w:eastAsia="宋体" w:hAnsi="宋体"/>
          <w:b w:val="0"/>
          <w:color w:val="000000" w:themeColor="text1"/>
          <w:kern w:val="0"/>
        </w:rPr>
        <w:sectPr w:rsidR="0051346B" w:rsidRPr="009263D7" w:rsidSect="00B154A0">
          <w:footerReference w:type="even" r:id="rId8"/>
          <w:footerReference w:type="default" r:id="rId9"/>
          <w:footerReference w:type="first" r:id="rId10"/>
          <w:pgSz w:w="11907" w:h="16840" w:code="9"/>
          <w:pgMar w:top="1418" w:right="1247" w:bottom="1247" w:left="1247" w:header="851" w:footer="992" w:gutter="0"/>
          <w:cols w:space="425"/>
          <w:titlePg/>
          <w:docGrid w:type="lines" w:linePitch="312"/>
        </w:sectPr>
      </w:pPr>
    </w:p>
    <w:p w:rsidR="00D8295D" w:rsidRPr="009263D7" w:rsidRDefault="00D8295D" w:rsidP="00D8295D">
      <w:pPr>
        <w:rPr>
          <w:rFonts w:ascii="宋体"/>
          <w:color w:val="000000" w:themeColor="text1"/>
          <w:sz w:val="18"/>
        </w:rPr>
      </w:pPr>
    </w:p>
    <w:p w:rsidR="00D8295D" w:rsidRPr="009263D7" w:rsidRDefault="00D8295D" w:rsidP="00D8295D">
      <w:pPr>
        <w:rPr>
          <w:rFonts w:ascii="宋体"/>
          <w:color w:val="000000" w:themeColor="text1"/>
          <w:sz w:val="18"/>
        </w:rPr>
      </w:pPr>
    </w:p>
    <w:p w:rsidR="00352313" w:rsidRPr="009263D7" w:rsidRDefault="00CB4B9E" w:rsidP="00352313">
      <w:pPr>
        <w:pStyle w:val="2"/>
        <w:jc w:val="center"/>
        <w:rPr>
          <w:rFonts w:ascii="宋体" w:eastAsia="宋体" w:hAnsi="宋体"/>
          <w:b w:val="0"/>
          <w:color w:val="000000" w:themeColor="text1"/>
          <w:kern w:val="0"/>
          <w:sz w:val="28"/>
          <w:szCs w:val="28"/>
        </w:rPr>
      </w:pPr>
      <w:bookmarkStart w:id="9" w:name="_Toc452017121"/>
      <w:r w:rsidRPr="00CB4B9E">
        <w:rPr>
          <w:rFonts w:ascii="宋体" w:eastAsia="宋体" w:hAnsi="宋体" w:hint="eastAsia"/>
          <w:b w:val="0"/>
          <w:color w:val="000000" w:themeColor="text1"/>
          <w:kern w:val="0"/>
          <w:sz w:val="28"/>
          <w:szCs w:val="28"/>
        </w:rPr>
        <w:t>业务概览及联系方式</w:t>
      </w:r>
      <w:bookmarkEnd w:id="9"/>
    </w:p>
    <w:p w:rsidR="00D8295D" w:rsidRPr="009263D7" w:rsidRDefault="00D8295D" w:rsidP="000F01C4">
      <w:pPr>
        <w:tabs>
          <w:tab w:val="left" w:pos="8306"/>
        </w:tabs>
        <w:spacing w:line="240" w:lineRule="exact"/>
        <w:ind w:right="-58" w:firstLineChars="3350" w:firstLine="6030"/>
        <w:rPr>
          <w:color w:val="000000" w:themeColor="text1"/>
          <w:sz w:val="18"/>
        </w:rPr>
      </w:pPr>
    </w:p>
    <w:p w:rsidR="00D8295D" w:rsidRPr="009263D7" w:rsidRDefault="00D8295D" w:rsidP="000F01C4">
      <w:pPr>
        <w:tabs>
          <w:tab w:val="left" w:pos="8306"/>
        </w:tabs>
        <w:spacing w:line="240" w:lineRule="exact"/>
        <w:ind w:right="-58" w:firstLineChars="3350" w:firstLine="6030"/>
        <w:rPr>
          <w:color w:val="000000" w:themeColor="text1"/>
          <w:sz w:val="18"/>
        </w:rPr>
      </w:pPr>
    </w:p>
    <w:p w:rsidR="000F01C4" w:rsidRPr="009263D7" w:rsidRDefault="00CB4B9E" w:rsidP="000F01C4">
      <w:pPr>
        <w:tabs>
          <w:tab w:val="left" w:pos="8306"/>
        </w:tabs>
        <w:spacing w:line="240" w:lineRule="exact"/>
        <w:ind w:right="-58" w:firstLineChars="3350" w:firstLine="6030"/>
        <w:rPr>
          <w:color w:val="000000" w:themeColor="text1"/>
          <w:sz w:val="18"/>
        </w:rPr>
      </w:pPr>
      <w:r w:rsidRPr="00CB4B9E">
        <w:rPr>
          <w:color w:val="000000" w:themeColor="text1"/>
          <w:sz w:val="18"/>
        </w:rPr>
        <w:t>表</w:t>
      </w:r>
      <w:r w:rsidRPr="00CB4B9E">
        <w:rPr>
          <w:color w:val="000000" w:themeColor="text1"/>
          <w:sz w:val="18"/>
        </w:rPr>
        <w:t xml:space="preserve">    </w:t>
      </w:r>
      <w:r w:rsidRPr="00CB4B9E">
        <w:rPr>
          <w:color w:val="000000" w:themeColor="text1"/>
          <w:sz w:val="18"/>
        </w:rPr>
        <w:t>号：</w:t>
      </w:r>
      <w:r w:rsidRPr="00CB4B9E">
        <w:rPr>
          <w:rFonts w:ascii="宋体" w:hAnsi="宋体" w:cs="宋体"/>
          <w:color w:val="000000" w:themeColor="text1"/>
          <w:kern w:val="0"/>
          <w:sz w:val="18"/>
          <w:szCs w:val="18"/>
        </w:rPr>
        <w:t>外统Z02表</w:t>
      </w:r>
    </w:p>
    <w:p w:rsidR="000F01C4" w:rsidRPr="009263D7" w:rsidRDefault="00CB4B9E" w:rsidP="000F01C4">
      <w:pPr>
        <w:spacing w:line="240" w:lineRule="exact"/>
        <w:rPr>
          <w:color w:val="000000" w:themeColor="text1"/>
          <w:sz w:val="18"/>
        </w:rPr>
      </w:pPr>
      <w:r w:rsidRPr="00CB4B9E">
        <w:rPr>
          <w:rFonts w:ascii="宋体" w:hAnsi="宋体" w:cs="宋体"/>
          <w:color w:val="000000" w:themeColor="text1"/>
          <w:kern w:val="0"/>
          <w:sz w:val="18"/>
          <w:szCs w:val="18"/>
        </w:rPr>
        <w:t xml:space="preserve">机构（单位）名称：                                                 </w:t>
      </w:r>
      <w:r w:rsidRPr="00CB4B9E">
        <w:rPr>
          <w:color w:val="000000" w:themeColor="text1"/>
          <w:sz w:val="18"/>
        </w:rPr>
        <w:t>制定机关：国家外汇管理局</w:t>
      </w:r>
    </w:p>
    <w:p w:rsidR="000F01C4" w:rsidRPr="009263D7" w:rsidRDefault="00CB4B9E" w:rsidP="000F01C4">
      <w:pPr>
        <w:spacing w:line="240" w:lineRule="exact"/>
        <w:ind w:rightChars="-17" w:right="-36"/>
        <w:jc w:val="left"/>
        <w:rPr>
          <w:color w:val="000000" w:themeColor="text1"/>
          <w:sz w:val="18"/>
        </w:rPr>
      </w:pPr>
      <w:r w:rsidRPr="00CB4B9E">
        <w:rPr>
          <w:rFonts w:ascii="宋体" w:hAnsi="宋体" w:cs="宋体"/>
          <w:color w:val="000000" w:themeColor="text1"/>
          <w:kern w:val="0"/>
          <w:sz w:val="18"/>
          <w:szCs w:val="18"/>
        </w:rPr>
        <w:t>机构代码（</w:t>
      </w:r>
      <w:r w:rsidRPr="00CB4B9E">
        <w:rPr>
          <w:rFonts w:ascii="宋体" w:hAnsi="宋体" w:cs="宋体" w:hint="eastAsia"/>
          <w:color w:val="000000" w:themeColor="text1"/>
          <w:kern w:val="0"/>
          <w:sz w:val="18"/>
          <w:szCs w:val="18"/>
        </w:rPr>
        <w:t>九位</w:t>
      </w:r>
      <w:r w:rsidRPr="00CB4B9E">
        <w:rPr>
          <w:rFonts w:ascii="宋体" w:hAnsi="宋体" w:cs="宋体"/>
          <w:color w:val="000000" w:themeColor="text1"/>
          <w:kern w:val="0"/>
          <w:sz w:val="18"/>
          <w:szCs w:val="18"/>
        </w:rPr>
        <w:t xml:space="preserve">）：                                                 </w:t>
      </w:r>
      <w:r w:rsidRPr="00CB4B9E">
        <w:rPr>
          <w:color w:val="000000" w:themeColor="text1"/>
          <w:sz w:val="18"/>
        </w:rPr>
        <w:t>批准机关：国家统计局</w:t>
      </w:r>
    </w:p>
    <w:p w:rsidR="000F01C4" w:rsidRPr="009263D7" w:rsidRDefault="00CB4B9E" w:rsidP="000F01C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color w:val="000000" w:themeColor="text1"/>
          <w:sz w:val="18"/>
        </w:rPr>
        <w:t>批准文号：国统制</w:t>
      </w:r>
      <w:r w:rsidRPr="00CB4B9E">
        <w:rPr>
          <w:color w:val="000000" w:themeColor="text1"/>
          <w:sz w:val="18"/>
        </w:rPr>
        <w:t>[2015]159</w:t>
      </w:r>
      <w:r w:rsidRPr="00CB4B9E">
        <w:rPr>
          <w:color w:val="000000" w:themeColor="text1"/>
          <w:sz w:val="18"/>
        </w:rPr>
        <w:t>号</w:t>
      </w:r>
    </w:p>
    <w:p w:rsidR="000F01C4" w:rsidRPr="009263D7" w:rsidRDefault="00CB4B9E" w:rsidP="000F01C4">
      <w:pPr>
        <w:tabs>
          <w:tab w:val="left" w:pos="5954"/>
        </w:tabs>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tbl>
      <w:tblPr>
        <w:tblW w:w="4988" w:type="pct"/>
        <w:tblLook w:val="04A0"/>
      </w:tblPr>
      <w:tblGrid>
        <w:gridCol w:w="1601"/>
        <w:gridCol w:w="1601"/>
        <w:gridCol w:w="1601"/>
        <w:gridCol w:w="1601"/>
        <w:gridCol w:w="1601"/>
        <w:gridCol w:w="1601"/>
      </w:tblGrid>
      <w:tr w:rsidR="008F1B1B" w:rsidRPr="009263D7" w:rsidTr="005D7AB9">
        <w:trPr>
          <w:trHeight w:val="1194"/>
        </w:trPr>
        <w:tc>
          <w:tcPr>
            <w:tcW w:w="833" w:type="pct"/>
            <w:tcBorders>
              <w:top w:val="single" w:sz="8" w:space="0" w:color="auto"/>
              <w:left w:val="nil"/>
              <w:bottom w:val="nil"/>
              <w:right w:val="single" w:sz="2" w:space="0" w:color="auto"/>
            </w:tcBorders>
            <w:shd w:val="clear" w:color="auto" w:fill="auto"/>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本机构是否有相关业务</w:t>
            </w:r>
          </w:p>
        </w:tc>
        <w:tc>
          <w:tcPr>
            <w:tcW w:w="833"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填报部门</w:t>
            </w:r>
          </w:p>
        </w:tc>
        <w:tc>
          <w:tcPr>
            <w:tcW w:w="833"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统计负责人</w:t>
            </w:r>
          </w:p>
        </w:tc>
        <w:tc>
          <w:tcPr>
            <w:tcW w:w="833"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统计负责人电话</w:t>
            </w:r>
          </w:p>
        </w:tc>
        <w:tc>
          <w:tcPr>
            <w:tcW w:w="833"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填表人</w:t>
            </w:r>
          </w:p>
        </w:tc>
        <w:tc>
          <w:tcPr>
            <w:tcW w:w="833" w:type="pct"/>
            <w:tcBorders>
              <w:top w:val="single" w:sz="8" w:space="0" w:color="auto"/>
              <w:left w:val="single" w:sz="2" w:space="0" w:color="auto"/>
              <w:bottom w:val="nil"/>
            </w:tcBorders>
            <w:shd w:val="clear" w:color="auto" w:fill="auto"/>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填表人电话及电子邮箱</w:t>
            </w:r>
          </w:p>
        </w:tc>
      </w:tr>
      <w:tr w:rsidR="008F1B1B" w:rsidRPr="009263D7" w:rsidTr="005D7AB9">
        <w:trPr>
          <w:trHeight w:val="285"/>
        </w:trPr>
        <w:tc>
          <w:tcPr>
            <w:tcW w:w="833" w:type="pct"/>
            <w:tcBorders>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Z0201</w:t>
            </w:r>
          </w:p>
        </w:tc>
        <w:tc>
          <w:tcPr>
            <w:tcW w:w="833"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Z0202</w:t>
            </w:r>
          </w:p>
        </w:tc>
        <w:tc>
          <w:tcPr>
            <w:tcW w:w="833"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Z0203</w:t>
            </w:r>
          </w:p>
        </w:tc>
        <w:tc>
          <w:tcPr>
            <w:tcW w:w="833"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Z0204</w:t>
            </w:r>
          </w:p>
        </w:tc>
        <w:tc>
          <w:tcPr>
            <w:tcW w:w="833"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Z0205</w:t>
            </w:r>
          </w:p>
        </w:tc>
        <w:tc>
          <w:tcPr>
            <w:tcW w:w="833" w:type="pct"/>
            <w:tcBorders>
              <w:top w:val="nil"/>
              <w:left w:val="single" w:sz="2" w:space="0" w:color="auto"/>
              <w:bottom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Z0206</w:t>
            </w:r>
          </w:p>
        </w:tc>
      </w:tr>
      <w:tr w:rsidR="008F1B1B" w:rsidRPr="009263D7" w:rsidTr="005D7AB9">
        <w:trPr>
          <w:trHeight w:val="285"/>
        </w:trPr>
        <w:tc>
          <w:tcPr>
            <w:tcW w:w="833" w:type="pct"/>
            <w:tcBorders>
              <w:top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甲</w:t>
            </w:r>
          </w:p>
        </w:tc>
        <w:tc>
          <w:tcPr>
            <w:tcW w:w="833"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乙</w:t>
            </w:r>
          </w:p>
        </w:tc>
        <w:tc>
          <w:tcPr>
            <w:tcW w:w="833"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丙</w:t>
            </w:r>
          </w:p>
        </w:tc>
        <w:tc>
          <w:tcPr>
            <w:tcW w:w="833"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丁</w:t>
            </w:r>
          </w:p>
        </w:tc>
        <w:tc>
          <w:tcPr>
            <w:tcW w:w="833"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戊</w:t>
            </w:r>
          </w:p>
        </w:tc>
        <w:tc>
          <w:tcPr>
            <w:tcW w:w="833" w:type="pct"/>
            <w:tcBorders>
              <w:top w:val="single" w:sz="2" w:space="0" w:color="auto"/>
              <w:left w:val="single" w:sz="2" w:space="0" w:color="auto"/>
              <w:bottom w:val="single" w:sz="2" w:space="0" w:color="auto"/>
            </w:tcBorders>
            <w:shd w:val="clear" w:color="auto" w:fill="auto"/>
            <w:noWrap/>
            <w:vAlign w:val="center"/>
          </w:tcPr>
          <w:p w:rsidR="00883813" w:rsidRPr="009263D7" w:rsidRDefault="00CB4B9E" w:rsidP="006C34A4">
            <w:pPr>
              <w:jc w:val="center"/>
              <w:rPr>
                <w:rFonts w:ascii="宋体" w:hAnsi="宋体" w:cs="宋体"/>
                <w:color w:val="000000" w:themeColor="text1"/>
                <w:sz w:val="18"/>
                <w:szCs w:val="18"/>
              </w:rPr>
            </w:pPr>
            <w:r w:rsidRPr="00CB4B9E">
              <w:rPr>
                <w:color w:val="000000" w:themeColor="text1"/>
                <w:sz w:val="18"/>
                <w:szCs w:val="18"/>
              </w:rPr>
              <w:t>己</w:t>
            </w:r>
            <w:r w:rsidRPr="00CB4B9E">
              <w:rPr>
                <w:color w:val="000000" w:themeColor="text1"/>
                <w:sz w:val="18"/>
                <w:szCs w:val="18"/>
              </w:rPr>
              <w:t xml:space="preserve">              </w:t>
            </w:r>
          </w:p>
        </w:tc>
      </w:tr>
    </w:tbl>
    <w:p w:rsidR="000F01C4" w:rsidRPr="009263D7" w:rsidRDefault="000F01C4" w:rsidP="00105B53">
      <w:pPr>
        <w:spacing w:line="240" w:lineRule="exact"/>
        <w:rPr>
          <w:rFonts w:ascii="宋体"/>
          <w:color w:val="000000" w:themeColor="text1"/>
          <w:sz w:val="18"/>
        </w:rPr>
      </w:pPr>
    </w:p>
    <w:p w:rsidR="000F01C4" w:rsidRPr="009263D7" w:rsidRDefault="000F01C4" w:rsidP="00105B53">
      <w:pPr>
        <w:spacing w:line="240" w:lineRule="exact"/>
        <w:rPr>
          <w:rFonts w:ascii="宋体"/>
          <w:color w:val="000000" w:themeColor="text1"/>
          <w:sz w:val="18"/>
        </w:rPr>
      </w:pPr>
    </w:p>
    <w:tbl>
      <w:tblPr>
        <w:tblW w:w="5000" w:type="pct"/>
        <w:tblLook w:val="04A0"/>
      </w:tblPr>
      <w:tblGrid>
        <w:gridCol w:w="877"/>
        <w:gridCol w:w="877"/>
        <w:gridCol w:w="876"/>
        <w:gridCol w:w="876"/>
        <w:gridCol w:w="876"/>
        <w:gridCol w:w="876"/>
        <w:gridCol w:w="876"/>
        <w:gridCol w:w="876"/>
        <w:gridCol w:w="876"/>
        <w:gridCol w:w="876"/>
        <w:gridCol w:w="867"/>
      </w:tblGrid>
      <w:tr w:rsidR="006B1CB4" w:rsidRPr="009263D7" w:rsidTr="009015D4">
        <w:trPr>
          <w:trHeight w:val="285"/>
        </w:trPr>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color w:val="000000" w:themeColor="text1"/>
                <w:sz w:val="18"/>
                <w:szCs w:val="18"/>
              </w:rPr>
            </w:pPr>
            <w:r w:rsidRPr="00CB4B9E">
              <w:rPr>
                <w:color w:val="000000" w:themeColor="text1"/>
                <w:sz w:val="18"/>
                <w:szCs w:val="18"/>
              </w:rPr>
              <w:t xml:space="preserve">　</w:t>
            </w:r>
          </w:p>
          <w:p w:rsidR="006B1CB4" w:rsidRPr="009263D7" w:rsidRDefault="006B1CB4" w:rsidP="009015D4">
            <w:pPr>
              <w:keepNext/>
              <w:keepLines/>
              <w:tabs>
                <w:tab w:val="num" w:pos="1440"/>
              </w:tabs>
              <w:spacing w:before="260" w:after="260" w:line="415" w:lineRule="auto"/>
              <w:ind w:left="1080" w:hanging="720"/>
              <w:outlineLvl w:val="2"/>
              <w:rPr>
                <w:rFonts w:ascii="宋体" w:hAnsi="宋体" w:cs="宋体"/>
                <w:color w:val="000000" w:themeColor="text1"/>
                <w:sz w:val="18"/>
                <w:szCs w:val="18"/>
              </w:rPr>
            </w:pP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6B1CB4" w:rsidRPr="009263D7" w:rsidRDefault="00CB4B9E" w:rsidP="009015D4">
            <w:pPr>
              <w:rPr>
                <w:rFonts w:ascii="宋体" w:hAnsi="宋体" w:cs="宋体"/>
                <w:color w:val="000000" w:themeColor="text1"/>
                <w:sz w:val="18"/>
                <w:szCs w:val="18"/>
              </w:rPr>
            </w:pPr>
            <w:r w:rsidRPr="00CB4B9E">
              <w:rPr>
                <w:color w:val="000000" w:themeColor="text1"/>
                <w:sz w:val="18"/>
                <w:szCs w:val="18"/>
              </w:rPr>
              <w:t xml:space="preserve">　</w:t>
            </w:r>
          </w:p>
        </w:tc>
      </w:tr>
    </w:tbl>
    <w:p w:rsidR="006B1CB4" w:rsidRPr="009263D7" w:rsidRDefault="00CB4B9E" w:rsidP="006B1CB4">
      <w:pPr>
        <w:spacing w:line="240" w:lineRule="exact"/>
        <w:rPr>
          <w:color w:val="000000" w:themeColor="text1"/>
          <w:sz w:val="18"/>
        </w:rPr>
      </w:pPr>
      <w:r w:rsidRPr="00CB4B9E">
        <w:rPr>
          <w:rFonts w:ascii="宋体"/>
          <w:color w:val="000000" w:themeColor="text1"/>
          <w:sz w:val="18"/>
        </w:rPr>
        <w:t>单位负责人：           统计负责人：                    填表人：             报出日期：２０  年  月   日</w:t>
      </w:r>
    </w:p>
    <w:p w:rsidR="006B1CB4" w:rsidRPr="009263D7" w:rsidRDefault="00CB4B9E" w:rsidP="006B1CB4">
      <w:pPr>
        <w:rPr>
          <w:rFonts w:ascii="宋体"/>
          <w:color w:val="000000" w:themeColor="text1"/>
          <w:sz w:val="18"/>
        </w:rPr>
      </w:pPr>
      <w:r w:rsidRPr="00CB4B9E">
        <w:rPr>
          <w:rFonts w:ascii="宋体"/>
          <w:color w:val="000000" w:themeColor="text1"/>
          <w:sz w:val="18"/>
        </w:rPr>
        <w:t>电话：                 电话：                          电话：               传真：</w:t>
      </w:r>
    </w:p>
    <w:p w:rsidR="006B1CB4" w:rsidRPr="009263D7" w:rsidRDefault="006B1CB4" w:rsidP="00105B53">
      <w:pPr>
        <w:spacing w:line="240" w:lineRule="exact"/>
        <w:rPr>
          <w:rFonts w:ascii="宋体"/>
          <w:color w:val="000000" w:themeColor="text1"/>
          <w:sz w:val="18"/>
        </w:rPr>
        <w:sectPr w:rsidR="006B1CB4" w:rsidRPr="009263D7" w:rsidSect="00B154A0">
          <w:pgSz w:w="11907" w:h="16840" w:code="9"/>
          <w:pgMar w:top="1418" w:right="1247" w:bottom="1247" w:left="1247" w:header="851" w:footer="992" w:gutter="0"/>
          <w:cols w:space="425"/>
          <w:titlePg/>
          <w:docGrid w:type="lines" w:linePitch="312"/>
        </w:sectPr>
      </w:pPr>
    </w:p>
    <w:p w:rsidR="00D8295D" w:rsidRPr="009263D7" w:rsidRDefault="00D8295D" w:rsidP="00D8295D">
      <w:pPr>
        <w:rPr>
          <w:rFonts w:ascii="宋体"/>
          <w:color w:val="000000" w:themeColor="text1"/>
          <w:sz w:val="18"/>
        </w:rPr>
      </w:pPr>
    </w:p>
    <w:p w:rsidR="00D8295D" w:rsidRPr="009263D7" w:rsidRDefault="00D8295D" w:rsidP="00D8295D">
      <w:pPr>
        <w:rPr>
          <w:rFonts w:ascii="宋体"/>
          <w:color w:val="000000" w:themeColor="text1"/>
          <w:sz w:val="18"/>
        </w:rPr>
      </w:pPr>
    </w:p>
    <w:p w:rsidR="00D8295D" w:rsidRPr="009263D7" w:rsidRDefault="00CB4B9E" w:rsidP="00D8295D">
      <w:pPr>
        <w:pStyle w:val="2"/>
        <w:jc w:val="center"/>
        <w:rPr>
          <w:rFonts w:ascii="宋体" w:eastAsia="宋体" w:hAnsi="宋体"/>
          <w:b w:val="0"/>
          <w:color w:val="000000" w:themeColor="text1"/>
          <w:kern w:val="0"/>
          <w:sz w:val="28"/>
          <w:szCs w:val="28"/>
        </w:rPr>
      </w:pPr>
      <w:bookmarkStart w:id="10" w:name="_Toc452017122"/>
      <w:r w:rsidRPr="00CB4B9E">
        <w:rPr>
          <w:rFonts w:ascii="宋体" w:eastAsia="宋体" w:hAnsi="宋体" w:hint="eastAsia"/>
          <w:b w:val="0"/>
          <w:color w:val="000000" w:themeColor="text1"/>
          <w:kern w:val="0"/>
          <w:sz w:val="28"/>
          <w:szCs w:val="28"/>
        </w:rPr>
        <w:t>投资关系（组织架构）</w:t>
      </w:r>
      <w:bookmarkEnd w:id="10"/>
    </w:p>
    <w:p w:rsidR="00D8295D" w:rsidRPr="009263D7" w:rsidRDefault="00D8295D" w:rsidP="000F01C4">
      <w:pPr>
        <w:tabs>
          <w:tab w:val="left" w:pos="8306"/>
        </w:tabs>
        <w:spacing w:line="240" w:lineRule="exact"/>
        <w:ind w:right="-58" w:firstLineChars="3350" w:firstLine="6030"/>
        <w:rPr>
          <w:rFonts w:ascii="宋体"/>
          <w:color w:val="000000" w:themeColor="text1"/>
          <w:sz w:val="18"/>
        </w:rPr>
      </w:pPr>
    </w:p>
    <w:p w:rsidR="00D8295D" w:rsidRPr="009263D7" w:rsidRDefault="00D8295D" w:rsidP="00105B53">
      <w:pPr>
        <w:spacing w:line="240" w:lineRule="exact"/>
        <w:rPr>
          <w:rFonts w:ascii="宋体"/>
          <w:color w:val="000000" w:themeColor="text1"/>
          <w:sz w:val="18"/>
        </w:rPr>
      </w:pPr>
    </w:p>
    <w:p w:rsidR="000F01C4" w:rsidRPr="009263D7" w:rsidRDefault="00CB4B9E" w:rsidP="000F01C4">
      <w:pPr>
        <w:tabs>
          <w:tab w:val="left" w:pos="8306"/>
        </w:tabs>
        <w:spacing w:line="240" w:lineRule="exact"/>
        <w:ind w:right="-58" w:firstLineChars="3350" w:firstLine="6030"/>
        <w:rPr>
          <w:color w:val="000000" w:themeColor="text1"/>
          <w:sz w:val="18"/>
        </w:rPr>
      </w:pPr>
      <w:r w:rsidRPr="00CB4B9E">
        <w:rPr>
          <w:color w:val="000000" w:themeColor="text1"/>
          <w:sz w:val="18"/>
        </w:rPr>
        <w:t>表</w:t>
      </w:r>
      <w:r w:rsidRPr="00CB4B9E">
        <w:rPr>
          <w:color w:val="000000" w:themeColor="text1"/>
          <w:sz w:val="18"/>
        </w:rPr>
        <w:t xml:space="preserve">    </w:t>
      </w:r>
      <w:r w:rsidRPr="00CB4B9E">
        <w:rPr>
          <w:color w:val="000000" w:themeColor="text1"/>
          <w:sz w:val="18"/>
        </w:rPr>
        <w:t>号：</w:t>
      </w:r>
      <w:r w:rsidRPr="00CB4B9E">
        <w:rPr>
          <w:rFonts w:ascii="宋体" w:hAnsi="宋体" w:cs="宋体"/>
          <w:color w:val="000000" w:themeColor="text1"/>
          <w:kern w:val="0"/>
          <w:sz w:val="18"/>
          <w:szCs w:val="18"/>
        </w:rPr>
        <w:t>外统Z03表</w:t>
      </w:r>
    </w:p>
    <w:p w:rsidR="000F01C4" w:rsidRPr="009263D7" w:rsidRDefault="00CB4B9E" w:rsidP="000F01C4">
      <w:pPr>
        <w:spacing w:line="240" w:lineRule="exact"/>
        <w:rPr>
          <w:color w:val="000000" w:themeColor="text1"/>
          <w:sz w:val="18"/>
        </w:rPr>
      </w:pPr>
      <w:r w:rsidRPr="00CB4B9E">
        <w:rPr>
          <w:rFonts w:ascii="宋体" w:hAnsi="宋体" w:cs="宋体"/>
          <w:color w:val="000000" w:themeColor="text1"/>
          <w:kern w:val="0"/>
          <w:sz w:val="18"/>
          <w:szCs w:val="18"/>
        </w:rPr>
        <w:t xml:space="preserve">机构（单位）名称：                                                 </w:t>
      </w:r>
      <w:r w:rsidRPr="00CB4B9E">
        <w:rPr>
          <w:color w:val="000000" w:themeColor="text1"/>
          <w:sz w:val="18"/>
        </w:rPr>
        <w:t>制定机关：国家外汇管理局</w:t>
      </w:r>
    </w:p>
    <w:p w:rsidR="000F01C4" w:rsidRPr="009263D7" w:rsidRDefault="00CB4B9E" w:rsidP="000F01C4">
      <w:pPr>
        <w:spacing w:line="240" w:lineRule="exact"/>
        <w:ind w:rightChars="-17" w:right="-36"/>
        <w:jc w:val="left"/>
        <w:rPr>
          <w:color w:val="000000" w:themeColor="text1"/>
          <w:sz w:val="18"/>
        </w:rPr>
      </w:pPr>
      <w:r w:rsidRPr="00CB4B9E">
        <w:rPr>
          <w:rFonts w:ascii="宋体" w:hAnsi="宋体" w:cs="宋体"/>
          <w:color w:val="000000" w:themeColor="text1"/>
          <w:kern w:val="0"/>
          <w:sz w:val="18"/>
          <w:szCs w:val="18"/>
        </w:rPr>
        <w:t>机构代码（</w:t>
      </w:r>
      <w:r w:rsidRPr="00CB4B9E">
        <w:rPr>
          <w:rFonts w:ascii="宋体" w:hAnsi="宋体" w:cs="宋体" w:hint="eastAsia"/>
          <w:color w:val="000000" w:themeColor="text1"/>
          <w:kern w:val="0"/>
          <w:sz w:val="18"/>
          <w:szCs w:val="18"/>
        </w:rPr>
        <w:t>九位</w:t>
      </w:r>
      <w:r w:rsidRPr="00CB4B9E">
        <w:rPr>
          <w:rFonts w:ascii="宋体" w:hAnsi="宋体" w:cs="宋体"/>
          <w:color w:val="000000" w:themeColor="text1"/>
          <w:kern w:val="0"/>
          <w:sz w:val="18"/>
          <w:szCs w:val="18"/>
        </w:rPr>
        <w:t xml:space="preserve">）：                                                 </w:t>
      </w:r>
      <w:r w:rsidRPr="00CB4B9E">
        <w:rPr>
          <w:color w:val="000000" w:themeColor="text1"/>
          <w:sz w:val="18"/>
        </w:rPr>
        <w:t>批准机关：国家统计局</w:t>
      </w:r>
    </w:p>
    <w:p w:rsidR="000F01C4" w:rsidRPr="009263D7" w:rsidRDefault="00CB4B9E" w:rsidP="000F01C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color w:val="000000" w:themeColor="text1"/>
          <w:sz w:val="18"/>
        </w:rPr>
        <w:t>批准文号：国统制</w:t>
      </w:r>
      <w:r w:rsidRPr="00CB4B9E">
        <w:rPr>
          <w:color w:val="000000" w:themeColor="text1"/>
          <w:sz w:val="18"/>
        </w:rPr>
        <w:t>[2015]159</w:t>
      </w:r>
      <w:r w:rsidRPr="00CB4B9E">
        <w:rPr>
          <w:color w:val="000000" w:themeColor="text1"/>
          <w:sz w:val="18"/>
        </w:rPr>
        <w:t>号</w:t>
      </w:r>
    </w:p>
    <w:p w:rsidR="000F01C4" w:rsidRPr="009263D7" w:rsidRDefault="00CB4B9E" w:rsidP="000F01C4">
      <w:pPr>
        <w:tabs>
          <w:tab w:val="left" w:pos="5954"/>
        </w:tabs>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tbl>
      <w:tblPr>
        <w:tblW w:w="4988" w:type="pct"/>
        <w:tblLook w:val="04A0"/>
      </w:tblPr>
      <w:tblGrid>
        <w:gridCol w:w="1067"/>
        <w:gridCol w:w="1067"/>
        <w:gridCol w:w="1069"/>
        <w:gridCol w:w="1067"/>
        <w:gridCol w:w="1067"/>
        <w:gridCol w:w="1069"/>
        <w:gridCol w:w="1066"/>
        <w:gridCol w:w="1066"/>
        <w:gridCol w:w="1068"/>
      </w:tblGrid>
      <w:tr w:rsidR="00883813" w:rsidRPr="009263D7" w:rsidTr="005D7AB9">
        <w:trPr>
          <w:trHeight w:val="1184"/>
        </w:trPr>
        <w:tc>
          <w:tcPr>
            <w:tcW w:w="555" w:type="pct"/>
            <w:tcBorders>
              <w:top w:val="single" w:sz="8" w:space="0" w:color="auto"/>
              <w:left w:val="nil"/>
              <w:bottom w:val="nil"/>
              <w:right w:val="single" w:sz="2" w:space="0" w:color="auto"/>
            </w:tcBorders>
            <w:shd w:val="clear" w:color="auto" w:fill="auto"/>
            <w:vAlign w:val="center"/>
          </w:tcPr>
          <w:p w:rsidR="00802838" w:rsidRDefault="00CB4B9E" w:rsidP="009B5718">
            <w:pPr>
              <w:jc w:val="center"/>
              <w:rPr>
                <w:color w:val="000000" w:themeColor="text1"/>
                <w:sz w:val="18"/>
                <w:szCs w:val="18"/>
              </w:rPr>
            </w:pPr>
            <w:r w:rsidRPr="00CB4B9E">
              <w:rPr>
                <w:color w:val="000000" w:themeColor="text1"/>
                <w:sz w:val="18"/>
                <w:szCs w:val="18"/>
              </w:rPr>
              <w:t>投资者</w:t>
            </w:r>
          </w:p>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名称</w:t>
            </w:r>
          </w:p>
        </w:tc>
        <w:tc>
          <w:tcPr>
            <w:tcW w:w="555" w:type="pct"/>
            <w:tcBorders>
              <w:top w:val="single" w:sz="8" w:space="0" w:color="auto"/>
              <w:left w:val="single" w:sz="2" w:space="0" w:color="auto"/>
              <w:bottom w:val="nil"/>
              <w:right w:val="single" w:sz="2" w:space="0" w:color="auto"/>
            </w:tcBorders>
            <w:shd w:val="clear" w:color="auto" w:fill="auto"/>
            <w:vAlign w:val="center"/>
          </w:tcPr>
          <w:p w:rsidR="00802838" w:rsidRDefault="00CB4B9E" w:rsidP="009B5718">
            <w:pPr>
              <w:jc w:val="center"/>
              <w:rPr>
                <w:color w:val="000000" w:themeColor="text1"/>
                <w:sz w:val="18"/>
                <w:szCs w:val="18"/>
              </w:rPr>
            </w:pPr>
            <w:r w:rsidRPr="00CB4B9E">
              <w:rPr>
                <w:color w:val="000000" w:themeColor="text1"/>
                <w:sz w:val="18"/>
                <w:szCs w:val="18"/>
              </w:rPr>
              <w:t>投资者</w:t>
            </w:r>
          </w:p>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代码</w:t>
            </w:r>
          </w:p>
        </w:tc>
        <w:tc>
          <w:tcPr>
            <w:tcW w:w="556"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投资者所属国家</w:t>
            </w:r>
            <w:r w:rsidRPr="00CB4B9E">
              <w:rPr>
                <w:color w:val="000000" w:themeColor="text1"/>
                <w:sz w:val="18"/>
                <w:szCs w:val="18"/>
              </w:rPr>
              <w:t>/</w:t>
            </w:r>
            <w:r w:rsidRPr="00CB4B9E">
              <w:rPr>
                <w:color w:val="000000" w:themeColor="text1"/>
                <w:sz w:val="18"/>
                <w:szCs w:val="18"/>
              </w:rPr>
              <w:t>地区</w:t>
            </w:r>
          </w:p>
        </w:tc>
        <w:tc>
          <w:tcPr>
            <w:tcW w:w="555"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投资者所属部门</w:t>
            </w:r>
          </w:p>
        </w:tc>
        <w:tc>
          <w:tcPr>
            <w:tcW w:w="555"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投资者表决权比例（</w:t>
            </w:r>
            <w:r w:rsidRPr="00CB4B9E">
              <w:rPr>
                <w:color w:val="000000" w:themeColor="text1"/>
                <w:sz w:val="18"/>
                <w:szCs w:val="18"/>
              </w:rPr>
              <w:t>%</w:t>
            </w:r>
            <w:r w:rsidRPr="00CB4B9E">
              <w:rPr>
                <w:color w:val="000000" w:themeColor="text1"/>
                <w:sz w:val="18"/>
                <w:szCs w:val="18"/>
              </w:rPr>
              <w:t>）</w:t>
            </w:r>
          </w:p>
        </w:tc>
        <w:tc>
          <w:tcPr>
            <w:tcW w:w="556"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被投资机构名称</w:t>
            </w:r>
          </w:p>
        </w:tc>
        <w:tc>
          <w:tcPr>
            <w:tcW w:w="555"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被投资机构代码</w:t>
            </w:r>
          </w:p>
        </w:tc>
        <w:tc>
          <w:tcPr>
            <w:tcW w:w="555" w:type="pct"/>
            <w:tcBorders>
              <w:top w:val="single" w:sz="8" w:space="0" w:color="auto"/>
              <w:left w:val="single" w:sz="2" w:space="0" w:color="auto"/>
              <w:bottom w:val="nil"/>
              <w:right w:val="single" w:sz="2" w:space="0" w:color="auto"/>
            </w:tcBorders>
            <w:shd w:val="clear" w:color="auto" w:fill="auto"/>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被投资机构所属国家</w:t>
            </w:r>
            <w:r w:rsidRPr="00CB4B9E">
              <w:rPr>
                <w:color w:val="000000" w:themeColor="text1"/>
                <w:sz w:val="18"/>
                <w:szCs w:val="18"/>
              </w:rPr>
              <w:t>/</w:t>
            </w:r>
            <w:r w:rsidRPr="00CB4B9E">
              <w:rPr>
                <w:color w:val="000000" w:themeColor="text1"/>
                <w:sz w:val="18"/>
                <w:szCs w:val="18"/>
              </w:rPr>
              <w:t>地区</w:t>
            </w:r>
          </w:p>
        </w:tc>
        <w:tc>
          <w:tcPr>
            <w:tcW w:w="556" w:type="pct"/>
            <w:tcBorders>
              <w:top w:val="single" w:sz="8" w:space="0" w:color="auto"/>
              <w:left w:val="single" w:sz="2" w:space="0" w:color="auto"/>
              <w:bottom w:val="nil"/>
            </w:tcBorders>
            <w:shd w:val="clear" w:color="auto" w:fill="auto"/>
            <w:vAlign w:val="center"/>
          </w:tcPr>
          <w:p w:rsidR="00802838" w:rsidRDefault="00CB4B9E" w:rsidP="009B5718">
            <w:pPr>
              <w:jc w:val="center"/>
              <w:rPr>
                <w:color w:val="000000" w:themeColor="text1"/>
                <w:sz w:val="18"/>
                <w:szCs w:val="18"/>
              </w:rPr>
            </w:pPr>
            <w:r w:rsidRPr="00CB4B9E">
              <w:rPr>
                <w:color w:val="000000" w:themeColor="text1"/>
                <w:sz w:val="18"/>
                <w:szCs w:val="18"/>
              </w:rPr>
              <w:t>被投资机构所属</w:t>
            </w:r>
          </w:p>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部门</w:t>
            </w:r>
          </w:p>
        </w:tc>
      </w:tr>
      <w:tr w:rsidR="00883813" w:rsidRPr="009263D7" w:rsidTr="005D7AB9">
        <w:trPr>
          <w:trHeight w:val="285"/>
        </w:trPr>
        <w:tc>
          <w:tcPr>
            <w:tcW w:w="555" w:type="pct"/>
            <w:tcBorders>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Z0301</w:t>
            </w:r>
          </w:p>
        </w:tc>
        <w:tc>
          <w:tcPr>
            <w:tcW w:w="555"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Z0302</w:t>
            </w:r>
          </w:p>
        </w:tc>
        <w:tc>
          <w:tcPr>
            <w:tcW w:w="556"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Z0303</w:t>
            </w:r>
          </w:p>
        </w:tc>
        <w:tc>
          <w:tcPr>
            <w:tcW w:w="555"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Z0304</w:t>
            </w:r>
          </w:p>
        </w:tc>
        <w:tc>
          <w:tcPr>
            <w:tcW w:w="555"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Z0305</w:t>
            </w:r>
          </w:p>
        </w:tc>
        <w:tc>
          <w:tcPr>
            <w:tcW w:w="556"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Z0306</w:t>
            </w:r>
          </w:p>
        </w:tc>
        <w:tc>
          <w:tcPr>
            <w:tcW w:w="555"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Z0307</w:t>
            </w:r>
          </w:p>
        </w:tc>
        <w:tc>
          <w:tcPr>
            <w:tcW w:w="555" w:type="pct"/>
            <w:tcBorders>
              <w:top w:val="nil"/>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Z0308</w:t>
            </w:r>
          </w:p>
        </w:tc>
        <w:tc>
          <w:tcPr>
            <w:tcW w:w="556" w:type="pct"/>
            <w:tcBorders>
              <w:top w:val="nil"/>
              <w:left w:val="single" w:sz="2" w:space="0" w:color="auto"/>
              <w:bottom w:val="single" w:sz="4"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Z0309</w:t>
            </w:r>
          </w:p>
        </w:tc>
      </w:tr>
      <w:tr w:rsidR="00883813" w:rsidRPr="009263D7" w:rsidTr="005D7AB9">
        <w:trPr>
          <w:trHeight w:val="285"/>
        </w:trPr>
        <w:tc>
          <w:tcPr>
            <w:tcW w:w="555" w:type="pct"/>
            <w:tcBorders>
              <w:top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甲</w:t>
            </w:r>
          </w:p>
        </w:tc>
        <w:tc>
          <w:tcPr>
            <w:tcW w:w="5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乙</w:t>
            </w:r>
          </w:p>
        </w:tc>
        <w:tc>
          <w:tcPr>
            <w:tcW w:w="556"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丙</w:t>
            </w:r>
          </w:p>
        </w:tc>
        <w:tc>
          <w:tcPr>
            <w:tcW w:w="5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丁</w:t>
            </w:r>
          </w:p>
        </w:tc>
        <w:tc>
          <w:tcPr>
            <w:tcW w:w="5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1</w:t>
            </w:r>
          </w:p>
        </w:tc>
        <w:tc>
          <w:tcPr>
            <w:tcW w:w="556"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戊</w:t>
            </w:r>
          </w:p>
        </w:tc>
        <w:tc>
          <w:tcPr>
            <w:tcW w:w="5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己</w:t>
            </w:r>
          </w:p>
        </w:tc>
        <w:tc>
          <w:tcPr>
            <w:tcW w:w="555" w:type="pct"/>
            <w:tcBorders>
              <w:top w:val="single" w:sz="2" w:space="0" w:color="auto"/>
              <w:left w:val="single" w:sz="2" w:space="0" w:color="auto"/>
              <w:bottom w:val="single" w:sz="2" w:space="0" w:color="auto"/>
              <w:right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庚</w:t>
            </w:r>
          </w:p>
        </w:tc>
        <w:tc>
          <w:tcPr>
            <w:tcW w:w="556" w:type="pct"/>
            <w:tcBorders>
              <w:top w:val="single" w:sz="4" w:space="0" w:color="auto"/>
              <w:left w:val="single" w:sz="2" w:space="0" w:color="auto"/>
              <w:bottom w:val="single" w:sz="2" w:space="0" w:color="auto"/>
            </w:tcBorders>
            <w:shd w:val="clear" w:color="auto" w:fill="auto"/>
            <w:noWrap/>
            <w:vAlign w:val="center"/>
          </w:tcPr>
          <w:p w:rsidR="00883813" w:rsidRPr="009263D7" w:rsidRDefault="00CB4B9E" w:rsidP="009B5718">
            <w:pPr>
              <w:jc w:val="center"/>
              <w:rPr>
                <w:rFonts w:ascii="宋体" w:hAnsi="宋体" w:cs="宋体"/>
                <w:color w:val="000000" w:themeColor="text1"/>
                <w:sz w:val="18"/>
                <w:szCs w:val="18"/>
              </w:rPr>
            </w:pPr>
            <w:r w:rsidRPr="00CB4B9E">
              <w:rPr>
                <w:color w:val="000000" w:themeColor="text1"/>
                <w:sz w:val="18"/>
                <w:szCs w:val="18"/>
              </w:rPr>
              <w:t>辛</w:t>
            </w:r>
          </w:p>
        </w:tc>
      </w:tr>
    </w:tbl>
    <w:p w:rsidR="006B1CB4" w:rsidRPr="009263D7" w:rsidRDefault="006B1CB4" w:rsidP="00105B53">
      <w:pPr>
        <w:rPr>
          <w:rFonts w:ascii="宋体"/>
          <w:color w:val="000000" w:themeColor="text1"/>
          <w:sz w:val="18"/>
        </w:rPr>
      </w:pPr>
    </w:p>
    <w:p w:rsidR="008F1B1B" w:rsidRPr="009263D7" w:rsidRDefault="008F1B1B" w:rsidP="00105B53">
      <w:pPr>
        <w:rPr>
          <w:rFonts w:ascii="宋体"/>
          <w:color w:val="000000" w:themeColor="text1"/>
          <w:sz w:val="18"/>
        </w:rPr>
      </w:pPr>
    </w:p>
    <w:p w:rsidR="008F1B1B" w:rsidRPr="009263D7" w:rsidRDefault="008F1B1B" w:rsidP="00105B53">
      <w:pPr>
        <w:rPr>
          <w:rFonts w:ascii="宋体"/>
          <w:color w:val="000000" w:themeColor="text1"/>
          <w:sz w:val="18"/>
        </w:rPr>
      </w:pPr>
    </w:p>
    <w:p w:rsidR="008F1B1B" w:rsidRPr="009263D7" w:rsidRDefault="008F1B1B" w:rsidP="00105B53">
      <w:pPr>
        <w:rPr>
          <w:rFonts w:ascii="宋体"/>
          <w:color w:val="000000" w:themeColor="text1"/>
          <w:sz w:val="18"/>
        </w:rPr>
      </w:pPr>
    </w:p>
    <w:tbl>
      <w:tblPr>
        <w:tblW w:w="5000" w:type="pct"/>
        <w:tblLook w:val="04A0"/>
      </w:tblPr>
      <w:tblGrid>
        <w:gridCol w:w="877"/>
        <w:gridCol w:w="877"/>
        <w:gridCol w:w="876"/>
        <w:gridCol w:w="876"/>
        <w:gridCol w:w="876"/>
        <w:gridCol w:w="876"/>
        <w:gridCol w:w="876"/>
        <w:gridCol w:w="876"/>
        <w:gridCol w:w="876"/>
        <w:gridCol w:w="876"/>
        <w:gridCol w:w="867"/>
      </w:tblGrid>
      <w:tr w:rsidR="008F1B1B" w:rsidRPr="009263D7" w:rsidTr="008F1B1B">
        <w:trPr>
          <w:trHeight w:val="285"/>
        </w:trPr>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color w:val="000000" w:themeColor="text1"/>
                <w:sz w:val="18"/>
                <w:szCs w:val="18"/>
              </w:rPr>
            </w:pPr>
            <w:r w:rsidRPr="00CB4B9E">
              <w:rPr>
                <w:rFonts w:hint="eastAsia"/>
                <w:color w:val="000000" w:themeColor="text1"/>
                <w:sz w:val="18"/>
                <w:szCs w:val="18"/>
              </w:rPr>
              <w:t xml:space="preserve">　</w:t>
            </w:r>
          </w:p>
          <w:p w:rsidR="008F1B1B" w:rsidRPr="009263D7" w:rsidRDefault="008F1B1B" w:rsidP="008F1B1B">
            <w:pPr>
              <w:keepNext/>
              <w:keepLines/>
              <w:tabs>
                <w:tab w:val="num" w:pos="1440"/>
              </w:tabs>
              <w:spacing w:before="260" w:after="260" w:line="415" w:lineRule="auto"/>
              <w:ind w:left="1080" w:hanging="720"/>
              <w:outlineLvl w:val="2"/>
              <w:rPr>
                <w:rFonts w:ascii="宋体" w:hAnsi="宋体" w:cs="宋体"/>
                <w:color w:val="000000" w:themeColor="text1"/>
                <w:sz w:val="18"/>
                <w:szCs w:val="18"/>
              </w:rPr>
            </w:pP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c>
          <w:tcPr>
            <w:tcW w:w="455" w:type="pct"/>
            <w:tcBorders>
              <w:top w:val="nil"/>
              <w:left w:val="nil"/>
              <w:bottom w:val="single" w:sz="8" w:space="0" w:color="auto"/>
              <w:right w:val="nil"/>
            </w:tcBorders>
            <w:shd w:val="clear" w:color="auto" w:fill="auto"/>
            <w:noWrap/>
            <w:vAlign w:val="center"/>
          </w:tcPr>
          <w:p w:rsidR="008F1B1B" w:rsidRPr="009263D7" w:rsidRDefault="00CB4B9E" w:rsidP="008F1B1B">
            <w:pPr>
              <w:rPr>
                <w:rFonts w:ascii="宋体" w:hAnsi="宋体" w:cs="宋体"/>
                <w:color w:val="000000" w:themeColor="text1"/>
                <w:sz w:val="18"/>
                <w:szCs w:val="18"/>
              </w:rPr>
            </w:pPr>
            <w:r w:rsidRPr="00CB4B9E">
              <w:rPr>
                <w:rFonts w:hint="eastAsia"/>
                <w:color w:val="000000" w:themeColor="text1"/>
                <w:sz w:val="18"/>
                <w:szCs w:val="18"/>
              </w:rPr>
              <w:t xml:space="preserve">　</w:t>
            </w:r>
          </w:p>
        </w:tc>
      </w:tr>
    </w:tbl>
    <w:p w:rsidR="008F1B1B" w:rsidRPr="009263D7" w:rsidRDefault="00CB4B9E" w:rsidP="008F1B1B">
      <w:pPr>
        <w:spacing w:line="240" w:lineRule="exact"/>
        <w:rPr>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8F1B1B" w:rsidRPr="009263D7" w:rsidRDefault="00CB4B9E" w:rsidP="008F1B1B">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8F1B1B" w:rsidRPr="009263D7" w:rsidRDefault="008F1B1B" w:rsidP="00105B53">
      <w:pPr>
        <w:rPr>
          <w:rFonts w:ascii="宋体"/>
          <w:color w:val="000000" w:themeColor="text1"/>
          <w:sz w:val="18"/>
        </w:rPr>
        <w:sectPr w:rsidR="008F1B1B" w:rsidRPr="009263D7" w:rsidSect="00B154A0">
          <w:pgSz w:w="11907" w:h="16840" w:code="9"/>
          <w:pgMar w:top="1418" w:right="1247" w:bottom="1247" w:left="1247" w:header="851" w:footer="992" w:gutter="0"/>
          <w:cols w:space="425"/>
          <w:titlePg/>
          <w:docGrid w:type="lines" w:linePitch="312"/>
        </w:sectPr>
      </w:pPr>
    </w:p>
    <w:p w:rsidR="00D8295D" w:rsidRPr="009263D7" w:rsidRDefault="00D8295D" w:rsidP="00D8295D">
      <w:pPr>
        <w:rPr>
          <w:rFonts w:ascii="宋体"/>
          <w:color w:val="000000" w:themeColor="text1"/>
          <w:sz w:val="18"/>
        </w:rPr>
      </w:pPr>
    </w:p>
    <w:p w:rsidR="00D8295D" w:rsidRPr="009263D7" w:rsidRDefault="00CB4B9E" w:rsidP="009C2891">
      <w:pPr>
        <w:pStyle w:val="2"/>
        <w:jc w:val="center"/>
        <w:rPr>
          <w:rFonts w:asciiTheme="majorEastAsia" w:eastAsiaTheme="majorEastAsia" w:hAnsiTheme="majorEastAsia"/>
          <w:b w:val="0"/>
          <w:color w:val="000000" w:themeColor="text1"/>
        </w:rPr>
      </w:pPr>
      <w:bookmarkStart w:id="11" w:name="_Toc452017123"/>
      <w:r w:rsidRPr="00CB4B9E">
        <w:rPr>
          <w:rFonts w:asciiTheme="majorEastAsia" w:eastAsiaTheme="majorEastAsia" w:hAnsiTheme="majorEastAsia" w:hint="eastAsia"/>
          <w:b w:val="0"/>
          <w:color w:val="000000" w:themeColor="text1"/>
        </w:rPr>
        <w:t>（二）直接投资</w:t>
      </w:r>
      <w:bookmarkEnd w:id="11"/>
    </w:p>
    <w:p w:rsidR="0011781C" w:rsidRPr="009263D7" w:rsidRDefault="00CB4B9E" w:rsidP="003E7D8F">
      <w:pPr>
        <w:pStyle w:val="2"/>
        <w:jc w:val="center"/>
        <w:rPr>
          <w:rFonts w:ascii="宋体" w:eastAsia="宋体" w:hAnsi="宋体"/>
          <w:b w:val="0"/>
          <w:color w:val="000000" w:themeColor="text1"/>
          <w:kern w:val="0"/>
          <w:sz w:val="28"/>
          <w:szCs w:val="28"/>
        </w:rPr>
      </w:pPr>
      <w:bookmarkStart w:id="12" w:name="_Toc452017124"/>
      <w:r w:rsidRPr="00CB4B9E">
        <w:rPr>
          <w:rFonts w:ascii="宋体" w:eastAsia="宋体" w:hAnsi="宋体" w:hint="eastAsia"/>
          <w:b w:val="0"/>
          <w:color w:val="000000" w:themeColor="text1"/>
          <w:kern w:val="0"/>
          <w:sz w:val="28"/>
          <w:szCs w:val="28"/>
        </w:rPr>
        <w:t>对外直接投资（资产负债、利润及市值）</w:t>
      </w:r>
      <w:bookmarkEnd w:id="12"/>
    </w:p>
    <w:p w:rsidR="003E7D8F" w:rsidRPr="009263D7" w:rsidRDefault="003E7D8F" w:rsidP="00CC7ECB">
      <w:pPr>
        <w:spacing w:line="240" w:lineRule="exact"/>
        <w:ind w:firstLineChars="3830" w:firstLine="6894"/>
        <w:rPr>
          <w:color w:val="000000" w:themeColor="text1"/>
          <w:sz w:val="18"/>
        </w:rPr>
      </w:pPr>
    </w:p>
    <w:p w:rsidR="003E7D8F" w:rsidRPr="009263D7" w:rsidRDefault="003E7D8F" w:rsidP="00CC7ECB">
      <w:pPr>
        <w:spacing w:line="240" w:lineRule="exact"/>
        <w:ind w:firstLineChars="3830" w:firstLine="6894"/>
        <w:rPr>
          <w:color w:val="000000" w:themeColor="text1"/>
          <w:sz w:val="18"/>
        </w:rPr>
      </w:pPr>
    </w:p>
    <w:p w:rsidR="00231BCD" w:rsidRPr="009263D7" w:rsidRDefault="00CB4B9E" w:rsidP="00CC7ECB">
      <w:pPr>
        <w:spacing w:line="240" w:lineRule="exact"/>
        <w:ind w:firstLineChars="3830" w:firstLine="6894"/>
        <w:rPr>
          <w:color w:val="000000" w:themeColor="text1"/>
          <w:sz w:val="18"/>
        </w:rPr>
      </w:pPr>
      <w:r w:rsidRPr="00CB4B9E">
        <w:rPr>
          <w:color w:val="000000" w:themeColor="text1"/>
          <w:sz w:val="18"/>
        </w:rPr>
        <w:t>表</w:t>
      </w:r>
      <w:r w:rsidRPr="00CB4B9E">
        <w:rPr>
          <w:color w:val="000000" w:themeColor="text1"/>
          <w:sz w:val="18"/>
        </w:rPr>
        <w:t xml:space="preserve">    </w:t>
      </w:r>
      <w:r w:rsidRPr="00CB4B9E">
        <w:rPr>
          <w:color w:val="000000" w:themeColor="text1"/>
          <w:sz w:val="18"/>
        </w:rPr>
        <w:t>号：</w:t>
      </w:r>
      <w:r w:rsidRPr="00CB4B9E">
        <w:rPr>
          <w:rFonts w:ascii="宋体" w:hAnsi="宋体" w:cs="宋体"/>
          <w:color w:val="000000" w:themeColor="text1"/>
          <w:kern w:val="0"/>
          <w:sz w:val="18"/>
          <w:szCs w:val="18"/>
        </w:rPr>
        <w:t>外统A01-1表</w:t>
      </w:r>
    </w:p>
    <w:p w:rsidR="00231BCD" w:rsidRPr="009263D7" w:rsidRDefault="00CB4B9E" w:rsidP="00231BCD">
      <w:pPr>
        <w:spacing w:line="240" w:lineRule="exact"/>
        <w:rPr>
          <w:color w:val="000000" w:themeColor="text1"/>
          <w:sz w:val="18"/>
        </w:rPr>
      </w:pPr>
      <w:r w:rsidRPr="00CB4B9E">
        <w:rPr>
          <w:rFonts w:ascii="宋体" w:hAnsi="宋体" w:cs="宋体"/>
          <w:color w:val="000000" w:themeColor="text1"/>
          <w:kern w:val="0"/>
          <w:sz w:val="18"/>
          <w:szCs w:val="18"/>
        </w:rPr>
        <w:t xml:space="preserve">机构（单位）名称：                                                           </w:t>
      </w:r>
      <w:r w:rsidRPr="00CB4B9E">
        <w:rPr>
          <w:color w:val="000000" w:themeColor="text1"/>
          <w:sz w:val="18"/>
        </w:rPr>
        <w:t>制定机关：国家外汇管理局</w:t>
      </w:r>
    </w:p>
    <w:p w:rsidR="00231BCD" w:rsidRPr="009263D7" w:rsidRDefault="00CB4B9E" w:rsidP="00231BCD">
      <w:pPr>
        <w:spacing w:line="240" w:lineRule="exact"/>
        <w:ind w:rightChars="-17" w:right="-36"/>
        <w:jc w:val="left"/>
        <w:rPr>
          <w:color w:val="000000" w:themeColor="text1"/>
          <w:sz w:val="18"/>
        </w:rPr>
      </w:pPr>
      <w:r w:rsidRPr="00CB4B9E">
        <w:rPr>
          <w:rFonts w:ascii="宋体" w:hAnsi="宋体" w:cs="宋体"/>
          <w:color w:val="000000" w:themeColor="text1"/>
          <w:kern w:val="0"/>
          <w:sz w:val="18"/>
          <w:szCs w:val="18"/>
        </w:rPr>
        <w:t>机构代码（</w:t>
      </w:r>
      <w:r w:rsidRPr="00CB4B9E">
        <w:rPr>
          <w:rFonts w:ascii="宋体" w:hAnsi="宋体" w:cs="宋体" w:hint="eastAsia"/>
          <w:color w:val="000000" w:themeColor="text1"/>
          <w:kern w:val="0"/>
          <w:sz w:val="18"/>
          <w:szCs w:val="18"/>
        </w:rPr>
        <w:t>九位</w:t>
      </w:r>
      <w:r w:rsidRPr="00CB4B9E">
        <w:rPr>
          <w:rFonts w:ascii="宋体" w:hAnsi="宋体" w:cs="宋体"/>
          <w:color w:val="000000" w:themeColor="text1"/>
          <w:kern w:val="0"/>
          <w:sz w:val="18"/>
          <w:szCs w:val="18"/>
        </w:rPr>
        <w:t xml:space="preserve">）：                                                           </w:t>
      </w:r>
      <w:r w:rsidRPr="00CB4B9E">
        <w:rPr>
          <w:color w:val="000000" w:themeColor="text1"/>
          <w:sz w:val="18"/>
        </w:rPr>
        <w:t>批准机关：国家统计局</w:t>
      </w:r>
    </w:p>
    <w:p w:rsidR="00231BCD" w:rsidRPr="009263D7" w:rsidRDefault="00CB4B9E" w:rsidP="00231BCD">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color w:val="000000" w:themeColor="text1"/>
          <w:sz w:val="18"/>
        </w:rPr>
        <w:t>批准文号：国统制</w:t>
      </w:r>
      <w:r w:rsidRPr="00CB4B9E">
        <w:rPr>
          <w:color w:val="000000" w:themeColor="text1"/>
          <w:sz w:val="18"/>
        </w:rPr>
        <w:t>[2015]159</w:t>
      </w:r>
      <w:r w:rsidRPr="00CB4B9E">
        <w:rPr>
          <w:color w:val="000000" w:themeColor="text1"/>
          <w:sz w:val="18"/>
        </w:rPr>
        <w:t>号</w:t>
      </w:r>
    </w:p>
    <w:p w:rsidR="00231BCD" w:rsidRPr="009263D7" w:rsidRDefault="00CB4B9E" w:rsidP="00231BCD">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475F48" w:rsidRPr="009263D7" w:rsidRDefault="00475F48" w:rsidP="00231BCD">
      <w:pPr>
        <w:spacing w:line="240" w:lineRule="exact"/>
        <w:rPr>
          <w:rFonts w:ascii="宋体" w:hAnsi="宋体" w:cs="宋体"/>
          <w:color w:val="000000" w:themeColor="text1"/>
          <w:kern w:val="0"/>
          <w:sz w:val="18"/>
          <w:szCs w:val="18"/>
        </w:rPr>
      </w:pPr>
    </w:p>
    <w:p w:rsidR="00754C6E" w:rsidRPr="009263D7" w:rsidRDefault="00CB4B9E" w:rsidP="00754C6E">
      <w:pPr>
        <w:spacing w:line="240" w:lineRule="exact"/>
        <w:jc w:val="center"/>
        <w:rPr>
          <w:color w:val="000000" w:themeColor="text1"/>
          <w:sz w:val="18"/>
        </w:rPr>
      </w:pPr>
      <w:r w:rsidRPr="00CB4B9E">
        <w:rPr>
          <w:color w:val="000000" w:themeColor="text1"/>
          <w:sz w:val="18"/>
        </w:rPr>
        <w:t xml:space="preserve">                                       20   </w:t>
      </w:r>
      <w:r w:rsidRPr="00CB4B9E">
        <w:rPr>
          <w:color w:val="000000" w:themeColor="text1"/>
          <w:sz w:val="18"/>
        </w:rPr>
        <w:t>年</w:t>
      </w:r>
      <w:r w:rsidRPr="00CB4B9E">
        <w:rPr>
          <w:color w:val="000000" w:themeColor="text1"/>
          <w:sz w:val="18"/>
        </w:rPr>
        <w:t xml:space="preserve">    </w:t>
      </w:r>
      <w:r w:rsidRPr="00CB4B9E">
        <w:rPr>
          <w:color w:val="000000" w:themeColor="text1"/>
          <w:sz w:val="18"/>
        </w:rPr>
        <w:t>月</w:t>
      </w:r>
      <w:r w:rsidRPr="00CB4B9E">
        <w:rPr>
          <w:color w:val="000000" w:themeColor="text1"/>
          <w:sz w:val="18"/>
        </w:rPr>
        <w:t xml:space="preserve">          </w:t>
      </w:r>
      <w:r w:rsidRPr="00CB4B9E">
        <w:rPr>
          <w:color w:val="000000" w:themeColor="text1"/>
          <w:sz w:val="18"/>
        </w:rPr>
        <w:t>单位：</w:t>
      </w:r>
      <w:r w:rsidRPr="00CB4B9E">
        <w:rPr>
          <w:color w:val="000000" w:themeColor="text1"/>
          <w:sz w:val="18"/>
        </w:rPr>
        <w:t>1</w:t>
      </w:r>
      <w:r w:rsidRPr="00CB4B9E">
        <w:rPr>
          <w:color w:val="000000" w:themeColor="text1"/>
          <w:sz w:val="18"/>
        </w:rPr>
        <w:t>货币单位，</w:t>
      </w:r>
      <w:r w:rsidRPr="00CB4B9E">
        <w:rPr>
          <w:color w:val="000000" w:themeColor="text1"/>
          <w:sz w:val="18"/>
        </w:rPr>
        <w:t>1</w:t>
      </w:r>
      <w:r w:rsidRPr="00CB4B9E">
        <w:rPr>
          <w:color w:val="000000" w:themeColor="text1"/>
          <w:sz w:val="18"/>
        </w:rPr>
        <w:t>股，</w:t>
      </w:r>
      <w:r w:rsidRPr="00CB4B9E">
        <w:rPr>
          <w:color w:val="000000" w:themeColor="text1"/>
          <w:sz w:val="18"/>
        </w:rPr>
        <w:t>1</w:t>
      </w:r>
      <w:r w:rsidRPr="00CB4B9E">
        <w:rPr>
          <w:color w:val="000000" w:themeColor="text1"/>
          <w:sz w:val="18"/>
        </w:rPr>
        <w:t>份，</w:t>
      </w:r>
      <w:r w:rsidRPr="00CB4B9E">
        <w:rPr>
          <w:color w:val="000000" w:themeColor="text1"/>
          <w:sz w:val="18"/>
        </w:rPr>
        <w:t>%</w:t>
      </w:r>
    </w:p>
    <w:tbl>
      <w:tblPr>
        <w:tblW w:w="9700" w:type="dxa"/>
        <w:tblLayout w:type="fixed"/>
        <w:tblLook w:val="0000"/>
      </w:tblPr>
      <w:tblGrid>
        <w:gridCol w:w="91"/>
        <w:gridCol w:w="743"/>
        <w:gridCol w:w="270"/>
        <w:gridCol w:w="569"/>
        <w:gridCol w:w="165"/>
        <w:gridCol w:w="666"/>
        <w:gridCol w:w="67"/>
        <w:gridCol w:w="382"/>
        <w:gridCol w:w="364"/>
        <w:gridCol w:w="390"/>
        <w:gridCol w:w="455"/>
        <w:gridCol w:w="225"/>
        <w:gridCol w:w="582"/>
        <w:gridCol w:w="34"/>
        <w:gridCol w:w="257"/>
        <w:gridCol w:w="572"/>
        <w:gridCol w:w="284"/>
        <w:gridCol w:w="6"/>
        <w:gridCol w:w="529"/>
        <w:gridCol w:w="358"/>
        <w:gridCol w:w="473"/>
        <w:gridCol w:w="324"/>
        <w:gridCol w:w="7"/>
        <w:gridCol w:w="659"/>
        <w:gridCol w:w="141"/>
        <w:gridCol w:w="166"/>
        <w:gridCol w:w="614"/>
        <w:gridCol w:w="71"/>
        <w:gridCol w:w="165"/>
        <w:gridCol w:w="71"/>
      </w:tblGrid>
      <w:tr w:rsidR="00754C6E" w:rsidRPr="009263D7" w:rsidTr="008F1B1B">
        <w:trPr>
          <w:gridBefore w:val="1"/>
          <w:gridAfter w:val="2"/>
          <w:wBefore w:w="91" w:type="dxa"/>
          <w:wAfter w:w="236" w:type="dxa"/>
          <w:trHeight w:val="449"/>
        </w:trPr>
        <w:tc>
          <w:tcPr>
            <w:tcW w:w="9373" w:type="dxa"/>
            <w:gridSpan w:val="27"/>
            <w:tcBorders>
              <w:top w:val="single" w:sz="8" w:space="0" w:color="auto"/>
              <w:left w:val="nil"/>
            </w:tcBorders>
            <w:shd w:val="clear" w:color="auto" w:fill="auto"/>
            <w:vAlign w:val="center"/>
          </w:tcPr>
          <w:p w:rsidR="00754C6E" w:rsidRPr="009263D7" w:rsidRDefault="00CB4B9E" w:rsidP="0077027E">
            <w:pPr>
              <w:widowControl/>
              <w:ind w:firstLineChars="1800" w:firstLine="3240"/>
              <w:rPr>
                <w:color w:val="000000" w:themeColor="text1"/>
                <w:sz w:val="18"/>
              </w:rPr>
            </w:pPr>
            <w:r w:rsidRPr="00CB4B9E">
              <w:rPr>
                <w:color w:val="000000" w:themeColor="text1"/>
                <w:sz w:val="18"/>
              </w:rPr>
              <w:t>境外被投资机构基本情况</w:t>
            </w:r>
          </w:p>
        </w:tc>
      </w:tr>
      <w:tr w:rsidR="0080564E" w:rsidRPr="009263D7" w:rsidTr="008F1B1B">
        <w:tblPrEx>
          <w:tblLook w:val="04A0"/>
        </w:tblPrEx>
        <w:trPr>
          <w:gridAfter w:val="2"/>
          <w:wAfter w:w="236" w:type="dxa"/>
          <w:trHeight w:val="675"/>
        </w:trPr>
        <w:tc>
          <w:tcPr>
            <w:tcW w:w="834" w:type="dxa"/>
            <w:gridSpan w:val="2"/>
            <w:tcBorders>
              <w:top w:val="single" w:sz="2" w:space="0" w:color="auto"/>
              <w:left w:val="nil"/>
              <w:bottom w:val="nil"/>
              <w:right w:val="single" w:sz="4" w:space="0" w:color="auto"/>
            </w:tcBorders>
            <w:shd w:val="clear" w:color="auto" w:fill="auto"/>
            <w:vAlign w:val="center"/>
          </w:tcPr>
          <w:p w:rsidR="0080564E" w:rsidRPr="009263D7" w:rsidRDefault="00CB4B9E" w:rsidP="00614B56">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境外被投资机构代码</w:t>
            </w:r>
          </w:p>
        </w:tc>
        <w:tc>
          <w:tcPr>
            <w:tcW w:w="839" w:type="dxa"/>
            <w:gridSpan w:val="2"/>
            <w:tcBorders>
              <w:top w:val="single" w:sz="2" w:space="0" w:color="auto"/>
              <w:left w:val="nil"/>
              <w:bottom w:val="nil"/>
              <w:right w:val="single" w:sz="4" w:space="0" w:color="auto"/>
            </w:tcBorders>
            <w:shd w:val="clear" w:color="auto" w:fill="auto"/>
            <w:vAlign w:val="center"/>
          </w:tcPr>
          <w:p w:rsidR="0080564E" w:rsidRPr="009263D7" w:rsidRDefault="00CB4B9E" w:rsidP="00614B56">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境外被投资机构全称</w:t>
            </w:r>
          </w:p>
        </w:tc>
        <w:tc>
          <w:tcPr>
            <w:tcW w:w="831" w:type="dxa"/>
            <w:gridSpan w:val="2"/>
            <w:tcBorders>
              <w:top w:val="single" w:sz="2" w:space="0" w:color="auto"/>
              <w:left w:val="nil"/>
              <w:bottom w:val="nil"/>
              <w:right w:val="single" w:sz="4" w:space="0" w:color="auto"/>
            </w:tcBorders>
            <w:shd w:val="clear" w:color="auto" w:fill="auto"/>
            <w:vAlign w:val="center"/>
          </w:tcPr>
          <w:p w:rsidR="0080564E" w:rsidRPr="009263D7" w:rsidRDefault="00CB4B9E" w:rsidP="00563FE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境外被投资机构所属国家/地区</w:t>
            </w:r>
          </w:p>
        </w:tc>
        <w:tc>
          <w:tcPr>
            <w:tcW w:w="813" w:type="dxa"/>
            <w:gridSpan w:val="3"/>
            <w:tcBorders>
              <w:top w:val="single" w:sz="2" w:space="0" w:color="auto"/>
              <w:left w:val="nil"/>
              <w:bottom w:val="nil"/>
              <w:right w:val="single" w:sz="4" w:space="0" w:color="auto"/>
            </w:tcBorders>
            <w:shd w:val="clear" w:color="auto" w:fill="auto"/>
            <w:vAlign w:val="center"/>
          </w:tcPr>
          <w:p w:rsidR="0080564E" w:rsidRPr="009263D7" w:rsidRDefault="00CB4B9E" w:rsidP="00563FE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境外被投资机构所属行业</w:t>
            </w:r>
          </w:p>
        </w:tc>
        <w:tc>
          <w:tcPr>
            <w:tcW w:w="845" w:type="dxa"/>
            <w:gridSpan w:val="2"/>
            <w:tcBorders>
              <w:top w:val="single" w:sz="2" w:space="0" w:color="auto"/>
              <w:left w:val="nil"/>
              <w:bottom w:val="nil"/>
              <w:right w:val="single" w:sz="4" w:space="0" w:color="auto"/>
            </w:tcBorders>
            <w:shd w:val="clear" w:color="auto" w:fill="auto"/>
            <w:vAlign w:val="center"/>
          </w:tcPr>
          <w:p w:rsidR="0080564E" w:rsidRPr="009263D7" w:rsidRDefault="00CB4B9E" w:rsidP="00563FE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境外被投资机构与本机构的关系</w:t>
            </w:r>
          </w:p>
        </w:tc>
        <w:tc>
          <w:tcPr>
            <w:tcW w:w="841" w:type="dxa"/>
            <w:gridSpan w:val="3"/>
            <w:tcBorders>
              <w:top w:val="single" w:sz="2" w:space="0" w:color="auto"/>
              <w:left w:val="nil"/>
              <w:bottom w:val="nil"/>
              <w:right w:val="single" w:sz="4" w:space="0" w:color="auto"/>
            </w:tcBorders>
            <w:shd w:val="clear" w:color="auto" w:fill="auto"/>
            <w:vAlign w:val="center"/>
          </w:tcPr>
          <w:p w:rsidR="0080564E" w:rsidRPr="009263D7" w:rsidRDefault="00CB4B9E" w:rsidP="00563FE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最终控制方全称</w:t>
            </w:r>
          </w:p>
        </w:tc>
        <w:tc>
          <w:tcPr>
            <w:tcW w:w="829" w:type="dxa"/>
            <w:gridSpan w:val="2"/>
            <w:tcBorders>
              <w:top w:val="single" w:sz="2" w:space="0" w:color="auto"/>
              <w:left w:val="nil"/>
              <w:bottom w:val="nil"/>
              <w:right w:val="single" w:sz="4" w:space="0" w:color="auto"/>
            </w:tcBorders>
            <w:shd w:val="clear" w:color="auto" w:fill="auto"/>
            <w:vAlign w:val="center"/>
          </w:tcPr>
          <w:p w:rsidR="0080564E" w:rsidRPr="009263D7" w:rsidRDefault="00CB4B9E" w:rsidP="00563FE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最终控制方所属国家/地区</w:t>
            </w:r>
          </w:p>
        </w:tc>
        <w:tc>
          <w:tcPr>
            <w:tcW w:w="819" w:type="dxa"/>
            <w:gridSpan w:val="3"/>
            <w:tcBorders>
              <w:top w:val="single" w:sz="2" w:space="0" w:color="auto"/>
              <w:left w:val="nil"/>
              <w:bottom w:val="nil"/>
              <w:right w:val="single" w:sz="4" w:space="0" w:color="auto"/>
            </w:tcBorders>
            <w:shd w:val="clear" w:color="auto" w:fill="auto"/>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期末(本机构)表决权比例(%)</w:t>
            </w:r>
          </w:p>
        </w:tc>
        <w:tc>
          <w:tcPr>
            <w:tcW w:w="831" w:type="dxa"/>
            <w:gridSpan w:val="2"/>
            <w:tcBorders>
              <w:top w:val="single" w:sz="2" w:space="0" w:color="auto"/>
              <w:left w:val="nil"/>
              <w:bottom w:val="nil"/>
              <w:right w:val="single" w:sz="4" w:space="0" w:color="auto"/>
            </w:tcBorders>
            <w:shd w:val="clear" w:color="auto" w:fill="auto"/>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期末（本机构）持股比例(%)</w:t>
            </w:r>
          </w:p>
        </w:tc>
        <w:tc>
          <w:tcPr>
            <w:tcW w:w="990" w:type="dxa"/>
            <w:gridSpan w:val="3"/>
            <w:tcBorders>
              <w:top w:val="single" w:sz="2" w:space="0" w:color="auto"/>
              <w:left w:val="nil"/>
              <w:bottom w:val="nil"/>
              <w:right w:val="single" w:sz="4" w:space="0" w:color="auto"/>
            </w:tcBorders>
            <w:shd w:val="clear" w:color="auto" w:fill="auto"/>
            <w:vAlign w:val="center"/>
          </w:tcPr>
          <w:p w:rsidR="0080564E" w:rsidRPr="009263D7" w:rsidRDefault="00CB4B9E" w:rsidP="00213521">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本机构是否通过SPV或壳机构持有该境外被投资机构</w:t>
            </w:r>
          </w:p>
        </w:tc>
        <w:tc>
          <w:tcPr>
            <w:tcW w:w="992" w:type="dxa"/>
            <w:gridSpan w:val="4"/>
            <w:tcBorders>
              <w:top w:val="single" w:sz="2" w:space="0" w:color="auto"/>
              <w:left w:val="nil"/>
              <w:bottom w:val="nil"/>
            </w:tcBorders>
            <w:shd w:val="clear" w:color="auto" w:fill="auto"/>
            <w:vAlign w:val="center"/>
          </w:tcPr>
          <w:p w:rsidR="0080564E" w:rsidRPr="009263D7" w:rsidRDefault="00CB4B9E" w:rsidP="00213521">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该SPV或壳机构所属国家/地区</w:t>
            </w:r>
          </w:p>
        </w:tc>
      </w:tr>
      <w:tr w:rsidR="0080564E" w:rsidRPr="009263D7" w:rsidTr="008F1B1B">
        <w:tblPrEx>
          <w:tblLook w:val="04A0"/>
        </w:tblPrEx>
        <w:trPr>
          <w:gridAfter w:val="2"/>
          <w:wAfter w:w="236" w:type="dxa"/>
          <w:trHeight w:val="270"/>
        </w:trPr>
        <w:tc>
          <w:tcPr>
            <w:tcW w:w="834" w:type="dxa"/>
            <w:gridSpan w:val="2"/>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A0101</w:t>
            </w:r>
          </w:p>
        </w:tc>
        <w:tc>
          <w:tcPr>
            <w:tcW w:w="839" w:type="dxa"/>
            <w:gridSpan w:val="2"/>
            <w:tcBorders>
              <w:top w:val="nil"/>
              <w:left w:val="nil"/>
              <w:bottom w:val="single" w:sz="4" w:space="0" w:color="auto"/>
              <w:right w:val="single" w:sz="4" w:space="0" w:color="auto"/>
            </w:tcBorders>
            <w:shd w:val="clear" w:color="auto" w:fill="auto"/>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A0102</w:t>
            </w:r>
          </w:p>
        </w:tc>
        <w:tc>
          <w:tcPr>
            <w:tcW w:w="831" w:type="dxa"/>
            <w:gridSpan w:val="2"/>
            <w:tcBorders>
              <w:top w:val="nil"/>
              <w:left w:val="nil"/>
              <w:bottom w:val="single" w:sz="4" w:space="0" w:color="auto"/>
              <w:right w:val="single" w:sz="4" w:space="0" w:color="auto"/>
            </w:tcBorders>
            <w:shd w:val="clear" w:color="auto" w:fill="auto"/>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A0103</w:t>
            </w:r>
          </w:p>
        </w:tc>
        <w:tc>
          <w:tcPr>
            <w:tcW w:w="813" w:type="dxa"/>
            <w:gridSpan w:val="3"/>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A0104</w:t>
            </w:r>
          </w:p>
        </w:tc>
        <w:tc>
          <w:tcPr>
            <w:tcW w:w="845" w:type="dxa"/>
            <w:gridSpan w:val="2"/>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A0105</w:t>
            </w:r>
          </w:p>
        </w:tc>
        <w:tc>
          <w:tcPr>
            <w:tcW w:w="841" w:type="dxa"/>
            <w:gridSpan w:val="3"/>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A0106</w:t>
            </w:r>
          </w:p>
        </w:tc>
        <w:tc>
          <w:tcPr>
            <w:tcW w:w="829" w:type="dxa"/>
            <w:gridSpan w:val="2"/>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A0107</w:t>
            </w:r>
          </w:p>
        </w:tc>
        <w:tc>
          <w:tcPr>
            <w:tcW w:w="819" w:type="dxa"/>
            <w:gridSpan w:val="3"/>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A0108</w:t>
            </w:r>
          </w:p>
        </w:tc>
        <w:tc>
          <w:tcPr>
            <w:tcW w:w="831" w:type="dxa"/>
            <w:gridSpan w:val="2"/>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A0109</w:t>
            </w:r>
          </w:p>
        </w:tc>
        <w:tc>
          <w:tcPr>
            <w:tcW w:w="990" w:type="dxa"/>
            <w:gridSpan w:val="3"/>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A0110</w:t>
            </w:r>
          </w:p>
        </w:tc>
        <w:tc>
          <w:tcPr>
            <w:tcW w:w="992" w:type="dxa"/>
            <w:gridSpan w:val="4"/>
            <w:tcBorders>
              <w:top w:val="nil"/>
              <w:left w:val="nil"/>
              <w:bottom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A0111</w:t>
            </w:r>
          </w:p>
        </w:tc>
      </w:tr>
      <w:tr w:rsidR="0080564E" w:rsidRPr="009263D7" w:rsidTr="008F1B1B">
        <w:tblPrEx>
          <w:tblLook w:val="04A0"/>
        </w:tblPrEx>
        <w:trPr>
          <w:gridAfter w:val="2"/>
          <w:wAfter w:w="236" w:type="dxa"/>
          <w:trHeight w:val="270"/>
        </w:trPr>
        <w:tc>
          <w:tcPr>
            <w:tcW w:w="834" w:type="dxa"/>
            <w:gridSpan w:val="2"/>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甲</w:t>
            </w:r>
          </w:p>
        </w:tc>
        <w:tc>
          <w:tcPr>
            <w:tcW w:w="839" w:type="dxa"/>
            <w:gridSpan w:val="2"/>
            <w:tcBorders>
              <w:top w:val="nil"/>
              <w:left w:val="nil"/>
              <w:bottom w:val="single" w:sz="4" w:space="0" w:color="auto"/>
              <w:right w:val="single" w:sz="4" w:space="0" w:color="auto"/>
            </w:tcBorders>
            <w:shd w:val="clear" w:color="auto" w:fill="auto"/>
            <w:vAlign w:val="center"/>
          </w:tcPr>
          <w:p w:rsidR="0080564E" w:rsidRPr="009263D7" w:rsidRDefault="00CB4B9E" w:rsidP="00D60CB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乙</w:t>
            </w:r>
          </w:p>
        </w:tc>
        <w:tc>
          <w:tcPr>
            <w:tcW w:w="831" w:type="dxa"/>
            <w:gridSpan w:val="2"/>
            <w:tcBorders>
              <w:top w:val="nil"/>
              <w:left w:val="nil"/>
              <w:bottom w:val="single" w:sz="4" w:space="0" w:color="auto"/>
              <w:right w:val="single" w:sz="4" w:space="0" w:color="auto"/>
            </w:tcBorders>
            <w:shd w:val="clear" w:color="auto" w:fill="auto"/>
            <w:vAlign w:val="center"/>
          </w:tcPr>
          <w:p w:rsidR="0080564E" w:rsidRPr="009263D7" w:rsidRDefault="00CB4B9E" w:rsidP="00D60CB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丙</w:t>
            </w:r>
          </w:p>
        </w:tc>
        <w:tc>
          <w:tcPr>
            <w:tcW w:w="813" w:type="dxa"/>
            <w:gridSpan w:val="3"/>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丁</w:t>
            </w:r>
          </w:p>
        </w:tc>
        <w:tc>
          <w:tcPr>
            <w:tcW w:w="845" w:type="dxa"/>
            <w:gridSpan w:val="2"/>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戊</w:t>
            </w:r>
          </w:p>
        </w:tc>
        <w:tc>
          <w:tcPr>
            <w:tcW w:w="841" w:type="dxa"/>
            <w:gridSpan w:val="3"/>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己</w:t>
            </w:r>
          </w:p>
        </w:tc>
        <w:tc>
          <w:tcPr>
            <w:tcW w:w="829" w:type="dxa"/>
            <w:gridSpan w:val="2"/>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庚</w:t>
            </w:r>
          </w:p>
        </w:tc>
        <w:tc>
          <w:tcPr>
            <w:tcW w:w="819" w:type="dxa"/>
            <w:gridSpan w:val="3"/>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831" w:type="dxa"/>
            <w:gridSpan w:val="2"/>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990" w:type="dxa"/>
            <w:gridSpan w:val="3"/>
            <w:tcBorders>
              <w:top w:val="nil"/>
              <w:left w:val="nil"/>
              <w:bottom w:val="single" w:sz="4" w:space="0" w:color="auto"/>
              <w:right w:val="single" w:sz="4" w:space="0" w:color="auto"/>
            </w:tcBorders>
            <w:shd w:val="clear" w:color="auto" w:fill="auto"/>
            <w:noWrap/>
            <w:vAlign w:val="center"/>
          </w:tcPr>
          <w:p w:rsidR="0080564E"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辛</w:t>
            </w:r>
          </w:p>
        </w:tc>
        <w:tc>
          <w:tcPr>
            <w:tcW w:w="992" w:type="dxa"/>
            <w:gridSpan w:val="4"/>
            <w:tcBorders>
              <w:top w:val="nil"/>
              <w:left w:val="nil"/>
              <w:bottom w:val="single" w:sz="4" w:space="0" w:color="auto"/>
            </w:tcBorders>
            <w:shd w:val="clear" w:color="auto" w:fill="auto"/>
            <w:noWrap/>
            <w:vAlign w:val="center"/>
          </w:tcPr>
          <w:p w:rsidR="0080564E" w:rsidRPr="009263D7" w:rsidRDefault="00CB4B9E" w:rsidP="00F078F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壬</w:t>
            </w:r>
          </w:p>
        </w:tc>
      </w:tr>
      <w:tr w:rsidR="0080564E" w:rsidRPr="009263D7" w:rsidTr="008F1B1B">
        <w:tblPrEx>
          <w:tblLook w:val="04A0"/>
        </w:tblPrEx>
        <w:trPr>
          <w:trHeight w:val="270"/>
        </w:trPr>
        <w:tc>
          <w:tcPr>
            <w:tcW w:w="834" w:type="dxa"/>
            <w:gridSpan w:val="2"/>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c>
          <w:tcPr>
            <w:tcW w:w="2483" w:type="dxa"/>
            <w:gridSpan w:val="7"/>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c>
          <w:tcPr>
            <w:tcW w:w="845" w:type="dxa"/>
            <w:gridSpan w:val="2"/>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c>
          <w:tcPr>
            <w:tcW w:w="841" w:type="dxa"/>
            <w:gridSpan w:val="3"/>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c>
          <w:tcPr>
            <w:tcW w:w="829" w:type="dxa"/>
            <w:gridSpan w:val="2"/>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c>
          <w:tcPr>
            <w:tcW w:w="819" w:type="dxa"/>
            <w:gridSpan w:val="3"/>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c>
          <w:tcPr>
            <w:tcW w:w="831" w:type="dxa"/>
            <w:gridSpan w:val="2"/>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c>
          <w:tcPr>
            <w:tcW w:w="990" w:type="dxa"/>
            <w:gridSpan w:val="3"/>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c>
          <w:tcPr>
            <w:tcW w:w="992" w:type="dxa"/>
            <w:gridSpan w:val="4"/>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18"/>
                <w:szCs w:val="18"/>
              </w:rPr>
            </w:pPr>
          </w:p>
        </w:tc>
        <w:tc>
          <w:tcPr>
            <w:tcW w:w="236" w:type="dxa"/>
            <w:gridSpan w:val="2"/>
            <w:tcBorders>
              <w:top w:val="nil"/>
              <w:left w:val="nil"/>
              <w:bottom w:val="nil"/>
              <w:right w:val="nil"/>
            </w:tcBorders>
            <w:shd w:val="clear" w:color="auto" w:fill="auto"/>
            <w:noWrap/>
            <w:vAlign w:val="center"/>
          </w:tcPr>
          <w:p w:rsidR="00E02B88" w:rsidRPr="009263D7" w:rsidRDefault="00E02B88" w:rsidP="00E02B88">
            <w:pPr>
              <w:widowControl/>
              <w:jc w:val="center"/>
              <w:rPr>
                <w:rFonts w:ascii="宋体" w:hAnsi="宋体" w:cs="宋体"/>
                <w:color w:val="000000" w:themeColor="text1"/>
                <w:kern w:val="0"/>
                <w:sz w:val="22"/>
                <w:szCs w:val="22"/>
              </w:rPr>
            </w:pPr>
          </w:p>
        </w:tc>
      </w:tr>
      <w:tr w:rsidR="006B1CB4" w:rsidRPr="009263D7" w:rsidTr="008F1B1B">
        <w:tblPrEx>
          <w:tblLook w:val="04A0"/>
        </w:tblPrEx>
        <w:trPr>
          <w:gridAfter w:val="1"/>
          <w:wAfter w:w="71" w:type="dxa"/>
          <w:trHeight w:val="582"/>
        </w:trPr>
        <w:tc>
          <w:tcPr>
            <w:tcW w:w="1104" w:type="dxa"/>
            <w:gridSpan w:val="3"/>
            <w:tcBorders>
              <w:top w:val="nil"/>
              <w:left w:val="nil"/>
              <w:bottom w:val="single" w:sz="8" w:space="0" w:color="auto"/>
              <w:right w:val="nil"/>
            </w:tcBorders>
            <w:shd w:val="clear" w:color="auto" w:fill="auto"/>
            <w:noWrap/>
            <w:vAlign w:val="center"/>
          </w:tcPr>
          <w:p w:rsidR="006B1CB4" w:rsidRPr="009263D7" w:rsidRDefault="006B1CB4" w:rsidP="00E02B88">
            <w:pPr>
              <w:widowControl/>
              <w:jc w:val="left"/>
              <w:rPr>
                <w:rFonts w:ascii="宋体" w:hAnsi="宋体" w:cs="宋体"/>
                <w:color w:val="000000" w:themeColor="text1"/>
                <w:kern w:val="0"/>
                <w:sz w:val="22"/>
                <w:szCs w:val="22"/>
              </w:rPr>
            </w:pPr>
          </w:p>
        </w:tc>
        <w:tc>
          <w:tcPr>
            <w:tcW w:w="1849" w:type="dxa"/>
            <w:gridSpan w:val="5"/>
            <w:tcBorders>
              <w:top w:val="nil"/>
              <w:left w:val="nil"/>
              <w:bottom w:val="single" w:sz="8" w:space="0" w:color="auto"/>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c>
          <w:tcPr>
            <w:tcW w:w="1434" w:type="dxa"/>
            <w:gridSpan w:val="4"/>
            <w:tcBorders>
              <w:top w:val="nil"/>
              <w:left w:val="nil"/>
              <w:bottom w:val="single" w:sz="8" w:space="0" w:color="auto"/>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c>
          <w:tcPr>
            <w:tcW w:w="582" w:type="dxa"/>
            <w:tcBorders>
              <w:top w:val="nil"/>
              <w:left w:val="nil"/>
              <w:bottom w:val="single" w:sz="8" w:space="0" w:color="auto"/>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c>
          <w:tcPr>
            <w:tcW w:w="1147" w:type="dxa"/>
            <w:gridSpan w:val="4"/>
            <w:tcBorders>
              <w:top w:val="nil"/>
              <w:left w:val="nil"/>
              <w:bottom w:val="single" w:sz="8" w:space="0" w:color="auto"/>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c>
          <w:tcPr>
            <w:tcW w:w="893" w:type="dxa"/>
            <w:gridSpan w:val="3"/>
            <w:tcBorders>
              <w:top w:val="nil"/>
              <w:left w:val="nil"/>
              <w:bottom w:val="single" w:sz="8" w:space="0" w:color="auto"/>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c>
          <w:tcPr>
            <w:tcW w:w="804" w:type="dxa"/>
            <w:gridSpan w:val="3"/>
            <w:tcBorders>
              <w:top w:val="nil"/>
              <w:left w:val="nil"/>
              <w:bottom w:val="single" w:sz="8" w:space="0" w:color="auto"/>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c>
          <w:tcPr>
            <w:tcW w:w="966" w:type="dxa"/>
            <w:gridSpan w:val="3"/>
            <w:tcBorders>
              <w:top w:val="nil"/>
              <w:left w:val="nil"/>
              <w:bottom w:val="single" w:sz="8" w:space="0" w:color="auto"/>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c>
          <w:tcPr>
            <w:tcW w:w="614" w:type="dxa"/>
            <w:tcBorders>
              <w:top w:val="nil"/>
              <w:left w:val="nil"/>
              <w:bottom w:val="single" w:sz="8" w:space="0" w:color="auto"/>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c>
          <w:tcPr>
            <w:tcW w:w="236" w:type="dxa"/>
            <w:gridSpan w:val="2"/>
            <w:vMerge w:val="restart"/>
            <w:tcBorders>
              <w:top w:val="nil"/>
              <w:left w:val="nil"/>
              <w:right w:val="nil"/>
            </w:tcBorders>
            <w:shd w:val="clear" w:color="auto" w:fill="auto"/>
            <w:noWrap/>
            <w:vAlign w:val="center"/>
          </w:tcPr>
          <w:p w:rsidR="006B1CB4" w:rsidRPr="009263D7" w:rsidRDefault="00CB4B9E" w:rsidP="00E02B88">
            <w:pPr>
              <w:widowControl/>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 xml:space="preserve">　</w:t>
            </w:r>
          </w:p>
        </w:tc>
      </w:tr>
      <w:tr w:rsidR="001A7F19" w:rsidRPr="009263D7" w:rsidTr="008F1B1B">
        <w:tblPrEx>
          <w:tblLook w:val="04A0"/>
        </w:tblPrEx>
        <w:trPr>
          <w:gridAfter w:val="1"/>
          <w:wAfter w:w="71" w:type="dxa"/>
          <w:trHeight w:val="343"/>
        </w:trPr>
        <w:tc>
          <w:tcPr>
            <w:tcW w:w="2953" w:type="dxa"/>
            <w:gridSpan w:val="8"/>
            <w:tcBorders>
              <w:top w:val="single" w:sz="8" w:space="0" w:color="auto"/>
              <w:left w:val="nil"/>
              <w:bottom w:val="single" w:sz="8" w:space="0" w:color="auto"/>
              <w:right w:val="nil"/>
            </w:tcBorders>
            <w:shd w:val="clear" w:color="auto" w:fill="auto"/>
            <w:noWrap/>
            <w:vAlign w:val="center"/>
          </w:tcPr>
          <w:p w:rsidR="001A7F19" w:rsidRPr="009263D7" w:rsidRDefault="00CB4B9E" w:rsidP="00E02B88">
            <w:pPr>
              <w:jc w:val="left"/>
              <w:rPr>
                <w:rFonts w:ascii="宋体" w:hAnsi="宋体" w:cs="宋体"/>
                <w:color w:val="000000" w:themeColor="text1"/>
                <w:kern w:val="0"/>
                <w:sz w:val="22"/>
                <w:szCs w:val="22"/>
              </w:rPr>
            </w:pPr>
            <w:r w:rsidRPr="00CB4B9E">
              <w:rPr>
                <w:rFonts w:ascii="宋体" w:hAnsi="宋体" w:cs="宋体"/>
                <w:color w:val="000000" w:themeColor="text1"/>
                <w:kern w:val="0"/>
                <w:sz w:val="22"/>
                <w:szCs w:val="22"/>
              </w:rPr>
              <w:t>续表一</w:t>
            </w:r>
          </w:p>
        </w:tc>
        <w:tc>
          <w:tcPr>
            <w:tcW w:w="1434" w:type="dxa"/>
            <w:gridSpan w:val="4"/>
            <w:tcBorders>
              <w:top w:val="single" w:sz="8" w:space="0" w:color="auto"/>
              <w:left w:val="nil"/>
              <w:bottom w:val="single" w:sz="8" w:space="0" w:color="auto"/>
              <w:right w:val="nil"/>
            </w:tcBorders>
            <w:shd w:val="clear" w:color="auto" w:fill="auto"/>
            <w:noWrap/>
            <w:vAlign w:val="center"/>
          </w:tcPr>
          <w:p w:rsidR="001A7F19" w:rsidRPr="009263D7" w:rsidRDefault="001A7F19" w:rsidP="00E02B88">
            <w:pPr>
              <w:jc w:val="left"/>
              <w:rPr>
                <w:rFonts w:ascii="宋体" w:hAnsi="宋体" w:cs="宋体"/>
                <w:color w:val="000000" w:themeColor="text1"/>
                <w:kern w:val="0"/>
                <w:sz w:val="22"/>
                <w:szCs w:val="22"/>
              </w:rPr>
            </w:pPr>
          </w:p>
        </w:tc>
        <w:tc>
          <w:tcPr>
            <w:tcW w:w="582" w:type="dxa"/>
            <w:tcBorders>
              <w:top w:val="single" w:sz="8" w:space="0" w:color="auto"/>
              <w:left w:val="nil"/>
              <w:bottom w:val="single" w:sz="8" w:space="0" w:color="auto"/>
              <w:right w:val="nil"/>
            </w:tcBorders>
            <w:shd w:val="clear" w:color="auto" w:fill="auto"/>
            <w:noWrap/>
            <w:vAlign w:val="center"/>
          </w:tcPr>
          <w:p w:rsidR="001A7F19" w:rsidRPr="009263D7" w:rsidRDefault="001A7F19" w:rsidP="00E02B88">
            <w:pPr>
              <w:jc w:val="left"/>
              <w:rPr>
                <w:rFonts w:ascii="宋体" w:hAnsi="宋体" w:cs="宋体"/>
                <w:color w:val="000000" w:themeColor="text1"/>
                <w:kern w:val="0"/>
                <w:sz w:val="22"/>
                <w:szCs w:val="22"/>
              </w:rPr>
            </w:pPr>
          </w:p>
        </w:tc>
        <w:tc>
          <w:tcPr>
            <w:tcW w:w="1147" w:type="dxa"/>
            <w:gridSpan w:val="4"/>
            <w:tcBorders>
              <w:top w:val="single" w:sz="8" w:space="0" w:color="auto"/>
              <w:left w:val="nil"/>
              <w:bottom w:val="single" w:sz="8" w:space="0" w:color="auto"/>
              <w:right w:val="nil"/>
            </w:tcBorders>
            <w:shd w:val="clear" w:color="auto" w:fill="auto"/>
            <w:noWrap/>
            <w:vAlign w:val="center"/>
          </w:tcPr>
          <w:p w:rsidR="001A7F19" w:rsidRPr="009263D7" w:rsidRDefault="001A7F19" w:rsidP="00E02B88">
            <w:pPr>
              <w:jc w:val="left"/>
              <w:rPr>
                <w:rFonts w:ascii="宋体" w:hAnsi="宋体" w:cs="宋体"/>
                <w:color w:val="000000" w:themeColor="text1"/>
                <w:kern w:val="0"/>
                <w:sz w:val="22"/>
                <w:szCs w:val="22"/>
              </w:rPr>
            </w:pPr>
          </w:p>
        </w:tc>
        <w:tc>
          <w:tcPr>
            <w:tcW w:w="893" w:type="dxa"/>
            <w:gridSpan w:val="3"/>
            <w:tcBorders>
              <w:top w:val="single" w:sz="8" w:space="0" w:color="auto"/>
              <w:left w:val="nil"/>
              <w:bottom w:val="single" w:sz="8" w:space="0" w:color="auto"/>
              <w:right w:val="nil"/>
            </w:tcBorders>
            <w:shd w:val="clear" w:color="auto" w:fill="auto"/>
            <w:noWrap/>
            <w:vAlign w:val="center"/>
          </w:tcPr>
          <w:p w:rsidR="001A7F19" w:rsidRPr="009263D7" w:rsidRDefault="001A7F19" w:rsidP="00E02B88">
            <w:pPr>
              <w:jc w:val="left"/>
              <w:rPr>
                <w:rFonts w:ascii="宋体" w:hAnsi="宋体" w:cs="宋体"/>
                <w:color w:val="000000" w:themeColor="text1"/>
                <w:kern w:val="0"/>
                <w:sz w:val="22"/>
                <w:szCs w:val="22"/>
              </w:rPr>
            </w:pPr>
          </w:p>
        </w:tc>
        <w:tc>
          <w:tcPr>
            <w:tcW w:w="804" w:type="dxa"/>
            <w:gridSpan w:val="3"/>
            <w:tcBorders>
              <w:top w:val="single" w:sz="8" w:space="0" w:color="auto"/>
              <w:left w:val="nil"/>
              <w:bottom w:val="single" w:sz="8" w:space="0" w:color="auto"/>
              <w:right w:val="nil"/>
            </w:tcBorders>
            <w:shd w:val="clear" w:color="auto" w:fill="auto"/>
            <w:noWrap/>
            <w:vAlign w:val="center"/>
          </w:tcPr>
          <w:p w:rsidR="001A7F19" w:rsidRPr="009263D7" w:rsidRDefault="001A7F19" w:rsidP="00E02B88">
            <w:pPr>
              <w:jc w:val="left"/>
              <w:rPr>
                <w:rFonts w:ascii="宋体" w:hAnsi="宋体" w:cs="宋体"/>
                <w:color w:val="000000" w:themeColor="text1"/>
                <w:kern w:val="0"/>
                <w:sz w:val="22"/>
                <w:szCs w:val="22"/>
              </w:rPr>
            </w:pPr>
          </w:p>
        </w:tc>
        <w:tc>
          <w:tcPr>
            <w:tcW w:w="966" w:type="dxa"/>
            <w:gridSpan w:val="3"/>
            <w:tcBorders>
              <w:top w:val="single" w:sz="8" w:space="0" w:color="auto"/>
              <w:left w:val="nil"/>
              <w:bottom w:val="single" w:sz="8" w:space="0" w:color="auto"/>
              <w:right w:val="nil"/>
            </w:tcBorders>
            <w:shd w:val="clear" w:color="auto" w:fill="auto"/>
            <w:noWrap/>
            <w:vAlign w:val="center"/>
          </w:tcPr>
          <w:p w:rsidR="001A7F19" w:rsidRPr="009263D7" w:rsidRDefault="001A7F19" w:rsidP="00E02B88">
            <w:pPr>
              <w:jc w:val="left"/>
              <w:rPr>
                <w:rFonts w:ascii="宋体" w:hAnsi="宋体" w:cs="宋体"/>
                <w:color w:val="000000" w:themeColor="text1"/>
                <w:kern w:val="0"/>
                <w:sz w:val="22"/>
                <w:szCs w:val="22"/>
              </w:rPr>
            </w:pPr>
          </w:p>
        </w:tc>
        <w:tc>
          <w:tcPr>
            <w:tcW w:w="614" w:type="dxa"/>
            <w:tcBorders>
              <w:top w:val="single" w:sz="8" w:space="0" w:color="auto"/>
              <w:left w:val="nil"/>
              <w:bottom w:val="single" w:sz="8" w:space="0" w:color="auto"/>
            </w:tcBorders>
            <w:shd w:val="clear" w:color="auto" w:fill="auto"/>
            <w:noWrap/>
            <w:vAlign w:val="center"/>
          </w:tcPr>
          <w:p w:rsidR="001A7F19" w:rsidRPr="009263D7" w:rsidRDefault="001A7F19" w:rsidP="00E02B88">
            <w:pPr>
              <w:jc w:val="left"/>
              <w:rPr>
                <w:rFonts w:ascii="宋体" w:hAnsi="宋体" w:cs="宋体"/>
                <w:color w:val="000000" w:themeColor="text1"/>
                <w:kern w:val="0"/>
                <w:sz w:val="22"/>
                <w:szCs w:val="22"/>
              </w:rPr>
            </w:pPr>
          </w:p>
        </w:tc>
        <w:tc>
          <w:tcPr>
            <w:tcW w:w="236" w:type="dxa"/>
            <w:gridSpan w:val="2"/>
            <w:vMerge/>
            <w:tcBorders>
              <w:left w:val="nil"/>
              <w:right w:val="nil"/>
            </w:tcBorders>
            <w:shd w:val="clear" w:color="auto" w:fill="auto"/>
            <w:noWrap/>
            <w:vAlign w:val="center"/>
          </w:tcPr>
          <w:p w:rsidR="001A7F19" w:rsidRPr="009263D7" w:rsidRDefault="001A7F19" w:rsidP="00E02B88">
            <w:pPr>
              <w:jc w:val="left"/>
              <w:rPr>
                <w:rFonts w:ascii="宋体" w:hAnsi="宋体" w:cs="宋体"/>
                <w:color w:val="000000" w:themeColor="text1"/>
                <w:kern w:val="0"/>
                <w:sz w:val="22"/>
                <w:szCs w:val="22"/>
              </w:rPr>
            </w:pPr>
          </w:p>
        </w:tc>
      </w:tr>
      <w:tr w:rsidR="00257D71" w:rsidRPr="009263D7" w:rsidTr="008F1B1B">
        <w:tblPrEx>
          <w:tblLook w:val="04A0"/>
        </w:tblPrEx>
        <w:trPr>
          <w:gridAfter w:val="1"/>
          <w:wAfter w:w="71" w:type="dxa"/>
          <w:trHeight w:val="285"/>
        </w:trPr>
        <w:tc>
          <w:tcPr>
            <w:tcW w:w="9393" w:type="dxa"/>
            <w:gridSpan w:val="27"/>
            <w:tcBorders>
              <w:top w:val="nil"/>
              <w:left w:val="nil"/>
              <w:bottom w:val="nil"/>
            </w:tcBorders>
            <w:shd w:val="clear" w:color="auto" w:fill="auto"/>
            <w:noWrap/>
            <w:vAlign w:val="center"/>
          </w:tcPr>
          <w:p w:rsidR="00257D71" w:rsidRPr="009263D7" w:rsidRDefault="00CB4B9E" w:rsidP="00257D71">
            <w:pPr>
              <w:widowControl/>
              <w:jc w:val="center"/>
              <w:rPr>
                <w:rFonts w:ascii="宋体" w:hAnsi="宋体" w:cs="宋体"/>
                <w:color w:val="000000" w:themeColor="text1"/>
                <w:kern w:val="0"/>
                <w:sz w:val="22"/>
                <w:szCs w:val="22"/>
              </w:rPr>
            </w:pPr>
            <w:r w:rsidRPr="00CB4B9E">
              <w:rPr>
                <w:rFonts w:ascii="宋体" w:hAnsi="宋体" w:cs="宋体"/>
                <w:color w:val="000000" w:themeColor="text1"/>
                <w:kern w:val="0"/>
                <w:sz w:val="18"/>
                <w:szCs w:val="18"/>
              </w:rPr>
              <w:t>境外被投资机构合并资产负债及利润情况（月度）</w:t>
            </w:r>
          </w:p>
        </w:tc>
        <w:tc>
          <w:tcPr>
            <w:tcW w:w="236" w:type="dxa"/>
            <w:gridSpan w:val="2"/>
            <w:vMerge/>
            <w:tcBorders>
              <w:left w:val="nil"/>
              <w:bottom w:val="nil"/>
              <w:right w:val="nil"/>
            </w:tcBorders>
            <w:shd w:val="clear" w:color="auto" w:fill="auto"/>
            <w:noWrap/>
            <w:vAlign w:val="center"/>
          </w:tcPr>
          <w:p w:rsidR="00257D71" w:rsidRPr="009263D7" w:rsidRDefault="00257D71" w:rsidP="00E02B88">
            <w:pPr>
              <w:keepNext/>
              <w:widowControl/>
              <w:spacing w:line="320" w:lineRule="exact"/>
              <w:jc w:val="left"/>
              <w:outlineLvl w:val="0"/>
              <w:rPr>
                <w:rFonts w:ascii="宋体" w:hAnsi="宋体" w:cs="宋体"/>
                <w:color w:val="000000" w:themeColor="text1"/>
                <w:kern w:val="0"/>
                <w:sz w:val="22"/>
                <w:szCs w:val="22"/>
              </w:rPr>
            </w:pPr>
          </w:p>
        </w:tc>
      </w:tr>
      <w:tr w:rsidR="00410AC4" w:rsidRPr="009263D7" w:rsidTr="00802838">
        <w:tblPrEx>
          <w:tblLook w:val="04A0"/>
        </w:tblPrEx>
        <w:trPr>
          <w:gridAfter w:val="3"/>
          <w:wAfter w:w="307" w:type="dxa"/>
          <w:trHeight w:val="1408"/>
        </w:trPr>
        <w:tc>
          <w:tcPr>
            <w:tcW w:w="1104" w:type="dxa"/>
            <w:gridSpan w:val="3"/>
            <w:tcBorders>
              <w:top w:val="single" w:sz="2" w:space="0" w:color="auto"/>
              <w:left w:val="nil"/>
              <w:bottom w:val="nil"/>
              <w:right w:val="single" w:sz="2" w:space="0" w:color="auto"/>
            </w:tcBorders>
            <w:shd w:val="clear" w:color="auto" w:fill="auto"/>
            <w:vAlign w:val="center"/>
          </w:tcPr>
          <w:p w:rsidR="0090056B" w:rsidRDefault="0090056B">
            <w:pPr>
              <w:widowControl/>
              <w:jc w:val="center"/>
              <w:rPr>
                <w:rFonts w:ascii="宋体" w:hAnsi="宋体" w:cs="宋体"/>
                <w:color w:val="000000" w:themeColor="text1"/>
                <w:kern w:val="0"/>
                <w:sz w:val="18"/>
                <w:szCs w:val="18"/>
              </w:rPr>
            </w:pPr>
          </w:p>
          <w:p w:rsidR="0090056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期末会计记账币种（原币）</w:t>
            </w:r>
          </w:p>
        </w:tc>
        <w:tc>
          <w:tcPr>
            <w:tcW w:w="734" w:type="dxa"/>
            <w:gridSpan w:val="2"/>
            <w:tcBorders>
              <w:top w:val="single" w:sz="2" w:space="0" w:color="auto"/>
              <w:left w:val="single" w:sz="2" w:space="0" w:color="auto"/>
              <w:bottom w:val="nil"/>
              <w:right w:val="single" w:sz="2" w:space="0" w:color="auto"/>
            </w:tcBorders>
            <w:shd w:val="clear" w:color="auto" w:fill="auto"/>
            <w:vAlign w:val="center"/>
          </w:tcPr>
          <w:p w:rsidR="0090056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期末资产</w:t>
            </w:r>
          </w:p>
        </w:tc>
        <w:tc>
          <w:tcPr>
            <w:tcW w:w="1869" w:type="dxa"/>
            <w:gridSpan w:val="5"/>
            <w:tcBorders>
              <w:top w:val="single" w:sz="2" w:space="0" w:color="auto"/>
              <w:left w:val="single" w:sz="2" w:space="0" w:color="auto"/>
              <w:right w:val="single" w:sz="2" w:space="0" w:color="auto"/>
            </w:tcBorders>
            <w:shd w:val="clear" w:color="auto" w:fill="auto"/>
            <w:vAlign w:val="center"/>
          </w:tcPr>
          <w:p w:rsidR="0090056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期末负债</w:t>
            </w:r>
          </w:p>
        </w:tc>
        <w:tc>
          <w:tcPr>
            <w:tcW w:w="4906" w:type="dxa"/>
            <w:gridSpan w:val="15"/>
            <w:tcBorders>
              <w:top w:val="single" w:sz="2" w:space="0" w:color="auto"/>
              <w:left w:val="single" w:sz="2" w:space="0" w:color="auto"/>
              <w:bottom w:val="nil"/>
              <w:right w:val="single" w:sz="2" w:space="0" w:color="auto"/>
            </w:tcBorders>
            <w:shd w:val="clear" w:color="auto" w:fill="auto"/>
            <w:vAlign w:val="center"/>
          </w:tcPr>
          <w:p w:rsidR="0090056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期末归属于被投资机构全体股东的权益（总额）</w:t>
            </w:r>
          </w:p>
        </w:tc>
        <w:tc>
          <w:tcPr>
            <w:tcW w:w="780" w:type="dxa"/>
            <w:gridSpan w:val="2"/>
            <w:tcBorders>
              <w:top w:val="single" w:sz="2" w:space="0" w:color="auto"/>
              <w:left w:val="single" w:sz="2" w:space="0" w:color="auto"/>
              <w:right w:val="nil"/>
            </w:tcBorders>
            <w:shd w:val="clear" w:color="auto" w:fill="auto"/>
            <w:vAlign w:val="center"/>
          </w:tcPr>
          <w:p w:rsidR="00802838" w:rsidRDefault="00802838" w:rsidP="00802838">
            <w:pPr>
              <w:jc w:val="center"/>
              <w:rPr>
                <w:rFonts w:ascii="宋体" w:hAnsi="宋体" w:cs="宋体"/>
                <w:color w:val="000000" w:themeColor="text1"/>
                <w:kern w:val="0"/>
                <w:sz w:val="18"/>
                <w:szCs w:val="18"/>
              </w:rPr>
            </w:pPr>
          </w:p>
          <w:p w:rsidR="00802838" w:rsidRPr="009263D7" w:rsidRDefault="00802838" w:rsidP="00802838">
            <w:pPr>
              <w:jc w:val="center"/>
              <w:rPr>
                <w:rFonts w:ascii="宋体" w:hAnsi="宋体" w:cs="宋体"/>
                <w:color w:val="000000" w:themeColor="text1"/>
                <w:kern w:val="0"/>
                <w:sz w:val="18"/>
                <w:szCs w:val="18"/>
              </w:rPr>
            </w:pPr>
            <w:r w:rsidRPr="00595A67">
              <w:rPr>
                <w:rFonts w:ascii="宋体" w:hAnsi="宋体" w:cs="宋体"/>
                <w:color w:val="000000" w:themeColor="text1"/>
                <w:kern w:val="0"/>
                <w:sz w:val="18"/>
                <w:szCs w:val="18"/>
              </w:rPr>
              <w:t>期末少数股东权益</w:t>
            </w:r>
          </w:p>
          <w:p w:rsidR="00000000" w:rsidRDefault="00C97103">
            <w:pPr>
              <w:jc w:val="center"/>
              <w:rPr>
                <w:rFonts w:ascii="宋体" w:hAnsi="宋体" w:cs="宋体"/>
                <w:color w:val="000000" w:themeColor="text1"/>
                <w:kern w:val="0"/>
                <w:sz w:val="18"/>
                <w:szCs w:val="18"/>
              </w:rPr>
            </w:pPr>
          </w:p>
        </w:tc>
      </w:tr>
      <w:tr w:rsidR="004A641F" w:rsidRPr="009263D7" w:rsidTr="008F1B1B">
        <w:tblPrEx>
          <w:tblLook w:val="04A0"/>
        </w:tblPrEx>
        <w:trPr>
          <w:gridAfter w:val="3"/>
          <w:wAfter w:w="307" w:type="dxa"/>
          <w:trHeight w:val="450"/>
        </w:trPr>
        <w:tc>
          <w:tcPr>
            <w:tcW w:w="1104" w:type="dxa"/>
            <w:gridSpan w:val="3"/>
            <w:tcBorders>
              <w:top w:val="nil"/>
              <w:left w:val="nil"/>
              <w:bottom w:val="single" w:sz="4" w:space="0" w:color="auto"/>
              <w:right w:val="single" w:sz="2" w:space="0" w:color="auto"/>
            </w:tcBorders>
            <w:shd w:val="clear" w:color="auto" w:fill="auto"/>
            <w:noWrap/>
            <w:vAlign w:val="center"/>
          </w:tcPr>
          <w:p w:rsidR="00C07536" w:rsidRPr="009263D7" w:rsidRDefault="00C07536" w:rsidP="00E02B88">
            <w:pPr>
              <w:widowControl/>
              <w:jc w:val="center"/>
              <w:rPr>
                <w:rFonts w:ascii="宋体" w:hAnsi="宋体" w:cs="宋体"/>
                <w:color w:val="000000" w:themeColor="text1"/>
                <w:kern w:val="0"/>
                <w:sz w:val="18"/>
                <w:szCs w:val="18"/>
              </w:rPr>
            </w:pPr>
          </w:p>
          <w:p w:rsidR="00C07536" w:rsidRPr="009263D7" w:rsidRDefault="00C07536" w:rsidP="00E02B88">
            <w:pPr>
              <w:widowControl/>
              <w:jc w:val="center"/>
              <w:rPr>
                <w:rFonts w:ascii="宋体" w:hAnsi="宋体" w:cs="宋体"/>
                <w:color w:val="000000" w:themeColor="text1"/>
                <w:kern w:val="0"/>
                <w:sz w:val="18"/>
                <w:szCs w:val="18"/>
              </w:rPr>
            </w:pPr>
          </w:p>
          <w:p w:rsidR="000B476D"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A0112</w:t>
            </w:r>
          </w:p>
        </w:tc>
        <w:tc>
          <w:tcPr>
            <w:tcW w:w="734" w:type="dxa"/>
            <w:gridSpan w:val="2"/>
            <w:tcBorders>
              <w:top w:val="nil"/>
              <w:left w:val="single" w:sz="2" w:space="0" w:color="auto"/>
              <w:bottom w:val="single" w:sz="4" w:space="0" w:color="auto"/>
              <w:right w:val="single" w:sz="2" w:space="0" w:color="auto"/>
            </w:tcBorders>
            <w:shd w:val="clear" w:color="auto" w:fill="auto"/>
            <w:noWrap/>
            <w:vAlign w:val="center"/>
          </w:tcPr>
          <w:p w:rsidR="00C07536" w:rsidRPr="009263D7" w:rsidRDefault="00C07536" w:rsidP="00E02B88">
            <w:pPr>
              <w:keepNext/>
              <w:widowControl/>
              <w:spacing w:line="320" w:lineRule="exact"/>
              <w:jc w:val="center"/>
              <w:outlineLvl w:val="0"/>
              <w:rPr>
                <w:rFonts w:ascii="宋体" w:hAnsi="宋体" w:cs="宋体"/>
                <w:color w:val="000000" w:themeColor="text1"/>
                <w:kern w:val="0"/>
                <w:sz w:val="18"/>
                <w:szCs w:val="18"/>
              </w:rPr>
            </w:pPr>
          </w:p>
          <w:p w:rsidR="00C07536" w:rsidRPr="009263D7" w:rsidRDefault="00C07536" w:rsidP="00E02B88">
            <w:pPr>
              <w:keepNext/>
              <w:widowControl/>
              <w:spacing w:line="320" w:lineRule="exact"/>
              <w:jc w:val="center"/>
              <w:outlineLvl w:val="0"/>
              <w:rPr>
                <w:rFonts w:ascii="宋体" w:hAnsi="宋体" w:cs="宋体"/>
                <w:color w:val="000000" w:themeColor="text1"/>
                <w:kern w:val="0"/>
                <w:sz w:val="18"/>
                <w:szCs w:val="18"/>
              </w:rPr>
            </w:pPr>
          </w:p>
          <w:p w:rsidR="000B476D"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A0113</w:t>
            </w:r>
          </w:p>
        </w:tc>
        <w:tc>
          <w:tcPr>
            <w:tcW w:w="733" w:type="dxa"/>
            <w:gridSpan w:val="2"/>
            <w:tcBorders>
              <w:left w:val="single" w:sz="2" w:space="0" w:color="auto"/>
              <w:bottom w:val="single" w:sz="4" w:space="0" w:color="auto"/>
              <w:right w:val="single" w:sz="2" w:space="0" w:color="auto"/>
            </w:tcBorders>
            <w:shd w:val="clear" w:color="auto" w:fill="auto"/>
            <w:noWrap/>
            <w:vAlign w:val="center"/>
          </w:tcPr>
          <w:p w:rsidR="00C07536" w:rsidRPr="009263D7" w:rsidRDefault="00C07536" w:rsidP="00E02B88">
            <w:pPr>
              <w:keepNext/>
              <w:widowControl/>
              <w:spacing w:line="320" w:lineRule="exact"/>
              <w:jc w:val="center"/>
              <w:outlineLvl w:val="0"/>
              <w:rPr>
                <w:rFonts w:ascii="宋体" w:hAnsi="宋体" w:cs="宋体"/>
                <w:color w:val="000000" w:themeColor="text1"/>
                <w:kern w:val="0"/>
                <w:sz w:val="18"/>
                <w:szCs w:val="18"/>
              </w:rPr>
            </w:pPr>
          </w:p>
          <w:p w:rsidR="00C07536" w:rsidRPr="009263D7" w:rsidRDefault="00C07536" w:rsidP="00E02B88">
            <w:pPr>
              <w:keepNext/>
              <w:widowControl/>
              <w:spacing w:line="320" w:lineRule="exact"/>
              <w:jc w:val="center"/>
              <w:outlineLvl w:val="0"/>
              <w:rPr>
                <w:rFonts w:ascii="宋体" w:hAnsi="宋体" w:cs="宋体"/>
                <w:color w:val="000000" w:themeColor="text1"/>
                <w:kern w:val="0"/>
                <w:sz w:val="18"/>
                <w:szCs w:val="18"/>
              </w:rPr>
            </w:pPr>
          </w:p>
          <w:p w:rsidR="000B476D"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A0114</w:t>
            </w:r>
          </w:p>
        </w:tc>
        <w:tc>
          <w:tcPr>
            <w:tcW w:w="1136" w:type="dxa"/>
            <w:gridSpan w:val="3"/>
            <w:tcBorders>
              <w:top w:val="single" w:sz="4" w:space="0" w:color="auto"/>
              <w:left w:val="single" w:sz="2" w:space="0" w:color="auto"/>
              <w:bottom w:val="single" w:sz="4" w:space="0" w:color="auto"/>
              <w:right w:val="single" w:sz="2" w:space="0" w:color="auto"/>
            </w:tcBorders>
            <w:shd w:val="clear" w:color="auto" w:fill="auto"/>
            <w:vAlign w:val="center"/>
          </w:tcPr>
          <w:p w:rsidR="000B476D"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本机构拨付的营运资金</w:t>
            </w:r>
            <w:r w:rsidRPr="00CB4B9E">
              <w:rPr>
                <w:rFonts w:ascii="宋体" w:hAnsi="宋体" w:cs="宋体"/>
                <w:color w:val="000000" w:themeColor="text1"/>
                <w:kern w:val="0"/>
                <w:sz w:val="18"/>
                <w:szCs w:val="18"/>
              </w:rPr>
              <w:t>A0115</w:t>
            </w:r>
          </w:p>
        </w:tc>
        <w:tc>
          <w:tcPr>
            <w:tcW w:w="680" w:type="dxa"/>
            <w:gridSpan w:val="2"/>
            <w:tcBorders>
              <w:top w:val="nil"/>
              <w:left w:val="single" w:sz="2" w:space="0" w:color="auto"/>
              <w:bottom w:val="nil"/>
              <w:right w:val="single" w:sz="2" w:space="0" w:color="auto"/>
            </w:tcBorders>
            <w:shd w:val="clear" w:color="auto" w:fill="auto"/>
            <w:vAlign w:val="center"/>
          </w:tcPr>
          <w:p w:rsidR="00C07536" w:rsidRPr="009263D7" w:rsidRDefault="00C07536" w:rsidP="00410AC4">
            <w:pPr>
              <w:keepNext/>
              <w:widowControl/>
              <w:spacing w:line="320" w:lineRule="exact"/>
              <w:jc w:val="center"/>
              <w:outlineLvl w:val="0"/>
              <w:rPr>
                <w:rFonts w:ascii="宋体" w:hAnsi="宋体" w:cs="宋体"/>
                <w:color w:val="000000" w:themeColor="text1"/>
                <w:kern w:val="0"/>
                <w:sz w:val="18"/>
                <w:szCs w:val="18"/>
              </w:rPr>
            </w:pPr>
          </w:p>
          <w:p w:rsidR="00C07536" w:rsidRPr="009263D7" w:rsidRDefault="00C07536" w:rsidP="00410AC4">
            <w:pPr>
              <w:keepNext/>
              <w:widowControl/>
              <w:spacing w:line="320" w:lineRule="exact"/>
              <w:jc w:val="center"/>
              <w:outlineLvl w:val="0"/>
              <w:rPr>
                <w:rFonts w:ascii="宋体" w:hAnsi="宋体" w:cs="宋体"/>
                <w:color w:val="000000" w:themeColor="text1"/>
                <w:kern w:val="0"/>
                <w:sz w:val="18"/>
                <w:szCs w:val="18"/>
              </w:rPr>
            </w:pPr>
          </w:p>
          <w:p w:rsidR="000B476D" w:rsidRPr="009263D7" w:rsidRDefault="00CB4B9E" w:rsidP="00410AC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A0116</w:t>
            </w:r>
          </w:p>
        </w:tc>
        <w:tc>
          <w:tcPr>
            <w:tcW w:w="873" w:type="dxa"/>
            <w:gridSpan w:val="3"/>
            <w:tcBorders>
              <w:top w:val="single" w:sz="4" w:space="0" w:color="auto"/>
              <w:left w:val="single" w:sz="2" w:space="0" w:color="auto"/>
              <w:bottom w:val="single" w:sz="4" w:space="0" w:color="auto"/>
              <w:right w:val="single" w:sz="2" w:space="0" w:color="auto"/>
            </w:tcBorders>
            <w:shd w:val="clear" w:color="auto" w:fill="auto"/>
            <w:vAlign w:val="center"/>
          </w:tcPr>
          <w:p w:rsidR="00802838" w:rsidRDefault="00CB4B9E" w:rsidP="00410AC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实收</w:t>
            </w:r>
          </w:p>
          <w:p w:rsidR="000B476D" w:rsidRPr="009263D7" w:rsidRDefault="00CB4B9E" w:rsidP="00410AC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资本</w:t>
            </w:r>
            <w:r w:rsidRPr="00CB4B9E">
              <w:rPr>
                <w:rFonts w:ascii="宋体" w:hAnsi="宋体" w:cs="宋体"/>
                <w:color w:val="000000" w:themeColor="text1"/>
                <w:kern w:val="0"/>
                <w:sz w:val="18"/>
                <w:szCs w:val="18"/>
              </w:rPr>
              <w:t xml:space="preserve"> A0117</w:t>
            </w:r>
          </w:p>
        </w:tc>
        <w:tc>
          <w:tcPr>
            <w:tcW w:w="862" w:type="dxa"/>
            <w:gridSpan w:val="3"/>
            <w:tcBorders>
              <w:top w:val="single" w:sz="4" w:space="0" w:color="auto"/>
              <w:left w:val="single" w:sz="2" w:space="0" w:color="auto"/>
              <w:bottom w:val="single" w:sz="4" w:space="0" w:color="auto"/>
              <w:right w:val="single" w:sz="2" w:space="0" w:color="auto"/>
            </w:tcBorders>
            <w:shd w:val="clear" w:color="auto" w:fill="auto"/>
            <w:vAlign w:val="center"/>
          </w:tcPr>
          <w:p w:rsidR="00802838" w:rsidRDefault="00CB4B9E" w:rsidP="00410AC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资本</w:t>
            </w:r>
          </w:p>
          <w:p w:rsidR="000B476D" w:rsidRPr="009263D7" w:rsidRDefault="00CB4B9E" w:rsidP="00410AC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公积</w:t>
            </w:r>
            <w:r w:rsidRPr="00CB4B9E">
              <w:rPr>
                <w:rFonts w:ascii="宋体" w:hAnsi="宋体" w:cs="宋体"/>
                <w:color w:val="000000" w:themeColor="text1"/>
                <w:kern w:val="0"/>
                <w:sz w:val="18"/>
                <w:szCs w:val="18"/>
              </w:rPr>
              <w:t xml:space="preserve">A0118 </w:t>
            </w:r>
          </w:p>
        </w:tc>
        <w:tc>
          <w:tcPr>
            <w:tcW w:w="887" w:type="dxa"/>
            <w:gridSpan w:val="2"/>
            <w:tcBorders>
              <w:top w:val="single" w:sz="4" w:space="0" w:color="auto"/>
              <w:left w:val="single" w:sz="2" w:space="0" w:color="auto"/>
              <w:bottom w:val="single" w:sz="4" w:space="0" w:color="auto"/>
              <w:right w:val="single" w:sz="2" w:space="0" w:color="auto"/>
            </w:tcBorders>
            <w:shd w:val="clear" w:color="auto" w:fill="auto"/>
            <w:vAlign w:val="center"/>
          </w:tcPr>
          <w:p w:rsidR="00802838" w:rsidRDefault="00CB4B9E" w:rsidP="00410AC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盈余</w:t>
            </w:r>
          </w:p>
          <w:p w:rsidR="00C07536" w:rsidRPr="009263D7" w:rsidRDefault="00CB4B9E" w:rsidP="00410AC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公积</w:t>
            </w:r>
          </w:p>
          <w:p w:rsidR="000B476D" w:rsidRPr="009263D7" w:rsidRDefault="00CB4B9E" w:rsidP="00410AC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A0119</w:t>
            </w:r>
          </w:p>
        </w:tc>
        <w:tc>
          <w:tcPr>
            <w:tcW w:w="797" w:type="dxa"/>
            <w:gridSpan w:val="2"/>
            <w:tcBorders>
              <w:top w:val="single" w:sz="4" w:space="0" w:color="auto"/>
              <w:left w:val="single" w:sz="2" w:space="0" w:color="auto"/>
              <w:bottom w:val="single" w:sz="4" w:space="0" w:color="auto"/>
              <w:right w:val="single" w:sz="2" w:space="0" w:color="auto"/>
            </w:tcBorders>
            <w:shd w:val="clear" w:color="auto" w:fill="auto"/>
            <w:vAlign w:val="center"/>
          </w:tcPr>
          <w:p w:rsidR="000B476D"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未分配利润</w:t>
            </w:r>
          </w:p>
          <w:p w:rsidR="000B476D"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A0120</w:t>
            </w:r>
          </w:p>
        </w:tc>
        <w:tc>
          <w:tcPr>
            <w:tcW w:w="807" w:type="dxa"/>
            <w:gridSpan w:val="3"/>
            <w:tcBorders>
              <w:top w:val="single" w:sz="4" w:space="0" w:color="auto"/>
              <w:left w:val="single" w:sz="2" w:space="0" w:color="auto"/>
              <w:bottom w:val="single" w:sz="4" w:space="0" w:color="auto"/>
              <w:right w:val="single" w:sz="2" w:space="0" w:color="auto"/>
            </w:tcBorders>
            <w:shd w:val="clear" w:color="auto" w:fill="auto"/>
            <w:vAlign w:val="center"/>
          </w:tcPr>
          <w:p w:rsidR="000B476D" w:rsidRPr="009263D7" w:rsidRDefault="00CB4B9E" w:rsidP="00BB6C0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其他</w:t>
            </w:r>
          </w:p>
          <w:p w:rsidR="00C07536" w:rsidRPr="009263D7" w:rsidRDefault="00C07536" w:rsidP="00BB6C07">
            <w:pPr>
              <w:keepNext/>
              <w:widowControl/>
              <w:spacing w:line="320" w:lineRule="exact"/>
              <w:jc w:val="center"/>
              <w:outlineLvl w:val="0"/>
              <w:rPr>
                <w:rFonts w:ascii="宋体" w:hAnsi="宋体" w:cs="宋体"/>
                <w:color w:val="000000" w:themeColor="text1"/>
                <w:kern w:val="0"/>
                <w:sz w:val="18"/>
                <w:szCs w:val="18"/>
              </w:rPr>
            </w:pPr>
          </w:p>
          <w:p w:rsidR="000B476D" w:rsidRPr="009263D7" w:rsidRDefault="00CB4B9E" w:rsidP="00BB6C0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A0121</w:t>
            </w:r>
          </w:p>
        </w:tc>
        <w:tc>
          <w:tcPr>
            <w:tcW w:w="780" w:type="dxa"/>
            <w:gridSpan w:val="2"/>
            <w:tcBorders>
              <w:left w:val="single" w:sz="2" w:space="0" w:color="auto"/>
              <w:bottom w:val="single" w:sz="4" w:space="0" w:color="auto"/>
              <w:right w:val="nil"/>
            </w:tcBorders>
            <w:shd w:val="clear" w:color="auto" w:fill="auto"/>
            <w:vAlign w:val="center"/>
          </w:tcPr>
          <w:p w:rsidR="00C07536" w:rsidRPr="009263D7" w:rsidRDefault="00C07536" w:rsidP="00956FED">
            <w:pPr>
              <w:keepNext/>
              <w:widowControl/>
              <w:spacing w:line="320" w:lineRule="exact"/>
              <w:jc w:val="center"/>
              <w:outlineLvl w:val="0"/>
              <w:rPr>
                <w:rFonts w:ascii="宋体" w:hAnsi="宋体" w:cs="宋体"/>
                <w:color w:val="000000" w:themeColor="text1"/>
                <w:kern w:val="0"/>
                <w:sz w:val="18"/>
                <w:szCs w:val="18"/>
              </w:rPr>
            </w:pPr>
          </w:p>
          <w:p w:rsidR="00C07536" w:rsidRPr="009263D7" w:rsidRDefault="00C07536" w:rsidP="00956FED">
            <w:pPr>
              <w:keepNext/>
              <w:widowControl/>
              <w:spacing w:line="320" w:lineRule="exact"/>
              <w:jc w:val="center"/>
              <w:outlineLvl w:val="0"/>
              <w:rPr>
                <w:rFonts w:ascii="宋体" w:hAnsi="宋体" w:cs="宋体"/>
                <w:color w:val="000000" w:themeColor="text1"/>
                <w:kern w:val="0"/>
                <w:sz w:val="18"/>
                <w:szCs w:val="18"/>
              </w:rPr>
            </w:pPr>
          </w:p>
          <w:p w:rsidR="000B476D" w:rsidRPr="009263D7" w:rsidRDefault="00CB4B9E" w:rsidP="00956F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A0122</w:t>
            </w:r>
          </w:p>
        </w:tc>
      </w:tr>
      <w:tr w:rsidR="004A641F" w:rsidRPr="009263D7" w:rsidTr="008F1B1B">
        <w:tblPrEx>
          <w:tblLook w:val="04A0"/>
        </w:tblPrEx>
        <w:trPr>
          <w:gridAfter w:val="3"/>
          <w:wAfter w:w="307" w:type="dxa"/>
          <w:trHeight w:val="270"/>
        </w:trPr>
        <w:tc>
          <w:tcPr>
            <w:tcW w:w="1104" w:type="dxa"/>
            <w:gridSpan w:val="3"/>
            <w:tcBorders>
              <w:top w:val="nil"/>
              <w:left w:val="nil"/>
              <w:bottom w:val="single" w:sz="2" w:space="0" w:color="auto"/>
              <w:right w:val="single" w:sz="2" w:space="0" w:color="auto"/>
            </w:tcBorders>
            <w:shd w:val="clear" w:color="auto" w:fill="auto"/>
            <w:noWrap/>
            <w:vAlign w:val="center"/>
          </w:tcPr>
          <w:p w:rsidR="008D63E3"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癸</w:t>
            </w:r>
          </w:p>
        </w:tc>
        <w:tc>
          <w:tcPr>
            <w:tcW w:w="734" w:type="dxa"/>
            <w:gridSpan w:val="2"/>
            <w:tcBorders>
              <w:top w:val="nil"/>
              <w:left w:val="single" w:sz="2" w:space="0" w:color="auto"/>
              <w:bottom w:val="single" w:sz="2" w:space="0" w:color="auto"/>
              <w:right w:val="single" w:sz="2" w:space="0" w:color="auto"/>
            </w:tcBorders>
            <w:shd w:val="clear" w:color="auto" w:fill="auto"/>
            <w:noWrap/>
            <w:vAlign w:val="center"/>
          </w:tcPr>
          <w:p w:rsidR="008D63E3"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733" w:type="dxa"/>
            <w:gridSpan w:val="2"/>
            <w:tcBorders>
              <w:top w:val="nil"/>
              <w:left w:val="single" w:sz="2" w:space="0" w:color="auto"/>
              <w:bottom w:val="single" w:sz="2" w:space="0" w:color="auto"/>
              <w:right w:val="single" w:sz="2" w:space="0" w:color="auto"/>
            </w:tcBorders>
            <w:shd w:val="clear" w:color="auto" w:fill="auto"/>
            <w:noWrap/>
            <w:vAlign w:val="center"/>
          </w:tcPr>
          <w:p w:rsidR="008D63E3"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1136" w:type="dxa"/>
            <w:gridSpan w:val="3"/>
            <w:tcBorders>
              <w:top w:val="nil"/>
              <w:left w:val="single" w:sz="2" w:space="0" w:color="auto"/>
              <w:bottom w:val="single" w:sz="2" w:space="0" w:color="auto"/>
              <w:right w:val="single" w:sz="2" w:space="0" w:color="auto"/>
            </w:tcBorders>
            <w:shd w:val="clear" w:color="auto" w:fill="auto"/>
            <w:vAlign w:val="center"/>
          </w:tcPr>
          <w:p w:rsidR="008D63E3"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680" w:type="dxa"/>
            <w:gridSpan w:val="2"/>
            <w:tcBorders>
              <w:top w:val="single" w:sz="4" w:space="0" w:color="auto"/>
              <w:left w:val="single" w:sz="2" w:space="0" w:color="auto"/>
              <w:bottom w:val="single" w:sz="2" w:space="0" w:color="auto"/>
              <w:right w:val="single" w:sz="2" w:space="0" w:color="auto"/>
            </w:tcBorders>
            <w:shd w:val="clear" w:color="auto" w:fill="auto"/>
            <w:noWrap/>
            <w:vAlign w:val="center"/>
          </w:tcPr>
          <w:p w:rsidR="008D63E3"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873" w:type="dxa"/>
            <w:gridSpan w:val="3"/>
            <w:tcBorders>
              <w:top w:val="nil"/>
              <w:left w:val="single" w:sz="2" w:space="0" w:color="auto"/>
              <w:bottom w:val="single" w:sz="2" w:space="0" w:color="auto"/>
              <w:right w:val="single" w:sz="2" w:space="0" w:color="auto"/>
            </w:tcBorders>
            <w:shd w:val="clear" w:color="auto" w:fill="auto"/>
            <w:noWrap/>
            <w:vAlign w:val="center"/>
          </w:tcPr>
          <w:p w:rsidR="008D63E3"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862" w:type="dxa"/>
            <w:gridSpan w:val="3"/>
            <w:tcBorders>
              <w:top w:val="nil"/>
              <w:left w:val="single" w:sz="2" w:space="0" w:color="auto"/>
              <w:bottom w:val="single" w:sz="2" w:space="0" w:color="auto"/>
              <w:right w:val="single" w:sz="2" w:space="0" w:color="auto"/>
            </w:tcBorders>
            <w:shd w:val="clear" w:color="auto" w:fill="auto"/>
            <w:noWrap/>
            <w:vAlign w:val="center"/>
          </w:tcPr>
          <w:p w:rsidR="008D63E3"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887" w:type="dxa"/>
            <w:gridSpan w:val="2"/>
            <w:tcBorders>
              <w:top w:val="nil"/>
              <w:left w:val="single" w:sz="2" w:space="0" w:color="auto"/>
              <w:bottom w:val="single" w:sz="2" w:space="0" w:color="auto"/>
              <w:right w:val="single" w:sz="2" w:space="0" w:color="auto"/>
            </w:tcBorders>
            <w:shd w:val="clear" w:color="auto" w:fill="auto"/>
            <w:noWrap/>
            <w:vAlign w:val="center"/>
          </w:tcPr>
          <w:p w:rsidR="008D63E3" w:rsidRPr="009263D7" w:rsidRDefault="00CB4B9E" w:rsidP="00E02B8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c>
          <w:tcPr>
            <w:tcW w:w="797" w:type="dxa"/>
            <w:gridSpan w:val="2"/>
            <w:tcBorders>
              <w:top w:val="nil"/>
              <w:left w:val="single" w:sz="2" w:space="0" w:color="auto"/>
              <w:bottom w:val="single" w:sz="2" w:space="0" w:color="auto"/>
              <w:right w:val="single" w:sz="2" w:space="0" w:color="auto"/>
            </w:tcBorders>
            <w:shd w:val="clear" w:color="auto" w:fill="auto"/>
            <w:noWrap/>
            <w:vAlign w:val="center"/>
          </w:tcPr>
          <w:p w:rsidR="008D63E3" w:rsidRPr="009263D7" w:rsidRDefault="00CB4B9E" w:rsidP="009B5CA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w:t>
            </w:r>
          </w:p>
        </w:tc>
        <w:tc>
          <w:tcPr>
            <w:tcW w:w="807" w:type="dxa"/>
            <w:gridSpan w:val="3"/>
            <w:tcBorders>
              <w:top w:val="nil"/>
              <w:left w:val="single" w:sz="2" w:space="0" w:color="auto"/>
              <w:bottom w:val="single" w:sz="2" w:space="0" w:color="auto"/>
              <w:right w:val="single" w:sz="2" w:space="0" w:color="auto"/>
            </w:tcBorders>
            <w:shd w:val="clear" w:color="auto" w:fill="auto"/>
            <w:vAlign w:val="center"/>
          </w:tcPr>
          <w:p w:rsidR="008D63E3" w:rsidRPr="009263D7" w:rsidRDefault="00CB4B9E" w:rsidP="00E02B88">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w:t>
            </w:r>
          </w:p>
        </w:tc>
        <w:tc>
          <w:tcPr>
            <w:tcW w:w="780" w:type="dxa"/>
            <w:gridSpan w:val="2"/>
            <w:tcBorders>
              <w:top w:val="nil"/>
              <w:left w:val="single" w:sz="2" w:space="0" w:color="auto"/>
              <w:bottom w:val="single" w:sz="2" w:space="0" w:color="auto"/>
              <w:right w:val="nil"/>
            </w:tcBorders>
            <w:shd w:val="clear" w:color="auto" w:fill="auto"/>
            <w:noWrap/>
            <w:vAlign w:val="center"/>
          </w:tcPr>
          <w:p w:rsidR="008D63E3" w:rsidRPr="009263D7" w:rsidRDefault="00CB4B9E" w:rsidP="008D63E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w:t>
            </w:r>
          </w:p>
        </w:tc>
      </w:tr>
    </w:tbl>
    <w:p w:rsidR="00257D71" w:rsidRPr="009263D7" w:rsidRDefault="00CB4B9E" w:rsidP="00E02B88">
      <w:pPr>
        <w:widowControl/>
        <w:jc w:val="left"/>
        <w:rPr>
          <w:rFonts w:ascii="宋体" w:hAnsi="宋体" w:cs="宋体"/>
          <w:color w:val="000000" w:themeColor="text1"/>
          <w:kern w:val="0"/>
          <w:sz w:val="22"/>
          <w:szCs w:val="22"/>
        </w:rPr>
        <w:sectPr w:rsidR="00257D71" w:rsidRPr="009263D7" w:rsidSect="00B154A0">
          <w:pgSz w:w="11907" w:h="16840" w:code="9"/>
          <w:pgMar w:top="1418" w:right="1247" w:bottom="1247" w:left="1247" w:header="851" w:footer="992" w:gutter="0"/>
          <w:cols w:space="425"/>
          <w:titlePg/>
          <w:docGrid w:type="lines" w:linePitch="312"/>
        </w:sectPr>
      </w:pPr>
      <w:r w:rsidRPr="00CB4B9E">
        <w:rPr>
          <w:rFonts w:ascii="宋体" w:hAnsi="宋体" w:cs="宋体"/>
          <w:color w:val="000000" w:themeColor="text1"/>
          <w:kern w:val="0"/>
          <w:sz w:val="22"/>
          <w:szCs w:val="22"/>
        </w:rPr>
        <w:t xml:space="preserve">  </w:t>
      </w:r>
    </w:p>
    <w:p w:rsidR="006B1CB4" w:rsidRPr="009263D7" w:rsidRDefault="006B1CB4" w:rsidP="00E02B88">
      <w:pPr>
        <w:widowControl/>
        <w:jc w:val="left"/>
        <w:rPr>
          <w:rFonts w:ascii="宋体" w:hAnsi="宋体" w:cs="宋体"/>
          <w:color w:val="000000" w:themeColor="text1"/>
          <w:kern w:val="0"/>
          <w:sz w:val="22"/>
          <w:szCs w:val="22"/>
        </w:rPr>
      </w:pPr>
    </w:p>
    <w:p w:rsidR="00257D71" w:rsidRPr="009263D7" w:rsidRDefault="00257D71" w:rsidP="00E02B88">
      <w:pPr>
        <w:widowControl/>
        <w:jc w:val="left"/>
        <w:rPr>
          <w:rFonts w:ascii="宋体" w:hAnsi="宋体" w:cs="宋体"/>
          <w:color w:val="000000" w:themeColor="text1"/>
          <w:kern w:val="0"/>
          <w:sz w:val="22"/>
          <w:szCs w:val="22"/>
        </w:rPr>
      </w:pPr>
    </w:p>
    <w:tbl>
      <w:tblPr>
        <w:tblW w:w="4824" w:type="pct"/>
        <w:tblLayout w:type="fixed"/>
        <w:tblLook w:val="04A0"/>
      </w:tblPr>
      <w:tblGrid>
        <w:gridCol w:w="674"/>
        <w:gridCol w:w="76"/>
        <w:gridCol w:w="240"/>
        <w:gridCol w:w="669"/>
        <w:gridCol w:w="1135"/>
        <w:gridCol w:w="680"/>
        <w:gridCol w:w="738"/>
        <w:gridCol w:w="273"/>
        <w:gridCol w:w="438"/>
        <w:gridCol w:w="710"/>
        <w:gridCol w:w="429"/>
        <w:gridCol w:w="1416"/>
        <w:gridCol w:w="184"/>
        <w:gridCol w:w="751"/>
        <w:gridCol w:w="50"/>
        <w:gridCol w:w="587"/>
        <w:gridCol w:w="203"/>
        <w:gridCol w:w="37"/>
      </w:tblGrid>
      <w:tr w:rsidR="008F1B1B" w:rsidRPr="009263D7" w:rsidTr="005D7AB9">
        <w:trPr>
          <w:trHeight w:val="334"/>
        </w:trPr>
        <w:tc>
          <w:tcPr>
            <w:tcW w:w="404" w:type="pct"/>
            <w:gridSpan w:val="2"/>
            <w:tcBorders>
              <w:top w:val="nil"/>
              <w:left w:val="nil"/>
              <w:bottom w:val="single" w:sz="8" w:space="0" w:color="auto"/>
              <w:right w:val="nil"/>
            </w:tcBorders>
            <w:shd w:val="clear" w:color="auto" w:fill="auto"/>
            <w:noWrap/>
            <w:vAlign w:val="center"/>
          </w:tcPr>
          <w:p w:rsidR="006B1CB4" w:rsidRPr="009263D7" w:rsidRDefault="00CB4B9E" w:rsidP="00502674">
            <w:pPr>
              <w:tabs>
                <w:tab w:val="left" w:pos="142"/>
              </w:tabs>
              <w:ind w:rightChars="-102" w:right="-214"/>
              <w:jc w:val="left"/>
              <w:rPr>
                <w:rFonts w:ascii="宋体" w:hAnsi="宋体" w:cs="宋体"/>
                <w:color w:val="000000" w:themeColor="text1"/>
                <w:kern w:val="0"/>
                <w:sz w:val="22"/>
                <w:szCs w:val="22"/>
              </w:rPr>
            </w:pPr>
            <w:r w:rsidRPr="00CB4B9E">
              <w:rPr>
                <w:rFonts w:ascii="宋体" w:hAnsi="宋体" w:cs="宋体" w:hint="eastAsia"/>
                <w:color w:val="000000" w:themeColor="text1"/>
                <w:kern w:val="0"/>
                <w:sz w:val="22"/>
                <w:szCs w:val="22"/>
              </w:rPr>
              <w:t>续表二</w:t>
            </w:r>
          </w:p>
        </w:tc>
        <w:tc>
          <w:tcPr>
            <w:tcW w:w="129" w:type="pct"/>
            <w:tcBorders>
              <w:top w:val="nil"/>
              <w:left w:val="nil"/>
              <w:bottom w:val="single" w:sz="8" w:space="0" w:color="auto"/>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1337" w:type="pct"/>
            <w:gridSpan w:val="3"/>
            <w:tcBorders>
              <w:top w:val="nil"/>
              <w:left w:val="nil"/>
              <w:bottom w:val="single" w:sz="8" w:space="0" w:color="auto"/>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544" w:type="pct"/>
            <w:gridSpan w:val="2"/>
            <w:tcBorders>
              <w:top w:val="nil"/>
              <w:left w:val="nil"/>
              <w:bottom w:val="single" w:sz="8" w:space="0" w:color="auto"/>
              <w:right w:val="nil"/>
            </w:tcBorders>
            <w:shd w:val="clear" w:color="auto" w:fill="auto"/>
            <w:noWrap/>
            <w:vAlign w:val="center"/>
          </w:tcPr>
          <w:p w:rsidR="006B1CB4" w:rsidRPr="009263D7" w:rsidRDefault="006B1CB4" w:rsidP="00941CC8">
            <w:pPr>
              <w:tabs>
                <w:tab w:val="left" w:pos="142"/>
                <w:tab w:val="left" w:pos="567"/>
              </w:tabs>
              <w:jc w:val="left"/>
              <w:rPr>
                <w:rFonts w:ascii="宋体" w:hAnsi="宋体" w:cs="宋体"/>
                <w:color w:val="000000" w:themeColor="text1"/>
                <w:kern w:val="0"/>
                <w:sz w:val="22"/>
                <w:szCs w:val="22"/>
              </w:rPr>
            </w:pPr>
          </w:p>
        </w:tc>
        <w:tc>
          <w:tcPr>
            <w:tcW w:w="618" w:type="pct"/>
            <w:gridSpan w:val="2"/>
            <w:tcBorders>
              <w:top w:val="nil"/>
              <w:left w:val="nil"/>
              <w:bottom w:val="single" w:sz="8" w:space="0" w:color="auto"/>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231" w:type="pct"/>
            <w:tcBorders>
              <w:top w:val="nil"/>
              <w:left w:val="nil"/>
              <w:bottom w:val="single" w:sz="8" w:space="0" w:color="auto"/>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861" w:type="pct"/>
            <w:gridSpan w:val="2"/>
            <w:tcBorders>
              <w:top w:val="nil"/>
              <w:left w:val="nil"/>
              <w:bottom w:val="single" w:sz="8" w:space="0" w:color="auto"/>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404" w:type="pct"/>
            <w:tcBorders>
              <w:top w:val="nil"/>
              <w:left w:val="nil"/>
              <w:bottom w:val="single" w:sz="8" w:space="0" w:color="auto"/>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343" w:type="pct"/>
            <w:gridSpan w:val="2"/>
            <w:tcBorders>
              <w:top w:val="nil"/>
              <w:left w:val="nil"/>
              <w:bottom w:val="single" w:sz="8" w:space="0" w:color="auto"/>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129" w:type="pct"/>
            <w:gridSpan w:val="2"/>
            <w:tcBorders>
              <w:top w:val="nil"/>
              <w:left w:val="nil"/>
              <w:bottom w:val="single" w:sz="8" w:space="0" w:color="auto"/>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r>
      <w:tr w:rsidR="008F1B1B" w:rsidRPr="009263D7" w:rsidTr="005D7AB9">
        <w:trPr>
          <w:trHeight w:val="277"/>
        </w:trPr>
        <w:tc>
          <w:tcPr>
            <w:tcW w:w="404" w:type="pct"/>
            <w:gridSpan w:val="2"/>
            <w:tcBorders>
              <w:top w:val="single" w:sz="8" w:space="0" w:color="auto"/>
              <w:left w:val="nil"/>
              <w:bottom w:val="nil"/>
              <w:right w:val="nil"/>
            </w:tcBorders>
            <w:shd w:val="clear" w:color="auto" w:fill="auto"/>
            <w:noWrap/>
            <w:vAlign w:val="center"/>
          </w:tcPr>
          <w:p w:rsidR="006B1CB4" w:rsidRPr="009263D7" w:rsidRDefault="006B1CB4" w:rsidP="00941CC8">
            <w:pPr>
              <w:tabs>
                <w:tab w:val="left" w:pos="142"/>
                <w:tab w:val="left" w:pos="567"/>
              </w:tabs>
              <w:jc w:val="left"/>
              <w:rPr>
                <w:rFonts w:ascii="宋体" w:hAnsi="宋体" w:cs="宋体"/>
                <w:color w:val="000000" w:themeColor="text1"/>
                <w:kern w:val="0"/>
                <w:sz w:val="22"/>
                <w:szCs w:val="22"/>
              </w:rPr>
            </w:pPr>
          </w:p>
        </w:tc>
        <w:tc>
          <w:tcPr>
            <w:tcW w:w="129" w:type="pct"/>
            <w:tcBorders>
              <w:top w:val="single" w:sz="8" w:space="0" w:color="auto"/>
              <w:left w:val="nil"/>
              <w:bottom w:val="nil"/>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1337" w:type="pct"/>
            <w:gridSpan w:val="3"/>
            <w:tcBorders>
              <w:top w:val="single" w:sz="8" w:space="0" w:color="auto"/>
              <w:left w:val="nil"/>
              <w:bottom w:val="nil"/>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544" w:type="pct"/>
            <w:gridSpan w:val="2"/>
            <w:tcBorders>
              <w:top w:val="single" w:sz="8" w:space="0" w:color="auto"/>
              <w:left w:val="nil"/>
              <w:bottom w:val="nil"/>
              <w:right w:val="nil"/>
            </w:tcBorders>
            <w:shd w:val="clear" w:color="auto" w:fill="auto"/>
            <w:noWrap/>
            <w:vAlign w:val="center"/>
          </w:tcPr>
          <w:p w:rsidR="006B1CB4" w:rsidRPr="009263D7" w:rsidRDefault="006B1CB4" w:rsidP="00941CC8">
            <w:pPr>
              <w:tabs>
                <w:tab w:val="left" w:pos="142"/>
                <w:tab w:val="left" w:pos="567"/>
              </w:tabs>
              <w:jc w:val="left"/>
              <w:rPr>
                <w:rFonts w:ascii="宋体" w:hAnsi="宋体" w:cs="宋体"/>
                <w:color w:val="000000" w:themeColor="text1"/>
                <w:kern w:val="0"/>
                <w:sz w:val="22"/>
                <w:szCs w:val="22"/>
              </w:rPr>
            </w:pPr>
          </w:p>
        </w:tc>
        <w:tc>
          <w:tcPr>
            <w:tcW w:w="618" w:type="pct"/>
            <w:gridSpan w:val="2"/>
            <w:tcBorders>
              <w:top w:val="single" w:sz="8" w:space="0" w:color="auto"/>
              <w:left w:val="nil"/>
              <w:bottom w:val="nil"/>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231" w:type="pct"/>
            <w:tcBorders>
              <w:top w:val="single" w:sz="8" w:space="0" w:color="auto"/>
              <w:left w:val="nil"/>
              <w:bottom w:val="nil"/>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861" w:type="pct"/>
            <w:gridSpan w:val="2"/>
            <w:tcBorders>
              <w:top w:val="single" w:sz="8" w:space="0" w:color="auto"/>
              <w:left w:val="nil"/>
              <w:bottom w:val="nil"/>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404" w:type="pct"/>
            <w:tcBorders>
              <w:top w:val="single" w:sz="8" w:space="0" w:color="auto"/>
              <w:left w:val="nil"/>
              <w:bottom w:val="nil"/>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343" w:type="pct"/>
            <w:gridSpan w:val="2"/>
            <w:tcBorders>
              <w:top w:val="single" w:sz="8" w:space="0" w:color="auto"/>
              <w:left w:val="nil"/>
              <w:bottom w:val="nil"/>
              <w:right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c>
          <w:tcPr>
            <w:tcW w:w="129" w:type="pct"/>
            <w:gridSpan w:val="2"/>
            <w:tcBorders>
              <w:top w:val="single" w:sz="8" w:space="0" w:color="auto"/>
              <w:left w:val="nil"/>
              <w:bottom w:val="nil"/>
            </w:tcBorders>
            <w:shd w:val="clear" w:color="auto" w:fill="auto"/>
            <w:noWrap/>
            <w:vAlign w:val="center"/>
          </w:tcPr>
          <w:p w:rsidR="006B1CB4" w:rsidRPr="009263D7" w:rsidRDefault="006B1CB4" w:rsidP="00941CC8">
            <w:pPr>
              <w:widowControl/>
              <w:tabs>
                <w:tab w:val="left" w:pos="142"/>
                <w:tab w:val="left" w:pos="567"/>
              </w:tabs>
              <w:jc w:val="left"/>
              <w:rPr>
                <w:rFonts w:ascii="宋体" w:hAnsi="宋体" w:cs="宋体"/>
                <w:color w:val="000000" w:themeColor="text1"/>
                <w:kern w:val="0"/>
                <w:sz w:val="22"/>
                <w:szCs w:val="22"/>
              </w:rPr>
            </w:pPr>
          </w:p>
        </w:tc>
      </w:tr>
      <w:tr w:rsidR="008F1B1B" w:rsidRPr="009263D7" w:rsidTr="005D7AB9">
        <w:trPr>
          <w:gridAfter w:val="1"/>
          <w:wAfter w:w="20" w:type="pct"/>
          <w:trHeight w:val="270"/>
        </w:trPr>
        <w:tc>
          <w:tcPr>
            <w:tcW w:w="1504" w:type="pct"/>
            <w:gridSpan w:val="5"/>
            <w:tcBorders>
              <w:top w:val="single" w:sz="8" w:space="0" w:color="auto"/>
              <w:left w:val="nil"/>
              <w:bottom w:val="single" w:sz="2" w:space="0" w:color="auto"/>
              <w:right w:val="single" w:sz="2" w:space="0" w:color="auto"/>
            </w:tcBorders>
            <w:shd w:val="clear" w:color="auto" w:fill="auto"/>
            <w:vAlign w:val="center"/>
          </w:tcPr>
          <w:p w:rsidR="008D63E3" w:rsidRPr="009263D7" w:rsidRDefault="00CB4B9E" w:rsidP="00941CC8">
            <w:pPr>
              <w:widowControl/>
              <w:tabs>
                <w:tab w:val="left" w:pos="142"/>
                <w:tab w:val="left" w:pos="567"/>
              </w:tabs>
              <w:jc w:val="left"/>
              <w:rPr>
                <w:rFonts w:ascii="宋体" w:hAnsi="宋体" w:cs="宋体"/>
                <w:color w:val="000000" w:themeColor="text1"/>
                <w:kern w:val="0"/>
                <w:sz w:val="22"/>
                <w:szCs w:val="22"/>
              </w:rPr>
            </w:pPr>
            <w:r w:rsidRPr="00CB4B9E">
              <w:rPr>
                <w:rFonts w:ascii="宋体" w:hAnsi="宋体" w:cs="宋体" w:hint="eastAsia"/>
                <w:color w:val="000000" w:themeColor="text1"/>
                <w:kern w:val="0"/>
                <w:sz w:val="22"/>
                <w:szCs w:val="22"/>
              </w:rPr>
              <w:t xml:space="preserve">　</w:t>
            </w:r>
          </w:p>
        </w:tc>
        <w:tc>
          <w:tcPr>
            <w:tcW w:w="1759" w:type="pct"/>
            <w:gridSpan w:val="6"/>
            <w:tcBorders>
              <w:top w:val="single" w:sz="8" w:space="0" w:color="auto"/>
              <w:left w:val="single" w:sz="2" w:space="0" w:color="auto"/>
              <w:bottom w:val="single" w:sz="2" w:space="0" w:color="auto"/>
              <w:right w:val="single" w:sz="2"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本机构直接控股（持股</w:t>
            </w:r>
            <w:r w:rsidRPr="00CB4B9E">
              <w:rPr>
                <w:rFonts w:ascii="宋体" w:hAnsi="宋体" w:cs="宋体"/>
                <w:color w:val="000000" w:themeColor="text1"/>
                <w:kern w:val="0"/>
                <w:sz w:val="18"/>
                <w:szCs w:val="18"/>
              </w:rPr>
              <w:t>&gt;50%）的境外被投资机构情况（年度）</w:t>
            </w:r>
          </w:p>
        </w:tc>
        <w:tc>
          <w:tcPr>
            <w:tcW w:w="1717" w:type="pct"/>
            <w:gridSpan w:val="6"/>
            <w:tcBorders>
              <w:top w:val="single" w:sz="8" w:space="0" w:color="auto"/>
              <w:left w:val="single" w:sz="2" w:space="0" w:color="auto"/>
              <w:bottom w:val="single" w:sz="2" w:space="0" w:color="auto"/>
            </w:tcBorders>
            <w:shd w:val="clear" w:color="auto" w:fill="auto"/>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期末本机构持有境外被投资机构股权或基金份额的市值（仅限可流通股票或投资基金份额）（月度）</w:t>
            </w:r>
          </w:p>
        </w:tc>
      </w:tr>
      <w:tr w:rsidR="00802838" w:rsidRPr="009263D7" w:rsidTr="0090056B">
        <w:trPr>
          <w:gridAfter w:val="1"/>
          <w:wAfter w:w="20" w:type="pct"/>
          <w:trHeight w:val="1296"/>
        </w:trPr>
        <w:tc>
          <w:tcPr>
            <w:tcW w:w="363" w:type="pct"/>
            <w:tcBorders>
              <w:top w:val="single" w:sz="2" w:space="0" w:color="auto"/>
              <w:left w:val="nil"/>
              <w:bottom w:val="nil"/>
              <w:right w:val="single" w:sz="2" w:space="0" w:color="auto"/>
            </w:tcBorders>
            <w:shd w:val="clear" w:color="auto" w:fill="auto"/>
            <w:vAlign w:val="center"/>
          </w:tcPr>
          <w:p w:rsidR="0090056B" w:rsidRDefault="00CB4B9E">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本期利润总额</w:t>
            </w:r>
          </w:p>
        </w:tc>
        <w:tc>
          <w:tcPr>
            <w:tcW w:w="530" w:type="pct"/>
            <w:gridSpan w:val="3"/>
            <w:tcBorders>
              <w:top w:val="single" w:sz="2" w:space="0" w:color="auto"/>
              <w:left w:val="single" w:sz="2" w:space="0" w:color="auto"/>
              <w:bottom w:val="nil"/>
              <w:right w:val="single" w:sz="2" w:space="0" w:color="auto"/>
            </w:tcBorders>
            <w:shd w:val="clear" w:color="auto" w:fill="auto"/>
            <w:vAlign w:val="center"/>
          </w:tcPr>
          <w:p w:rsidR="0090056B" w:rsidRDefault="00CB4B9E">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本期被投资机构全体股东应享净利润</w:t>
            </w:r>
          </w:p>
        </w:tc>
        <w:tc>
          <w:tcPr>
            <w:tcW w:w="611" w:type="pct"/>
            <w:tcBorders>
              <w:top w:val="single" w:sz="2" w:space="0" w:color="auto"/>
              <w:left w:val="single" w:sz="2" w:space="0" w:color="auto"/>
              <w:bottom w:val="nil"/>
              <w:right w:val="single" w:sz="2" w:space="0" w:color="auto"/>
            </w:tcBorders>
            <w:shd w:val="clear" w:color="auto" w:fill="auto"/>
            <w:vAlign w:val="center"/>
          </w:tcPr>
          <w:p w:rsidR="0090056B" w:rsidRDefault="00CB4B9E">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本期宣告分配（本机构）利润</w:t>
            </w:r>
          </w:p>
        </w:tc>
        <w:tc>
          <w:tcPr>
            <w:tcW w:w="763" w:type="pct"/>
            <w:gridSpan w:val="2"/>
            <w:tcBorders>
              <w:top w:val="single" w:sz="2" w:space="0" w:color="auto"/>
              <w:left w:val="single" w:sz="2" w:space="0" w:color="auto"/>
              <w:bottom w:val="nil"/>
              <w:right w:val="single" w:sz="2" w:space="0" w:color="auto"/>
            </w:tcBorders>
            <w:shd w:val="clear" w:color="auto" w:fill="auto"/>
            <w:vAlign w:val="center"/>
          </w:tcPr>
          <w:p w:rsidR="0090056B" w:rsidRDefault="00CB4B9E">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对所在国缴纳的税金总额</w:t>
            </w:r>
          </w:p>
        </w:tc>
        <w:tc>
          <w:tcPr>
            <w:tcW w:w="996" w:type="pct"/>
            <w:gridSpan w:val="4"/>
            <w:tcBorders>
              <w:top w:val="single" w:sz="2" w:space="0" w:color="auto"/>
              <w:left w:val="single" w:sz="2" w:space="0" w:color="auto"/>
              <w:bottom w:val="nil"/>
              <w:right w:val="single" w:sz="2" w:space="0" w:color="auto"/>
            </w:tcBorders>
            <w:shd w:val="clear" w:color="auto" w:fill="auto"/>
            <w:noWrap/>
            <w:vAlign w:val="center"/>
          </w:tcPr>
          <w:p w:rsidR="0090056B" w:rsidRDefault="00CB4B9E">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年末从业人数（人）</w:t>
            </w:r>
          </w:p>
        </w:tc>
        <w:tc>
          <w:tcPr>
            <w:tcW w:w="762" w:type="pct"/>
            <w:vMerge w:val="restart"/>
            <w:tcBorders>
              <w:top w:val="single" w:sz="2" w:space="0" w:color="auto"/>
              <w:left w:val="single" w:sz="2" w:space="0" w:color="auto"/>
              <w:right w:val="single" w:sz="2" w:space="0" w:color="auto"/>
            </w:tcBorders>
            <w:shd w:val="clear" w:color="auto" w:fill="auto"/>
            <w:noWrap/>
            <w:vAlign w:val="center"/>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可流通股票（份额）的记账币种（原币）</w:t>
            </w:r>
          </w:p>
          <w:p w:rsidR="00000000" w:rsidRDefault="00C97103">
            <w:pPr>
              <w:tabs>
                <w:tab w:val="left" w:pos="142"/>
                <w:tab w:val="left" w:pos="567"/>
              </w:tabs>
              <w:jc w:val="center"/>
              <w:rPr>
                <w:rFonts w:ascii="宋体" w:hAnsi="宋体" w:cs="宋体"/>
                <w:color w:val="000000" w:themeColor="text1"/>
                <w:kern w:val="0"/>
                <w:sz w:val="18"/>
                <w:szCs w:val="18"/>
              </w:rPr>
            </w:pPr>
          </w:p>
        </w:tc>
        <w:tc>
          <w:tcPr>
            <w:tcW w:w="530" w:type="pct"/>
            <w:gridSpan w:val="3"/>
            <w:vMerge w:val="restart"/>
            <w:tcBorders>
              <w:top w:val="single" w:sz="2" w:space="0" w:color="auto"/>
              <w:left w:val="single" w:sz="2" w:space="0" w:color="auto"/>
              <w:right w:val="single" w:sz="2" w:space="0" w:color="auto"/>
            </w:tcBorders>
            <w:shd w:val="clear" w:color="auto" w:fill="auto"/>
            <w:vAlign w:val="center"/>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本机构持股（份额）数量</w:t>
            </w:r>
          </w:p>
          <w:p w:rsidR="00000000" w:rsidRDefault="00C97103">
            <w:pPr>
              <w:tabs>
                <w:tab w:val="left" w:pos="142"/>
                <w:tab w:val="left" w:pos="567"/>
              </w:tabs>
              <w:jc w:val="center"/>
              <w:rPr>
                <w:rFonts w:ascii="宋体" w:hAnsi="宋体" w:cs="宋体"/>
                <w:color w:val="000000" w:themeColor="text1"/>
                <w:kern w:val="0"/>
                <w:sz w:val="18"/>
                <w:szCs w:val="18"/>
              </w:rPr>
            </w:pPr>
          </w:p>
        </w:tc>
        <w:tc>
          <w:tcPr>
            <w:tcW w:w="425" w:type="pct"/>
            <w:gridSpan w:val="2"/>
            <w:vMerge w:val="restart"/>
            <w:tcBorders>
              <w:top w:val="single" w:sz="2" w:space="0" w:color="auto"/>
              <w:left w:val="single" w:sz="2" w:space="0" w:color="auto"/>
            </w:tcBorders>
            <w:shd w:val="clear" w:color="auto" w:fill="auto"/>
            <w:vAlign w:val="center"/>
          </w:tcPr>
          <w:p w:rsidR="00000000"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每股（每份）市价</w:t>
            </w:r>
          </w:p>
        </w:tc>
      </w:tr>
      <w:tr w:rsidR="00802838" w:rsidRPr="009263D7" w:rsidTr="00802838">
        <w:trPr>
          <w:gridAfter w:val="1"/>
          <w:wAfter w:w="20" w:type="pct"/>
          <w:trHeight w:val="960"/>
        </w:trPr>
        <w:tc>
          <w:tcPr>
            <w:tcW w:w="363" w:type="pct"/>
            <w:tcBorders>
              <w:top w:val="nil"/>
              <w:left w:val="nil"/>
              <w:bottom w:val="single" w:sz="4" w:space="0" w:color="FFFFFF" w:themeColor="background1"/>
              <w:right w:val="single" w:sz="2" w:space="0" w:color="auto"/>
            </w:tcBorders>
            <w:shd w:val="clear" w:color="auto" w:fill="auto"/>
            <w:noWrap/>
            <w:vAlign w:val="center"/>
          </w:tcPr>
          <w:p w:rsidR="00000000" w:rsidRDefault="00C97103">
            <w:pPr>
              <w:widowControl/>
              <w:tabs>
                <w:tab w:val="left" w:pos="142"/>
                <w:tab w:val="left" w:pos="567"/>
              </w:tabs>
              <w:jc w:val="center"/>
              <w:rPr>
                <w:rFonts w:ascii="宋体" w:hAnsi="宋体" w:cs="宋体"/>
                <w:color w:val="000000" w:themeColor="text1"/>
                <w:kern w:val="0"/>
                <w:sz w:val="18"/>
                <w:szCs w:val="18"/>
              </w:rPr>
            </w:pPr>
          </w:p>
          <w:p w:rsidR="00000000" w:rsidRDefault="00C97103">
            <w:pPr>
              <w:widowControl/>
              <w:tabs>
                <w:tab w:val="left" w:pos="142"/>
                <w:tab w:val="left" w:pos="567"/>
              </w:tabs>
              <w:jc w:val="center"/>
              <w:rPr>
                <w:rFonts w:ascii="宋体" w:hAnsi="宋体" w:cs="宋体"/>
                <w:color w:val="000000" w:themeColor="text1"/>
                <w:kern w:val="0"/>
                <w:sz w:val="18"/>
                <w:szCs w:val="18"/>
              </w:rPr>
            </w:pPr>
          </w:p>
          <w:p w:rsidR="00000000" w:rsidRDefault="00C97103">
            <w:pPr>
              <w:tabs>
                <w:tab w:val="left" w:pos="142"/>
                <w:tab w:val="left" w:pos="567"/>
              </w:tabs>
              <w:jc w:val="center"/>
              <w:rPr>
                <w:rFonts w:ascii="宋体" w:hAnsi="宋体" w:cs="宋体"/>
                <w:color w:val="000000" w:themeColor="text1"/>
                <w:kern w:val="0"/>
                <w:sz w:val="18"/>
                <w:szCs w:val="18"/>
              </w:rPr>
            </w:pPr>
          </w:p>
        </w:tc>
        <w:tc>
          <w:tcPr>
            <w:tcW w:w="530" w:type="pct"/>
            <w:gridSpan w:val="3"/>
            <w:tcBorders>
              <w:top w:val="nil"/>
              <w:left w:val="single" w:sz="2" w:space="0" w:color="auto"/>
              <w:bottom w:val="single" w:sz="4" w:space="0" w:color="FFFFFF" w:themeColor="background1"/>
              <w:right w:val="single" w:sz="2" w:space="0" w:color="auto"/>
            </w:tcBorders>
            <w:shd w:val="clear" w:color="auto" w:fill="auto"/>
            <w:noWrap/>
            <w:vAlign w:val="center"/>
          </w:tcPr>
          <w:p w:rsidR="0090056B" w:rsidRDefault="0090056B">
            <w:pPr>
              <w:keepNext/>
              <w:widowControl/>
              <w:tabs>
                <w:tab w:val="left" w:pos="142"/>
                <w:tab w:val="left" w:pos="567"/>
              </w:tabs>
              <w:spacing w:line="320" w:lineRule="exact"/>
              <w:jc w:val="center"/>
              <w:outlineLvl w:val="0"/>
              <w:rPr>
                <w:rFonts w:ascii="宋体" w:hAnsi="宋体" w:cs="宋体"/>
                <w:color w:val="000000" w:themeColor="text1"/>
                <w:kern w:val="0"/>
                <w:sz w:val="18"/>
                <w:szCs w:val="18"/>
              </w:rPr>
            </w:pPr>
          </w:p>
          <w:p w:rsidR="0090056B" w:rsidRDefault="0090056B">
            <w:pPr>
              <w:keepNext/>
              <w:widowControl/>
              <w:tabs>
                <w:tab w:val="left" w:pos="142"/>
                <w:tab w:val="left" w:pos="567"/>
              </w:tabs>
              <w:spacing w:line="320" w:lineRule="exact"/>
              <w:jc w:val="center"/>
              <w:outlineLvl w:val="0"/>
              <w:rPr>
                <w:rFonts w:ascii="宋体" w:hAnsi="宋体" w:cs="宋体"/>
                <w:color w:val="000000" w:themeColor="text1"/>
                <w:kern w:val="0"/>
                <w:sz w:val="18"/>
                <w:szCs w:val="18"/>
              </w:rPr>
            </w:pPr>
          </w:p>
          <w:p w:rsidR="00000000" w:rsidRDefault="00C97103">
            <w:pPr>
              <w:tabs>
                <w:tab w:val="left" w:pos="142"/>
                <w:tab w:val="left" w:pos="567"/>
              </w:tabs>
              <w:jc w:val="center"/>
              <w:rPr>
                <w:rFonts w:ascii="宋体" w:hAnsi="宋体" w:cs="宋体"/>
                <w:color w:val="000000" w:themeColor="text1"/>
                <w:kern w:val="0"/>
                <w:sz w:val="18"/>
                <w:szCs w:val="18"/>
              </w:rPr>
            </w:pPr>
          </w:p>
        </w:tc>
        <w:tc>
          <w:tcPr>
            <w:tcW w:w="611" w:type="pct"/>
            <w:tcBorders>
              <w:top w:val="nil"/>
              <w:left w:val="single" w:sz="2" w:space="0" w:color="auto"/>
              <w:bottom w:val="single" w:sz="4" w:space="0" w:color="FFFFFF" w:themeColor="background1"/>
              <w:right w:val="single" w:sz="2" w:space="0" w:color="auto"/>
            </w:tcBorders>
            <w:shd w:val="clear" w:color="auto" w:fill="auto"/>
            <w:noWrap/>
            <w:vAlign w:val="center"/>
          </w:tcPr>
          <w:p w:rsidR="0090056B" w:rsidRDefault="0090056B">
            <w:pPr>
              <w:keepNext/>
              <w:widowControl/>
              <w:tabs>
                <w:tab w:val="left" w:pos="142"/>
                <w:tab w:val="left" w:pos="567"/>
              </w:tabs>
              <w:spacing w:line="320" w:lineRule="exact"/>
              <w:jc w:val="center"/>
              <w:outlineLvl w:val="0"/>
              <w:rPr>
                <w:rFonts w:ascii="宋体" w:hAnsi="宋体" w:cs="宋体"/>
                <w:color w:val="000000" w:themeColor="text1"/>
                <w:kern w:val="0"/>
                <w:sz w:val="18"/>
                <w:szCs w:val="18"/>
              </w:rPr>
            </w:pPr>
          </w:p>
          <w:p w:rsidR="0090056B" w:rsidRDefault="0090056B">
            <w:pPr>
              <w:keepNext/>
              <w:widowControl/>
              <w:tabs>
                <w:tab w:val="left" w:pos="142"/>
                <w:tab w:val="left" w:pos="567"/>
              </w:tabs>
              <w:spacing w:line="320" w:lineRule="exact"/>
              <w:jc w:val="center"/>
              <w:outlineLvl w:val="0"/>
              <w:rPr>
                <w:rFonts w:ascii="宋体" w:hAnsi="宋体" w:cs="宋体"/>
                <w:color w:val="000000" w:themeColor="text1"/>
                <w:kern w:val="0"/>
                <w:sz w:val="18"/>
                <w:szCs w:val="18"/>
              </w:rPr>
            </w:pPr>
          </w:p>
          <w:p w:rsidR="00000000" w:rsidRDefault="00C97103">
            <w:pPr>
              <w:tabs>
                <w:tab w:val="left" w:pos="142"/>
                <w:tab w:val="left" w:pos="567"/>
              </w:tabs>
              <w:jc w:val="center"/>
              <w:rPr>
                <w:rFonts w:ascii="宋体" w:hAnsi="宋体" w:cs="宋体"/>
                <w:color w:val="000000" w:themeColor="text1"/>
                <w:kern w:val="0"/>
                <w:sz w:val="18"/>
                <w:szCs w:val="18"/>
              </w:rPr>
            </w:pPr>
          </w:p>
        </w:tc>
        <w:tc>
          <w:tcPr>
            <w:tcW w:w="763" w:type="pct"/>
            <w:gridSpan w:val="2"/>
            <w:tcBorders>
              <w:top w:val="nil"/>
              <w:left w:val="single" w:sz="2" w:space="0" w:color="auto"/>
              <w:bottom w:val="single" w:sz="4" w:space="0" w:color="FFFFFF" w:themeColor="background1"/>
              <w:right w:val="single" w:sz="2" w:space="0" w:color="auto"/>
            </w:tcBorders>
            <w:shd w:val="clear" w:color="auto" w:fill="auto"/>
            <w:noWrap/>
            <w:vAlign w:val="center"/>
          </w:tcPr>
          <w:p w:rsidR="0090056B" w:rsidRDefault="0090056B">
            <w:pPr>
              <w:keepNext/>
              <w:widowControl/>
              <w:tabs>
                <w:tab w:val="left" w:pos="142"/>
                <w:tab w:val="left" w:pos="567"/>
              </w:tabs>
              <w:spacing w:line="320" w:lineRule="exact"/>
              <w:jc w:val="center"/>
              <w:outlineLvl w:val="0"/>
              <w:rPr>
                <w:rFonts w:ascii="宋体" w:hAnsi="宋体" w:cs="宋体"/>
                <w:color w:val="000000" w:themeColor="text1"/>
                <w:kern w:val="0"/>
                <w:sz w:val="18"/>
                <w:szCs w:val="18"/>
              </w:rPr>
            </w:pPr>
          </w:p>
          <w:p w:rsidR="0090056B" w:rsidRDefault="0090056B">
            <w:pPr>
              <w:keepNext/>
              <w:widowControl/>
              <w:tabs>
                <w:tab w:val="left" w:pos="142"/>
                <w:tab w:val="left" w:pos="567"/>
              </w:tabs>
              <w:spacing w:line="320" w:lineRule="exact"/>
              <w:jc w:val="center"/>
              <w:outlineLvl w:val="0"/>
              <w:rPr>
                <w:rFonts w:ascii="宋体" w:hAnsi="宋体" w:cs="宋体"/>
                <w:color w:val="000000" w:themeColor="text1"/>
                <w:kern w:val="0"/>
                <w:sz w:val="18"/>
                <w:szCs w:val="18"/>
              </w:rPr>
            </w:pPr>
          </w:p>
          <w:p w:rsidR="00000000" w:rsidRDefault="00C97103">
            <w:pPr>
              <w:tabs>
                <w:tab w:val="left" w:pos="142"/>
                <w:tab w:val="left" w:pos="567"/>
              </w:tabs>
              <w:jc w:val="center"/>
              <w:rPr>
                <w:rFonts w:ascii="宋体" w:hAnsi="宋体" w:cs="宋体"/>
                <w:color w:val="000000" w:themeColor="text1"/>
                <w:kern w:val="0"/>
                <w:sz w:val="18"/>
                <w:szCs w:val="18"/>
              </w:rPr>
            </w:pPr>
          </w:p>
        </w:tc>
        <w:tc>
          <w:tcPr>
            <w:tcW w:w="383" w:type="pct"/>
            <w:gridSpan w:val="2"/>
            <w:tcBorders>
              <w:top w:val="nil"/>
              <w:left w:val="single" w:sz="2" w:space="0" w:color="auto"/>
              <w:bottom w:val="single" w:sz="4" w:space="0" w:color="FFFFFF" w:themeColor="background1"/>
              <w:right w:val="single" w:sz="2" w:space="0" w:color="auto"/>
            </w:tcBorders>
            <w:shd w:val="clear" w:color="auto" w:fill="auto"/>
            <w:vAlign w:val="center"/>
          </w:tcPr>
          <w:p w:rsidR="0090056B" w:rsidRDefault="0090056B">
            <w:pPr>
              <w:keepNext/>
              <w:widowControl/>
              <w:tabs>
                <w:tab w:val="left" w:pos="142"/>
                <w:tab w:val="left" w:pos="567"/>
              </w:tabs>
              <w:spacing w:line="320" w:lineRule="exact"/>
              <w:jc w:val="center"/>
              <w:outlineLvl w:val="0"/>
              <w:rPr>
                <w:rFonts w:ascii="宋体" w:hAnsi="宋体" w:cs="宋体"/>
                <w:color w:val="000000" w:themeColor="text1"/>
                <w:kern w:val="0"/>
                <w:sz w:val="18"/>
                <w:szCs w:val="18"/>
              </w:rPr>
            </w:pPr>
          </w:p>
          <w:p w:rsidR="0090056B" w:rsidRDefault="0090056B">
            <w:pPr>
              <w:keepNext/>
              <w:widowControl/>
              <w:tabs>
                <w:tab w:val="left" w:pos="142"/>
                <w:tab w:val="left" w:pos="567"/>
              </w:tabs>
              <w:spacing w:line="320" w:lineRule="exact"/>
              <w:jc w:val="center"/>
              <w:outlineLvl w:val="0"/>
              <w:rPr>
                <w:rFonts w:ascii="宋体" w:hAnsi="宋体" w:cs="宋体"/>
                <w:color w:val="000000" w:themeColor="text1"/>
                <w:kern w:val="0"/>
                <w:sz w:val="18"/>
                <w:szCs w:val="18"/>
              </w:rPr>
            </w:pPr>
          </w:p>
          <w:p w:rsidR="00000000" w:rsidRDefault="00C97103">
            <w:pPr>
              <w:tabs>
                <w:tab w:val="left" w:pos="142"/>
                <w:tab w:val="left" w:pos="567"/>
              </w:tabs>
              <w:jc w:val="center"/>
              <w:rPr>
                <w:rFonts w:ascii="宋体" w:hAnsi="宋体" w:cs="宋体"/>
                <w:color w:val="000000" w:themeColor="text1"/>
                <w:kern w:val="0"/>
                <w:sz w:val="18"/>
                <w:szCs w:val="18"/>
              </w:rPr>
            </w:pPr>
          </w:p>
        </w:tc>
        <w:tc>
          <w:tcPr>
            <w:tcW w:w="613" w:type="pct"/>
            <w:gridSpan w:val="2"/>
            <w:tcBorders>
              <w:top w:val="single" w:sz="4" w:space="0" w:color="auto"/>
              <w:left w:val="single" w:sz="2" w:space="0" w:color="auto"/>
              <w:bottom w:val="single" w:sz="4" w:space="0" w:color="FFFFFF" w:themeColor="background1"/>
              <w:right w:val="single" w:sz="2" w:space="0" w:color="auto"/>
            </w:tcBorders>
            <w:shd w:val="clear" w:color="auto" w:fill="auto"/>
            <w:vAlign w:val="center"/>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其中：中方雇员数（人）</w:t>
            </w:r>
          </w:p>
          <w:p w:rsidR="00000000" w:rsidRDefault="00C97103">
            <w:pPr>
              <w:tabs>
                <w:tab w:val="left" w:pos="142"/>
                <w:tab w:val="left" w:pos="567"/>
              </w:tabs>
              <w:jc w:val="center"/>
              <w:rPr>
                <w:rFonts w:ascii="宋体" w:hAnsi="宋体" w:cs="宋体"/>
                <w:color w:val="000000" w:themeColor="text1"/>
                <w:kern w:val="0"/>
                <w:sz w:val="18"/>
                <w:szCs w:val="18"/>
              </w:rPr>
            </w:pPr>
          </w:p>
        </w:tc>
        <w:tc>
          <w:tcPr>
            <w:tcW w:w="762" w:type="pct"/>
            <w:vMerge/>
            <w:tcBorders>
              <w:left w:val="single" w:sz="2" w:space="0" w:color="auto"/>
              <w:bottom w:val="single" w:sz="4" w:space="0" w:color="FFFFFF" w:themeColor="background1"/>
              <w:right w:val="single" w:sz="2" w:space="0" w:color="auto"/>
            </w:tcBorders>
            <w:shd w:val="clear" w:color="auto" w:fill="auto"/>
            <w:vAlign w:val="bottom"/>
          </w:tcPr>
          <w:p w:rsidR="00000000" w:rsidRDefault="00C97103">
            <w:pPr>
              <w:tabs>
                <w:tab w:val="left" w:pos="142"/>
                <w:tab w:val="left" w:pos="567"/>
              </w:tabs>
              <w:jc w:val="center"/>
              <w:rPr>
                <w:rFonts w:ascii="宋体" w:hAnsi="宋体" w:cs="宋体"/>
                <w:color w:val="000000" w:themeColor="text1"/>
                <w:kern w:val="0"/>
                <w:sz w:val="18"/>
                <w:szCs w:val="18"/>
              </w:rPr>
            </w:pPr>
          </w:p>
        </w:tc>
        <w:tc>
          <w:tcPr>
            <w:tcW w:w="530" w:type="pct"/>
            <w:gridSpan w:val="3"/>
            <w:vMerge/>
            <w:tcBorders>
              <w:left w:val="single" w:sz="2" w:space="0" w:color="auto"/>
              <w:bottom w:val="single" w:sz="4" w:space="0" w:color="FFFFFF" w:themeColor="background1"/>
              <w:right w:val="single" w:sz="2" w:space="0" w:color="auto"/>
            </w:tcBorders>
            <w:shd w:val="clear" w:color="auto" w:fill="auto"/>
            <w:vAlign w:val="bottom"/>
          </w:tcPr>
          <w:p w:rsidR="00000000" w:rsidRDefault="00C97103">
            <w:pPr>
              <w:tabs>
                <w:tab w:val="left" w:pos="142"/>
                <w:tab w:val="left" w:pos="567"/>
              </w:tabs>
              <w:jc w:val="center"/>
              <w:rPr>
                <w:rFonts w:ascii="宋体" w:hAnsi="宋体" w:cs="宋体"/>
                <w:color w:val="000000" w:themeColor="text1"/>
                <w:kern w:val="0"/>
                <w:sz w:val="18"/>
                <w:szCs w:val="18"/>
              </w:rPr>
            </w:pPr>
          </w:p>
        </w:tc>
        <w:tc>
          <w:tcPr>
            <w:tcW w:w="425" w:type="pct"/>
            <w:gridSpan w:val="2"/>
            <w:vMerge/>
            <w:tcBorders>
              <w:left w:val="single" w:sz="2" w:space="0" w:color="auto"/>
              <w:bottom w:val="single" w:sz="4" w:space="0" w:color="FFFFFF" w:themeColor="background1"/>
            </w:tcBorders>
            <w:shd w:val="clear" w:color="auto" w:fill="auto"/>
            <w:vAlign w:val="bottom"/>
          </w:tcPr>
          <w:p w:rsidR="00000000" w:rsidRDefault="00C97103">
            <w:pPr>
              <w:tabs>
                <w:tab w:val="left" w:pos="142"/>
                <w:tab w:val="left" w:pos="567"/>
              </w:tabs>
              <w:jc w:val="center"/>
              <w:rPr>
                <w:rFonts w:ascii="宋体" w:hAnsi="宋体" w:cs="宋体"/>
                <w:color w:val="000000" w:themeColor="text1"/>
                <w:kern w:val="0"/>
                <w:sz w:val="18"/>
                <w:szCs w:val="18"/>
              </w:rPr>
            </w:pPr>
          </w:p>
        </w:tc>
      </w:tr>
      <w:tr w:rsidR="00802838" w:rsidRPr="009263D7" w:rsidTr="00802838">
        <w:trPr>
          <w:gridAfter w:val="1"/>
          <w:wAfter w:w="20" w:type="pct"/>
          <w:trHeight w:val="320"/>
        </w:trPr>
        <w:tc>
          <w:tcPr>
            <w:tcW w:w="363" w:type="pct"/>
            <w:tcBorders>
              <w:top w:val="single" w:sz="4" w:space="0" w:color="FFFFFF" w:themeColor="background1"/>
              <w:left w:val="nil"/>
              <w:bottom w:val="single" w:sz="4" w:space="0" w:color="auto"/>
              <w:right w:val="single" w:sz="2" w:space="0" w:color="auto"/>
            </w:tcBorders>
            <w:shd w:val="clear" w:color="auto" w:fill="auto"/>
            <w:noWrap/>
            <w:vAlign w:val="bottom"/>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A0123</w:t>
            </w:r>
          </w:p>
        </w:tc>
        <w:tc>
          <w:tcPr>
            <w:tcW w:w="530" w:type="pct"/>
            <w:gridSpan w:val="3"/>
            <w:tcBorders>
              <w:top w:val="single" w:sz="4" w:space="0" w:color="FFFFFF" w:themeColor="background1"/>
              <w:left w:val="single" w:sz="2" w:space="0" w:color="auto"/>
              <w:bottom w:val="single" w:sz="4" w:space="0" w:color="auto"/>
              <w:right w:val="single" w:sz="2" w:space="0" w:color="auto"/>
            </w:tcBorders>
            <w:shd w:val="clear" w:color="auto" w:fill="auto"/>
            <w:noWrap/>
            <w:vAlign w:val="bottom"/>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A0124</w:t>
            </w:r>
          </w:p>
        </w:tc>
        <w:tc>
          <w:tcPr>
            <w:tcW w:w="611" w:type="pct"/>
            <w:tcBorders>
              <w:top w:val="single" w:sz="4" w:space="0" w:color="FFFFFF" w:themeColor="background1"/>
              <w:left w:val="single" w:sz="2" w:space="0" w:color="auto"/>
              <w:bottom w:val="single" w:sz="4" w:space="0" w:color="auto"/>
              <w:right w:val="single" w:sz="2" w:space="0" w:color="auto"/>
            </w:tcBorders>
            <w:shd w:val="clear" w:color="auto" w:fill="auto"/>
            <w:noWrap/>
            <w:vAlign w:val="bottom"/>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A0125</w:t>
            </w:r>
          </w:p>
        </w:tc>
        <w:tc>
          <w:tcPr>
            <w:tcW w:w="763" w:type="pct"/>
            <w:gridSpan w:val="2"/>
            <w:tcBorders>
              <w:top w:val="single" w:sz="4" w:space="0" w:color="FFFFFF" w:themeColor="background1"/>
              <w:left w:val="single" w:sz="2" w:space="0" w:color="auto"/>
              <w:bottom w:val="single" w:sz="4" w:space="0" w:color="auto"/>
              <w:right w:val="single" w:sz="2" w:space="0" w:color="auto"/>
            </w:tcBorders>
            <w:shd w:val="clear" w:color="auto" w:fill="auto"/>
            <w:noWrap/>
            <w:vAlign w:val="bottom"/>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A0126</w:t>
            </w:r>
          </w:p>
        </w:tc>
        <w:tc>
          <w:tcPr>
            <w:tcW w:w="383" w:type="pct"/>
            <w:gridSpan w:val="2"/>
            <w:tcBorders>
              <w:top w:val="single" w:sz="4" w:space="0" w:color="FFFFFF" w:themeColor="background1"/>
              <w:left w:val="single" w:sz="2" w:space="0" w:color="auto"/>
              <w:bottom w:val="single" w:sz="4" w:space="0" w:color="auto"/>
              <w:right w:val="single" w:sz="2" w:space="0" w:color="auto"/>
            </w:tcBorders>
            <w:shd w:val="clear" w:color="auto" w:fill="auto"/>
            <w:vAlign w:val="bottom"/>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A0127</w:t>
            </w:r>
          </w:p>
        </w:tc>
        <w:tc>
          <w:tcPr>
            <w:tcW w:w="613" w:type="pct"/>
            <w:gridSpan w:val="2"/>
            <w:tcBorders>
              <w:top w:val="single" w:sz="4" w:space="0" w:color="FFFFFF" w:themeColor="background1"/>
              <w:left w:val="single" w:sz="2" w:space="0" w:color="auto"/>
              <w:bottom w:val="single" w:sz="4" w:space="0" w:color="auto"/>
              <w:right w:val="single" w:sz="2" w:space="0" w:color="auto"/>
            </w:tcBorders>
            <w:shd w:val="clear" w:color="auto" w:fill="auto"/>
            <w:vAlign w:val="bottom"/>
          </w:tcPr>
          <w:p w:rsidR="0090056B" w:rsidRDefault="00CB4B9E">
            <w:pPr>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A0128</w:t>
            </w:r>
          </w:p>
        </w:tc>
        <w:tc>
          <w:tcPr>
            <w:tcW w:w="762" w:type="pct"/>
            <w:tcBorders>
              <w:top w:val="single" w:sz="4" w:space="0" w:color="FFFFFF" w:themeColor="background1"/>
              <w:left w:val="single" w:sz="2" w:space="0" w:color="auto"/>
              <w:bottom w:val="single" w:sz="2" w:space="0" w:color="auto"/>
              <w:right w:val="single" w:sz="2" w:space="0" w:color="auto"/>
            </w:tcBorders>
            <w:shd w:val="clear" w:color="auto" w:fill="auto"/>
            <w:vAlign w:val="bottom"/>
          </w:tcPr>
          <w:p w:rsidR="0090056B" w:rsidRDefault="00802838">
            <w:pPr>
              <w:tabs>
                <w:tab w:val="left" w:pos="142"/>
                <w:tab w:val="left" w:pos="567"/>
              </w:tabs>
              <w:jc w:val="center"/>
              <w:rPr>
                <w:rFonts w:ascii="宋体" w:hAnsi="宋体" w:cs="宋体"/>
                <w:color w:val="000000" w:themeColor="text1"/>
                <w:kern w:val="0"/>
                <w:sz w:val="18"/>
                <w:szCs w:val="18"/>
              </w:rPr>
            </w:pPr>
            <w:r w:rsidRPr="00595A67">
              <w:rPr>
                <w:rFonts w:ascii="宋体" w:hAnsi="宋体" w:cs="宋体"/>
                <w:color w:val="000000" w:themeColor="text1"/>
                <w:kern w:val="0"/>
                <w:sz w:val="18"/>
                <w:szCs w:val="18"/>
              </w:rPr>
              <w:t>A0129</w:t>
            </w:r>
          </w:p>
        </w:tc>
        <w:tc>
          <w:tcPr>
            <w:tcW w:w="530" w:type="pct"/>
            <w:gridSpan w:val="3"/>
            <w:tcBorders>
              <w:top w:val="single" w:sz="4" w:space="0" w:color="FFFFFF" w:themeColor="background1"/>
              <w:left w:val="single" w:sz="2" w:space="0" w:color="auto"/>
              <w:bottom w:val="single" w:sz="2" w:space="0" w:color="auto"/>
              <w:right w:val="single" w:sz="2" w:space="0" w:color="auto"/>
            </w:tcBorders>
            <w:shd w:val="clear" w:color="auto" w:fill="auto"/>
            <w:vAlign w:val="bottom"/>
          </w:tcPr>
          <w:p w:rsidR="0090056B" w:rsidRDefault="00802838">
            <w:pPr>
              <w:tabs>
                <w:tab w:val="left" w:pos="142"/>
                <w:tab w:val="left" w:pos="567"/>
              </w:tabs>
              <w:jc w:val="center"/>
              <w:rPr>
                <w:rFonts w:ascii="宋体" w:hAnsi="宋体" w:cs="宋体"/>
                <w:color w:val="000000" w:themeColor="text1"/>
                <w:kern w:val="0"/>
                <w:sz w:val="18"/>
                <w:szCs w:val="18"/>
              </w:rPr>
            </w:pPr>
            <w:r w:rsidRPr="00595A67">
              <w:rPr>
                <w:rFonts w:ascii="宋体" w:hAnsi="宋体" w:cs="宋体"/>
                <w:color w:val="000000" w:themeColor="text1"/>
                <w:kern w:val="0"/>
                <w:sz w:val="18"/>
                <w:szCs w:val="18"/>
              </w:rPr>
              <w:t>A0130</w:t>
            </w:r>
          </w:p>
        </w:tc>
        <w:tc>
          <w:tcPr>
            <w:tcW w:w="425" w:type="pct"/>
            <w:gridSpan w:val="2"/>
            <w:tcBorders>
              <w:top w:val="single" w:sz="4" w:space="0" w:color="FFFFFF" w:themeColor="background1"/>
              <w:left w:val="single" w:sz="2" w:space="0" w:color="auto"/>
              <w:bottom w:val="single" w:sz="2" w:space="0" w:color="auto"/>
            </w:tcBorders>
            <w:shd w:val="clear" w:color="auto" w:fill="auto"/>
            <w:vAlign w:val="center"/>
          </w:tcPr>
          <w:p w:rsidR="00000000" w:rsidRDefault="00802838">
            <w:pPr>
              <w:tabs>
                <w:tab w:val="left" w:pos="142"/>
                <w:tab w:val="left" w:pos="567"/>
              </w:tabs>
              <w:jc w:val="center"/>
              <w:rPr>
                <w:rFonts w:ascii="宋体" w:hAnsi="宋体" w:cs="宋体"/>
                <w:color w:val="000000" w:themeColor="text1"/>
                <w:kern w:val="0"/>
                <w:sz w:val="18"/>
                <w:szCs w:val="18"/>
              </w:rPr>
            </w:pPr>
            <w:r w:rsidRPr="00595A67">
              <w:rPr>
                <w:rFonts w:ascii="宋体" w:hAnsi="宋体" w:cs="宋体"/>
                <w:color w:val="000000" w:themeColor="text1"/>
                <w:kern w:val="0"/>
                <w:sz w:val="18"/>
                <w:szCs w:val="18"/>
              </w:rPr>
              <w:t>A013</w:t>
            </w:r>
            <w:r>
              <w:rPr>
                <w:rFonts w:ascii="宋体" w:hAnsi="宋体" w:cs="宋体" w:hint="eastAsia"/>
                <w:color w:val="000000" w:themeColor="text1"/>
                <w:kern w:val="0"/>
                <w:sz w:val="18"/>
                <w:szCs w:val="18"/>
              </w:rPr>
              <w:t>1</w:t>
            </w:r>
          </w:p>
        </w:tc>
      </w:tr>
      <w:tr w:rsidR="008F1B1B" w:rsidRPr="009263D7" w:rsidTr="00802838">
        <w:trPr>
          <w:gridAfter w:val="1"/>
          <w:wAfter w:w="20" w:type="pct"/>
          <w:trHeight w:val="270"/>
        </w:trPr>
        <w:tc>
          <w:tcPr>
            <w:tcW w:w="363" w:type="pct"/>
            <w:tcBorders>
              <w:top w:val="nil"/>
              <w:left w:val="nil"/>
              <w:bottom w:val="single" w:sz="4" w:space="0" w:color="auto"/>
              <w:right w:val="single" w:sz="4"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13</w:t>
            </w:r>
          </w:p>
        </w:tc>
        <w:tc>
          <w:tcPr>
            <w:tcW w:w="530" w:type="pct"/>
            <w:gridSpan w:val="3"/>
            <w:tcBorders>
              <w:top w:val="nil"/>
              <w:left w:val="nil"/>
              <w:bottom w:val="single" w:sz="4" w:space="0" w:color="auto"/>
              <w:right w:val="single" w:sz="4"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14</w:t>
            </w:r>
          </w:p>
        </w:tc>
        <w:tc>
          <w:tcPr>
            <w:tcW w:w="611" w:type="pct"/>
            <w:tcBorders>
              <w:top w:val="nil"/>
              <w:left w:val="nil"/>
              <w:bottom w:val="single" w:sz="4" w:space="0" w:color="auto"/>
              <w:right w:val="single" w:sz="4"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15</w:t>
            </w:r>
          </w:p>
        </w:tc>
        <w:tc>
          <w:tcPr>
            <w:tcW w:w="763" w:type="pct"/>
            <w:gridSpan w:val="2"/>
            <w:tcBorders>
              <w:top w:val="nil"/>
              <w:left w:val="nil"/>
              <w:bottom w:val="single" w:sz="4" w:space="0" w:color="auto"/>
              <w:right w:val="single" w:sz="4"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16</w:t>
            </w:r>
          </w:p>
        </w:tc>
        <w:tc>
          <w:tcPr>
            <w:tcW w:w="383" w:type="pct"/>
            <w:gridSpan w:val="2"/>
            <w:tcBorders>
              <w:top w:val="nil"/>
              <w:left w:val="nil"/>
              <w:bottom w:val="single" w:sz="4" w:space="0" w:color="auto"/>
              <w:right w:val="single" w:sz="4"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17</w:t>
            </w:r>
          </w:p>
        </w:tc>
        <w:tc>
          <w:tcPr>
            <w:tcW w:w="613" w:type="pct"/>
            <w:gridSpan w:val="2"/>
            <w:tcBorders>
              <w:top w:val="nil"/>
              <w:left w:val="nil"/>
              <w:bottom w:val="single" w:sz="4" w:space="0" w:color="auto"/>
              <w:right w:val="single" w:sz="4"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18</w:t>
            </w:r>
          </w:p>
        </w:tc>
        <w:tc>
          <w:tcPr>
            <w:tcW w:w="762" w:type="pct"/>
            <w:tcBorders>
              <w:top w:val="single" w:sz="2" w:space="0" w:color="auto"/>
              <w:left w:val="nil"/>
              <w:bottom w:val="single" w:sz="4" w:space="0" w:color="auto"/>
              <w:right w:val="single" w:sz="2"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子</w:t>
            </w:r>
          </w:p>
        </w:tc>
        <w:tc>
          <w:tcPr>
            <w:tcW w:w="530" w:type="pct"/>
            <w:gridSpan w:val="3"/>
            <w:tcBorders>
              <w:top w:val="single" w:sz="2" w:space="0" w:color="auto"/>
              <w:left w:val="single" w:sz="2" w:space="0" w:color="auto"/>
              <w:bottom w:val="single" w:sz="4" w:space="0" w:color="auto"/>
              <w:right w:val="single" w:sz="2"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19</w:t>
            </w:r>
          </w:p>
        </w:tc>
        <w:tc>
          <w:tcPr>
            <w:tcW w:w="425" w:type="pct"/>
            <w:gridSpan w:val="2"/>
            <w:tcBorders>
              <w:top w:val="single" w:sz="2" w:space="0" w:color="auto"/>
              <w:left w:val="single" w:sz="2" w:space="0" w:color="auto"/>
              <w:bottom w:val="single" w:sz="4" w:space="0" w:color="auto"/>
            </w:tcBorders>
            <w:shd w:val="clear" w:color="auto" w:fill="auto"/>
            <w:noWrap/>
            <w:vAlign w:val="center"/>
          </w:tcPr>
          <w:p w:rsidR="008D63E3" w:rsidRPr="009263D7" w:rsidRDefault="00CB4B9E" w:rsidP="00941CC8">
            <w:pPr>
              <w:widowControl/>
              <w:tabs>
                <w:tab w:val="left" w:pos="142"/>
                <w:tab w:val="left" w:pos="567"/>
              </w:tabs>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20</w:t>
            </w:r>
          </w:p>
        </w:tc>
      </w:tr>
    </w:tbl>
    <w:p w:rsidR="003E7D8F" w:rsidRPr="009263D7" w:rsidRDefault="003E7D8F" w:rsidP="00941CC8">
      <w:pPr>
        <w:tabs>
          <w:tab w:val="left" w:pos="142"/>
          <w:tab w:val="left" w:pos="567"/>
        </w:tabs>
        <w:rPr>
          <w:color w:val="000000" w:themeColor="text1"/>
        </w:rPr>
      </w:pPr>
    </w:p>
    <w:p w:rsidR="003E7D8F" w:rsidRPr="009263D7" w:rsidRDefault="003E7D8F" w:rsidP="00941CC8">
      <w:pPr>
        <w:tabs>
          <w:tab w:val="left" w:pos="142"/>
          <w:tab w:val="left" w:pos="567"/>
        </w:tabs>
        <w:rPr>
          <w:color w:val="000000" w:themeColor="text1"/>
        </w:rPr>
      </w:pPr>
    </w:p>
    <w:p w:rsidR="00502674" w:rsidRPr="009263D7" w:rsidRDefault="00502674" w:rsidP="00941CC8">
      <w:pPr>
        <w:tabs>
          <w:tab w:val="left" w:pos="142"/>
          <w:tab w:val="left" w:pos="567"/>
        </w:tabs>
        <w:rPr>
          <w:color w:val="000000" w:themeColor="text1"/>
        </w:rPr>
      </w:pPr>
    </w:p>
    <w:tbl>
      <w:tblPr>
        <w:tblW w:w="0" w:type="auto"/>
        <w:tblInd w:w="87" w:type="dxa"/>
        <w:tblBorders>
          <w:top w:val="single" w:sz="8" w:space="0" w:color="auto"/>
        </w:tblBorders>
        <w:tblLook w:val="0000"/>
      </w:tblPr>
      <w:tblGrid>
        <w:gridCol w:w="9296"/>
      </w:tblGrid>
      <w:tr w:rsidR="003E7D8F" w:rsidRPr="009263D7" w:rsidTr="003E7D8F">
        <w:trPr>
          <w:trHeight w:val="100"/>
        </w:trPr>
        <w:tc>
          <w:tcPr>
            <w:tcW w:w="9296" w:type="dxa"/>
          </w:tcPr>
          <w:p w:rsidR="003E7D8F" w:rsidRPr="009263D7" w:rsidRDefault="00CB4B9E" w:rsidP="003E7D8F">
            <w:pPr>
              <w:spacing w:line="240" w:lineRule="exact"/>
              <w:rPr>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3E7D8F" w:rsidRPr="009263D7" w:rsidRDefault="00CB4B9E" w:rsidP="003E7D8F">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3E7D8F" w:rsidRPr="009263D7" w:rsidRDefault="003E7D8F" w:rsidP="00941CC8">
            <w:pPr>
              <w:keepNext/>
              <w:keepLines/>
              <w:tabs>
                <w:tab w:val="left" w:pos="142"/>
                <w:tab w:val="left" w:pos="567"/>
                <w:tab w:val="num" w:pos="1440"/>
              </w:tabs>
              <w:spacing w:before="260" w:after="260" w:line="415" w:lineRule="auto"/>
              <w:ind w:left="1080" w:hanging="720"/>
              <w:outlineLvl w:val="2"/>
              <w:rPr>
                <w:color w:val="000000" w:themeColor="text1"/>
              </w:rPr>
            </w:pPr>
          </w:p>
        </w:tc>
      </w:tr>
    </w:tbl>
    <w:p w:rsidR="00257D71" w:rsidRPr="009263D7" w:rsidRDefault="00257D71" w:rsidP="003E7D8F">
      <w:pPr>
        <w:rPr>
          <w:rFonts w:ascii="宋体"/>
          <w:color w:val="000000" w:themeColor="text1"/>
          <w:sz w:val="18"/>
        </w:rPr>
        <w:sectPr w:rsidR="00257D71" w:rsidRPr="009263D7" w:rsidSect="00B154A0">
          <w:pgSz w:w="11907" w:h="16840" w:code="9"/>
          <w:pgMar w:top="1418" w:right="1247" w:bottom="1247" w:left="1247" w:header="851" w:footer="992" w:gutter="0"/>
          <w:cols w:space="425"/>
          <w:titlePg/>
          <w:docGrid w:type="lines" w:linePitch="312"/>
        </w:sectPr>
      </w:pPr>
    </w:p>
    <w:p w:rsidR="003E7D8F" w:rsidRPr="009263D7" w:rsidRDefault="003E7D8F" w:rsidP="003E7D8F">
      <w:pPr>
        <w:rPr>
          <w:rFonts w:ascii="宋体"/>
          <w:color w:val="000000" w:themeColor="text1"/>
          <w:sz w:val="18"/>
        </w:rPr>
      </w:pPr>
    </w:p>
    <w:p w:rsidR="00F87FAD" w:rsidRPr="009263D7" w:rsidRDefault="00CB4B9E" w:rsidP="00F87FAD">
      <w:pPr>
        <w:pStyle w:val="3"/>
        <w:jc w:val="center"/>
        <w:rPr>
          <w:rFonts w:ascii="宋体" w:hAnsi="宋体"/>
          <w:b w:val="0"/>
          <w:color w:val="000000" w:themeColor="text1"/>
          <w:kern w:val="0"/>
          <w:sz w:val="28"/>
          <w:szCs w:val="28"/>
        </w:rPr>
      </w:pPr>
      <w:bookmarkStart w:id="13" w:name="_Toc452017125"/>
      <w:r w:rsidRPr="00CB4B9E">
        <w:rPr>
          <w:rFonts w:ascii="宋体" w:hAnsi="宋体" w:hint="eastAsia"/>
          <w:b w:val="0"/>
          <w:color w:val="000000" w:themeColor="text1"/>
          <w:kern w:val="0"/>
          <w:sz w:val="28"/>
          <w:szCs w:val="28"/>
        </w:rPr>
        <w:t>对外直接投资（流量）</w:t>
      </w:r>
      <w:bookmarkEnd w:id="13"/>
    </w:p>
    <w:p w:rsidR="00F87FAD" w:rsidRPr="009263D7" w:rsidRDefault="00F87FAD" w:rsidP="00F87FAD">
      <w:pPr>
        <w:spacing w:line="240" w:lineRule="exact"/>
        <w:ind w:firstLineChars="3780" w:firstLine="7969"/>
        <w:rPr>
          <w:rFonts w:ascii="宋体" w:hAnsi="宋体"/>
          <w:b/>
          <w:color w:val="000000" w:themeColor="text1"/>
          <w:kern w:val="0"/>
        </w:rPr>
      </w:pPr>
    </w:p>
    <w:p w:rsidR="00F87FAD" w:rsidRPr="009263D7" w:rsidRDefault="00F87FAD" w:rsidP="00F87FAD">
      <w:pPr>
        <w:spacing w:line="240" w:lineRule="exact"/>
        <w:ind w:firstLineChars="3780" w:firstLine="6804"/>
        <w:rPr>
          <w:color w:val="000000" w:themeColor="text1"/>
          <w:sz w:val="18"/>
        </w:rPr>
      </w:pPr>
    </w:p>
    <w:p w:rsidR="00F87FAD" w:rsidRPr="009263D7" w:rsidRDefault="00CB4B9E" w:rsidP="00F87FAD">
      <w:pPr>
        <w:spacing w:line="240" w:lineRule="exact"/>
        <w:ind w:firstLineChars="3830" w:firstLine="6894"/>
        <w:rPr>
          <w:color w:val="000000" w:themeColor="text1"/>
          <w:sz w:val="1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A01-2表</w:t>
      </w:r>
    </w:p>
    <w:p w:rsidR="00F87FAD" w:rsidRPr="009263D7" w:rsidRDefault="00CB4B9E" w:rsidP="00F87FAD">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F87FAD" w:rsidRPr="009263D7" w:rsidRDefault="00CB4B9E" w:rsidP="00F87FAD">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F87FAD" w:rsidRPr="009263D7" w:rsidRDefault="00CB4B9E" w:rsidP="00F87FAD">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F87FAD" w:rsidRPr="009263D7" w:rsidRDefault="00CB4B9E" w:rsidP="00F87FAD">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6B2369" w:rsidRPr="009263D7" w:rsidRDefault="006B2369">
      <w:pPr>
        <w:rPr>
          <w:color w:val="000000" w:themeColor="text1"/>
        </w:rPr>
      </w:pPr>
    </w:p>
    <w:p w:rsidR="00F87FAD" w:rsidRPr="009263D7" w:rsidRDefault="00F87FAD" w:rsidP="00F87FAD">
      <w:pPr>
        <w:spacing w:line="240" w:lineRule="exact"/>
        <w:rPr>
          <w:rFonts w:ascii="宋体" w:hAnsi="宋体" w:cs="宋体"/>
          <w:color w:val="000000" w:themeColor="text1"/>
          <w:kern w:val="0"/>
          <w:sz w:val="18"/>
          <w:szCs w:val="18"/>
        </w:rPr>
      </w:pPr>
    </w:p>
    <w:p w:rsidR="00F87FAD" w:rsidRPr="009263D7" w:rsidRDefault="00CB4B9E" w:rsidP="00F87FAD">
      <w:pPr>
        <w:spacing w:line="240" w:lineRule="exact"/>
        <w:jc w:val="center"/>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r w:rsidRPr="00CB4B9E">
        <w:rPr>
          <w:color w:val="000000" w:themeColor="text1"/>
          <w:sz w:val="18"/>
        </w:rPr>
        <w:t>1</w:t>
      </w:r>
      <w:r w:rsidRPr="00CB4B9E">
        <w:rPr>
          <w:rFonts w:hint="eastAsia"/>
          <w:color w:val="000000" w:themeColor="text1"/>
          <w:sz w:val="18"/>
        </w:rPr>
        <w:t>股，</w:t>
      </w:r>
      <w:r w:rsidRPr="00CB4B9E">
        <w:rPr>
          <w:color w:val="000000" w:themeColor="text1"/>
          <w:sz w:val="18"/>
        </w:rPr>
        <w:t>1</w:t>
      </w:r>
      <w:r w:rsidRPr="00CB4B9E">
        <w:rPr>
          <w:rFonts w:hint="eastAsia"/>
          <w:color w:val="000000" w:themeColor="text1"/>
          <w:sz w:val="18"/>
        </w:rPr>
        <w:t>份，</w:t>
      </w:r>
      <w:r w:rsidRPr="00CB4B9E">
        <w:rPr>
          <w:color w:val="000000" w:themeColor="text1"/>
          <w:sz w:val="18"/>
        </w:rPr>
        <w:t>%</w:t>
      </w:r>
    </w:p>
    <w:tbl>
      <w:tblPr>
        <w:tblW w:w="9464" w:type="dxa"/>
        <w:tblLayout w:type="fixed"/>
        <w:tblLook w:val="04A0"/>
      </w:tblPr>
      <w:tblGrid>
        <w:gridCol w:w="92"/>
        <w:gridCol w:w="959"/>
        <w:gridCol w:w="1052"/>
        <w:gridCol w:w="1051"/>
        <w:gridCol w:w="1052"/>
        <w:gridCol w:w="1051"/>
        <w:gridCol w:w="1052"/>
        <w:gridCol w:w="1051"/>
        <w:gridCol w:w="1052"/>
        <w:gridCol w:w="1052"/>
      </w:tblGrid>
      <w:tr w:rsidR="0077027E" w:rsidRPr="009263D7" w:rsidTr="00124CBF">
        <w:trPr>
          <w:gridBefore w:val="1"/>
          <w:wBefore w:w="92" w:type="dxa"/>
          <w:trHeight w:val="270"/>
        </w:trPr>
        <w:tc>
          <w:tcPr>
            <w:tcW w:w="9372" w:type="dxa"/>
            <w:gridSpan w:val="9"/>
            <w:tcBorders>
              <w:top w:val="single" w:sz="8" w:space="0" w:color="auto"/>
              <w:left w:val="nil"/>
              <w:bottom w:val="single" w:sz="2" w:space="0" w:color="auto"/>
              <w:right w:val="single" w:sz="8" w:space="0" w:color="FFFFFF" w:themeColor="background1"/>
            </w:tcBorders>
            <w:shd w:val="clear" w:color="auto" w:fill="auto"/>
            <w:vAlign w:val="center"/>
          </w:tcPr>
          <w:p w:rsidR="0077027E" w:rsidRPr="009263D7" w:rsidRDefault="00CB4B9E" w:rsidP="00644CF9">
            <w:pPr>
              <w:widowControl/>
              <w:jc w:val="center"/>
              <w:rPr>
                <w:rFonts w:ascii="宋体" w:hAnsi="宋体" w:cs="宋体"/>
                <w:color w:val="000000" w:themeColor="text1"/>
                <w:kern w:val="0"/>
                <w:sz w:val="22"/>
                <w:szCs w:val="22"/>
              </w:rPr>
            </w:pPr>
            <w:r w:rsidRPr="00CB4B9E">
              <w:rPr>
                <w:rFonts w:ascii="宋体" w:hAnsi="宋体" w:cs="宋体" w:hint="eastAsia"/>
                <w:color w:val="000000" w:themeColor="text1"/>
                <w:kern w:val="0"/>
                <w:sz w:val="18"/>
                <w:szCs w:val="18"/>
              </w:rPr>
              <w:t>本月本机构新增或撤回股本（或营运资金）的金额（流量）</w:t>
            </w:r>
            <w:r w:rsidRPr="00CB4B9E">
              <w:rPr>
                <w:rFonts w:ascii="宋体" w:hAnsi="宋体" w:cs="宋体" w:hint="eastAsia"/>
                <w:color w:val="000000" w:themeColor="text1"/>
                <w:kern w:val="0"/>
                <w:sz w:val="22"/>
                <w:szCs w:val="22"/>
              </w:rPr>
              <w:t xml:space="preserve">　</w:t>
            </w:r>
          </w:p>
        </w:tc>
      </w:tr>
      <w:tr w:rsidR="004B61FB" w:rsidRPr="009263D7" w:rsidTr="004B61FB">
        <w:trPr>
          <w:trHeight w:val="675"/>
        </w:trPr>
        <w:tc>
          <w:tcPr>
            <w:tcW w:w="1051" w:type="dxa"/>
            <w:gridSpan w:val="2"/>
            <w:tcBorders>
              <w:top w:val="single" w:sz="2" w:space="0" w:color="auto"/>
              <w:left w:val="nil"/>
              <w:bottom w:val="single" w:sz="8" w:space="0" w:color="FFFFFF" w:themeColor="background1"/>
              <w:right w:val="single" w:sz="4" w:space="0" w:color="auto"/>
            </w:tcBorders>
            <w:shd w:val="clear" w:color="auto" w:fill="auto"/>
            <w:vAlign w:val="center"/>
          </w:tcPr>
          <w:p w:rsidR="0080283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境外被投资机构</w:t>
            </w:r>
          </w:p>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代码</w:t>
            </w:r>
          </w:p>
        </w:tc>
        <w:tc>
          <w:tcPr>
            <w:tcW w:w="1052" w:type="dxa"/>
            <w:tcBorders>
              <w:top w:val="single" w:sz="2" w:space="0" w:color="auto"/>
              <w:left w:val="nil"/>
              <w:bottom w:val="single" w:sz="8" w:space="0" w:color="FFFFFF" w:themeColor="background1"/>
              <w:right w:val="single" w:sz="4"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投资日期</w:t>
            </w:r>
          </w:p>
        </w:tc>
        <w:tc>
          <w:tcPr>
            <w:tcW w:w="1051" w:type="dxa"/>
            <w:tcBorders>
              <w:top w:val="single" w:sz="2" w:space="0" w:color="auto"/>
              <w:left w:val="nil"/>
              <w:bottom w:val="single" w:sz="8" w:space="0" w:color="FFFFFF" w:themeColor="background1"/>
              <w:right w:val="single" w:sz="4"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投资币种（原币）</w:t>
            </w:r>
          </w:p>
        </w:tc>
        <w:tc>
          <w:tcPr>
            <w:tcW w:w="1052" w:type="dxa"/>
            <w:tcBorders>
              <w:top w:val="single" w:sz="2" w:space="0" w:color="auto"/>
              <w:left w:val="nil"/>
              <w:bottom w:val="single" w:sz="8" w:space="0" w:color="FFFFFF" w:themeColor="background1"/>
              <w:right w:val="single" w:sz="4"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投资金额增减（</w:t>
            </w:r>
            <w:r w:rsidRPr="00CB4B9E">
              <w:rPr>
                <w:rFonts w:ascii="宋体" w:hAnsi="宋体" w:cs="宋体"/>
                <w:color w:val="000000" w:themeColor="text1"/>
                <w:kern w:val="0"/>
                <w:sz w:val="18"/>
                <w:szCs w:val="18"/>
              </w:rPr>
              <w:t>+或-）</w:t>
            </w:r>
          </w:p>
        </w:tc>
        <w:tc>
          <w:tcPr>
            <w:tcW w:w="1051" w:type="dxa"/>
            <w:tcBorders>
              <w:top w:val="single" w:sz="2" w:space="0" w:color="auto"/>
              <w:left w:val="nil"/>
              <w:bottom w:val="single" w:sz="8" w:space="0" w:color="FFFFFF" w:themeColor="background1"/>
              <w:right w:val="single" w:sz="4"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本机构持有表决权比例增减</w:t>
            </w:r>
            <w:r w:rsidRPr="00CB4B9E">
              <w:rPr>
                <w:rFonts w:ascii="宋体" w:hAnsi="宋体" w:cs="宋体"/>
                <w:color w:val="000000" w:themeColor="text1"/>
                <w:kern w:val="0"/>
                <w:sz w:val="18"/>
                <w:szCs w:val="18"/>
              </w:rPr>
              <w:t>(%)</w:t>
            </w:r>
          </w:p>
        </w:tc>
        <w:tc>
          <w:tcPr>
            <w:tcW w:w="1052" w:type="dxa"/>
            <w:tcBorders>
              <w:top w:val="single" w:sz="2" w:space="0" w:color="auto"/>
              <w:left w:val="nil"/>
              <w:bottom w:val="single" w:sz="8" w:space="0" w:color="FFFFFF" w:themeColor="background1"/>
              <w:right w:val="single" w:sz="4"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是否兼并、收购</w:t>
            </w:r>
          </w:p>
        </w:tc>
        <w:tc>
          <w:tcPr>
            <w:tcW w:w="1051" w:type="dxa"/>
            <w:tcBorders>
              <w:top w:val="single" w:sz="2" w:space="0" w:color="auto"/>
              <w:left w:val="nil"/>
              <w:bottom w:val="single" w:sz="8" w:space="0" w:color="FFFFFF" w:themeColor="background1"/>
              <w:right w:val="single" w:sz="4" w:space="0" w:color="auto"/>
            </w:tcBorders>
            <w:shd w:val="clear" w:color="auto" w:fill="auto"/>
            <w:vAlign w:val="center"/>
          </w:tcPr>
          <w:p w:rsidR="00000000" w:rsidRDefault="00CB4B9E">
            <w:pPr>
              <w:rPr>
                <w:kern w:val="0"/>
              </w:rPr>
            </w:pPr>
            <w:r w:rsidRPr="00CB4B9E">
              <w:rPr>
                <w:rFonts w:hint="eastAsia"/>
                <w:kern w:val="0"/>
              </w:rPr>
              <w:t>出资方式</w:t>
            </w:r>
          </w:p>
        </w:tc>
        <w:tc>
          <w:tcPr>
            <w:tcW w:w="1052" w:type="dxa"/>
            <w:tcBorders>
              <w:top w:val="single" w:sz="4" w:space="0" w:color="auto"/>
              <w:left w:val="nil"/>
              <w:bottom w:val="single" w:sz="8" w:space="0" w:color="FFFFFF" w:themeColor="background1"/>
              <w:right w:val="single" w:sz="2" w:space="0" w:color="000000" w:themeColor="text1"/>
            </w:tcBorders>
            <w:shd w:val="clear" w:color="auto" w:fill="auto"/>
            <w:vAlign w:val="center"/>
          </w:tcPr>
          <w:p w:rsidR="00000000" w:rsidRDefault="00CB4B9E">
            <w:pPr>
              <w:rPr>
                <w:kern w:val="0"/>
              </w:rPr>
            </w:pPr>
            <w:r w:rsidRPr="00CB4B9E">
              <w:rPr>
                <w:rFonts w:hint="eastAsia"/>
                <w:kern w:val="0"/>
              </w:rPr>
              <w:t>业务编号</w:t>
            </w:r>
          </w:p>
        </w:tc>
        <w:tc>
          <w:tcPr>
            <w:tcW w:w="1052" w:type="dxa"/>
            <w:tcBorders>
              <w:top w:val="single" w:sz="4" w:space="0" w:color="auto"/>
              <w:left w:val="single" w:sz="2" w:space="0" w:color="000000" w:themeColor="text1"/>
              <w:bottom w:val="single" w:sz="8" w:space="0" w:color="FFFFFF" w:themeColor="background1"/>
              <w:right w:val="single" w:sz="8" w:space="0" w:color="FFFFFF" w:themeColor="background1"/>
            </w:tcBorders>
            <w:shd w:val="clear" w:color="auto" w:fill="auto"/>
            <w:vAlign w:val="center"/>
          </w:tcPr>
          <w:p w:rsidR="00000000" w:rsidRDefault="00CB4B9E">
            <w:pPr>
              <w:rPr>
                <w:kern w:val="0"/>
              </w:rPr>
            </w:pPr>
            <w:r w:rsidRPr="00CB4B9E">
              <w:rPr>
                <w:rFonts w:hint="eastAsia"/>
                <w:kern w:val="0"/>
              </w:rPr>
              <w:t>备注</w:t>
            </w:r>
          </w:p>
          <w:p w:rsidR="00000000" w:rsidRDefault="00C97103">
            <w:pPr>
              <w:rPr>
                <w:kern w:val="0"/>
              </w:rPr>
            </w:pPr>
          </w:p>
          <w:p w:rsidR="00000000" w:rsidRDefault="00C97103">
            <w:pPr>
              <w:rPr>
                <w:kern w:val="0"/>
              </w:rPr>
            </w:pPr>
          </w:p>
        </w:tc>
      </w:tr>
      <w:tr w:rsidR="004B61FB" w:rsidRPr="009263D7" w:rsidTr="004B61FB">
        <w:trPr>
          <w:trHeight w:val="270"/>
        </w:trPr>
        <w:tc>
          <w:tcPr>
            <w:tcW w:w="1051" w:type="dxa"/>
            <w:gridSpan w:val="2"/>
            <w:tcBorders>
              <w:top w:val="single" w:sz="8" w:space="0" w:color="FFFFFF" w:themeColor="background1"/>
              <w:left w:val="nil"/>
              <w:bottom w:val="single" w:sz="4" w:space="0" w:color="auto"/>
              <w:right w:val="single" w:sz="4" w:space="0" w:color="auto"/>
            </w:tcBorders>
            <w:shd w:val="clear" w:color="auto" w:fill="auto"/>
            <w:noWrap/>
          </w:tcPr>
          <w:p w:rsidR="004B61FB"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A0101</w:t>
            </w:r>
          </w:p>
        </w:tc>
        <w:tc>
          <w:tcPr>
            <w:tcW w:w="1052" w:type="dxa"/>
            <w:tcBorders>
              <w:top w:val="single" w:sz="8" w:space="0" w:color="FFFFFF" w:themeColor="background1"/>
              <w:left w:val="nil"/>
              <w:bottom w:val="single" w:sz="4" w:space="0" w:color="auto"/>
              <w:right w:val="single" w:sz="4" w:space="0" w:color="auto"/>
            </w:tcBorders>
            <w:shd w:val="clear" w:color="auto" w:fill="auto"/>
          </w:tcPr>
          <w:p w:rsidR="004B61FB"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A0132</w:t>
            </w:r>
          </w:p>
        </w:tc>
        <w:tc>
          <w:tcPr>
            <w:tcW w:w="1051" w:type="dxa"/>
            <w:tcBorders>
              <w:top w:val="single" w:sz="8" w:space="0" w:color="FFFFFF" w:themeColor="background1"/>
              <w:left w:val="nil"/>
              <w:bottom w:val="single" w:sz="4" w:space="0" w:color="auto"/>
              <w:right w:val="single" w:sz="4" w:space="0" w:color="auto"/>
            </w:tcBorders>
            <w:shd w:val="clear" w:color="auto" w:fill="auto"/>
          </w:tcPr>
          <w:p w:rsidR="004B61FB"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A0133</w:t>
            </w:r>
          </w:p>
        </w:tc>
        <w:tc>
          <w:tcPr>
            <w:tcW w:w="1052" w:type="dxa"/>
            <w:tcBorders>
              <w:top w:val="single" w:sz="8" w:space="0" w:color="FFFFFF" w:themeColor="background1"/>
              <w:left w:val="nil"/>
              <w:bottom w:val="single" w:sz="4" w:space="0" w:color="auto"/>
              <w:right w:val="single" w:sz="4" w:space="0" w:color="auto"/>
            </w:tcBorders>
            <w:shd w:val="clear" w:color="auto" w:fill="auto"/>
            <w:noWrap/>
          </w:tcPr>
          <w:p w:rsidR="004B61FB"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A0134</w:t>
            </w:r>
          </w:p>
        </w:tc>
        <w:tc>
          <w:tcPr>
            <w:tcW w:w="1051" w:type="dxa"/>
            <w:tcBorders>
              <w:top w:val="single" w:sz="8" w:space="0" w:color="FFFFFF" w:themeColor="background1"/>
              <w:left w:val="nil"/>
              <w:bottom w:val="single" w:sz="4" w:space="0" w:color="auto"/>
              <w:right w:val="single" w:sz="4" w:space="0" w:color="auto"/>
            </w:tcBorders>
            <w:shd w:val="clear" w:color="auto" w:fill="auto"/>
            <w:noWrap/>
          </w:tcPr>
          <w:p w:rsidR="004B61FB"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A0135</w:t>
            </w:r>
          </w:p>
        </w:tc>
        <w:tc>
          <w:tcPr>
            <w:tcW w:w="1052" w:type="dxa"/>
            <w:tcBorders>
              <w:top w:val="single" w:sz="8" w:space="0" w:color="FFFFFF" w:themeColor="background1"/>
              <w:left w:val="nil"/>
              <w:bottom w:val="single" w:sz="4" w:space="0" w:color="auto"/>
              <w:right w:val="single" w:sz="4" w:space="0" w:color="auto"/>
            </w:tcBorders>
            <w:shd w:val="clear" w:color="auto" w:fill="auto"/>
            <w:noWrap/>
          </w:tcPr>
          <w:p w:rsidR="004B61FB"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A0136</w:t>
            </w:r>
          </w:p>
        </w:tc>
        <w:tc>
          <w:tcPr>
            <w:tcW w:w="1051" w:type="dxa"/>
            <w:tcBorders>
              <w:top w:val="single" w:sz="8" w:space="0" w:color="FFFFFF" w:themeColor="background1"/>
              <w:left w:val="nil"/>
              <w:bottom w:val="single" w:sz="4" w:space="0" w:color="auto"/>
              <w:right w:val="single" w:sz="4" w:space="0" w:color="auto"/>
            </w:tcBorders>
            <w:shd w:val="clear" w:color="auto" w:fill="auto"/>
            <w:noWrap/>
          </w:tcPr>
          <w:p w:rsidR="004B61FB"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A0137</w:t>
            </w:r>
          </w:p>
        </w:tc>
        <w:tc>
          <w:tcPr>
            <w:tcW w:w="1052" w:type="dxa"/>
            <w:tcBorders>
              <w:top w:val="single" w:sz="8" w:space="0" w:color="FFFFFF" w:themeColor="background1"/>
              <w:left w:val="nil"/>
              <w:bottom w:val="single" w:sz="4" w:space="0" w:color="auto"/>
              <w:right w:val="single" w:sz="2" w:space="0" w:color="000000" w:themeColor="text1"/>
            </w:tcBorders>
            <w:shd w:val="clear" w:color="auto" w:fill="auto"/>
            <w:noWrap/>
          </w:tcPr>
          <w:p w:rsidR="00000000"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BIZCODE</w:t>
            </w:r>
          </w:p>
        </w:tc>
        <w:tc>
          <w:tcPr>
            <w:tcW w:w="1052" w:type="dxa"/>
            <w:tcBorders>
              <w:top w:val="single" w:sz="8" w:space="0" w:color="FFFFFF" w:themeColor="background1"/>
              <w:left w:val="single" w:sz="2" w:space="0" w:color="000000" w:themeColor="text1"/>
              <w:bottom w:val="single" w:sz="4" w:space="0" w:color="auto"/>
              <w:right w:val="single" w:sz="8" w:space="0" w:color="FFFFFF" w:themeColor="background1"/>
            </w:tcBorders>
            <w:shd w:val="clear" w:color="auto" w:fill="auto"/>
          </w:tcPr>
          <w:p w:rsidR="00C9630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A0138</w:t>
            </w:r>
          </w:p>
        </w:tc>
      </w:tr>
      <w:tr w:rsidR="004B61FB" w:rsidRPr="009263D7" w:rsidTr="004B61FB">
        <w:trPr>
          <w:trHeight w:val="270"/>
        </w:trPr>
        <w:tc>
          <w:tcPr>
            <w:tcW w:w="1051" w:type="dxa"/>
            <w:gridSpan w:val="2"/>
            <w:tcBorders>
              <w:top w:val="nil"/>
              <w:left w:val="nil"/>
              <w:bottom w:val="single" w:sz="4" w:space="0" w:color="auto"/>
              <w:right w:val="single" w:sz="4" w:space="0" w:color="auto"/>
            </w:tcBorders>
            <w:shd w:val="clear" w:color="auto" w:fill="auto"/>
            <w:noWrap/>
            <w:vAlign w:val="center"/>
          </w:tcPr>
          <w:p w:rsidR="004B61FB" w:rsidRPr="009263D7" w:rsidRDefault="00CB4B9E" w:rsidP="009B571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052" w:type="dxa"/>
            <w:tcBorders>
              <w:top w:val="nil"/>
              <w:left w:val="nil"/>
              <w:bottom w:val="single" w:sz="4" w:space="0" w:color="auto"/>
              <w:right w:val="single" w:sz="4" w:space="0" w:color="auto"/>
            </w:tcBorders>
            <w:shd w:val="clear" w:color="auto" w:fill="auto"/>
            <w:vAlign w:val="center"/>
          </w:tcPr>
          <w:p w:rsidR="004B61FB" w:rsidRPr="009263D7" w:rsidRDefault="00CB4B9E" w:rsidP="00D1564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丑</w:t>
            </w:r>
          </w:p>
        </w:tc>
        <w:tc>
          <w:tcPr>
            <w:tcW w:w="1051" w:type="dxa"/>
            <w:tcBorders>
              <w:top w:val="nil"/>
              <w:left w:val="nil"/>
              <w:bottom w:val="single" w:sz="4" w:space="0" w:color="auto"/>
              <w:right w:val="single" w:sz="4"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寅</w:t>
            </w:r>
          </w:p>
        </w:tc>
        <w:tc>
          <w:tcPr>
            <w:tcW w:w="1052" w:type="dxa"/>
            <w:tcBorders>
              <w:top w:val="nil"/>
              <w:left w:val="nil"/>
              <w:bottom w:val="single" w:sz="4" w:space="0" w:color="auto"/>
              <w:right w:val="single" w:sz="4" w:space="0" w:color="auto"/>
            </w:tcBorders>
            <w:shd w:val="clear" w:color="auto" w:fill="auto"/>
            <w:noWrap/>
            <w:vAlign w:val="center"/>
          </w:tcPr>
          <w:p w:rsidR="004B61FB" w:rsidRPr="009263D7" w:rsidRDefault="00CB4B9E" w:rsidP="00D15641">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21</w:t>
            </w:r>
          </w:p>
        </w:tc>
        <w:tc>
          <w:tcPr>
            <w:tcW w:w="1051" w:type="dxa"/>
            <w:tcBorders>
              <w:top w:val="nil"/>
              <w:left w:val="nil"/>
              <w:bottom w:val="single" w:sz="4" w:space="0" w:color="auto"/>
              <w:right w:val="single" w:sz="4" w:space="0" w:color="auto"/>
            </w:tcBorders>
            <w:shd w:val="clear" w:color="auto" w:fill="auto"/>
            <w:noWrap/>
            <w:vAlign w:val="center"/>
          </w:tcPr>
          <w:p w:rsidR="004B61FB" w:rsidRPr="009263D7" w:rsidRDefault="00CB4B9E" w:rsidP="00D15641">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w:t>
            </w:r>
          </w:p>
        </w:tc>
        <w:tc>
          <w:tcPr>
            <w:tcW w:w="1052" w:type="dxa"/>
            <w:tcBorders>
              <w:top w:val="nil"/>
              <w:left w:val="nil"/>
              <w:bottom w:val="single" w:sz="4" w:space="0" w:color="auto"/>
              <w:right w:val="single" w:sz="4" w:space="0" w:color="auto"/>
            </w:tcBorders>
            <w:shd w:val="clear" w:color="auto" w:fill="auto"/>
            <w:noWrap/>
            <w:vAlign w:val="center"/>
          </w:tcPr>
          <w:p w:rsidR="004B61FB" w:rsidRPr="009263D7" w:rsidRDefault="00CB4B9E" w:rsidP="00D1564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卯</w:t>
            </w:r>
          </w:p>
        </w:tc>
        <w:tc>
          <w:tcPr>
            <w:tcW w:w="1051" w:type="dxa"/>
            <w:tcBorders>
              <w:top w:val="nil"/>
              <w:left w:val="nil"/>
              <w:bottom w:val="single" w:sz="4" w:space="0" w:color="auto"/>
              <w:right w:val="single" w:sz="4" w:space="0" w:color="auto"/>
            </w:tcBorders>
            <w:shd w:val="clear" w:color="auto" w:fill="auto"/>
            <w:noWrap/>
            <w:vAlign w:val="center"/>
          </w:tcPr>
          <w:p w:rsidR="004B61FB" w:rsidRPr="009263D7" w:rsidRDefault="00CB4B9E" w:rsidP="00D1564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辰</w:t>
            </w:r>
          </w:p>
        </w:tc>
        <w:tc>
          <w:tcPr>
            <w:tcW w:w="1052" w:type="dxa"/>
            <w:tcBorders>
              <w:top w:val="nil"/>
              <w:left w:val="nil"/>
              <w:bottom w:val="single" w:sz="4" w:space="0" w:color="auto"/>
              <w:right w:val="single" w:sz="2" w:space="0" w:color="000000" w:themeColor="text1"/>
            </w:tcBorders>
            <w:shd w:val="clear" w:color="auto" w:fill="auto"/>
            <w:noWrap/>
          </w:tcPr>
          <w:p w:rsidR="00000000" w:rsidRDefault="00EC5ED2">
            <w:pPr>
              <w:jc w:val="center"/>
              <w:rPr>
                <w:kern w:val="0"/>
              </w:rPr>
            </w:pPr>
            <w:r w:rsidRPr="00430D94">
              <w:rPr>
                <w:rFonts w:ascii="宋体" w:hAnsi="宋体" w:cs="宋体"/>
                <w:color w:val="000000" w:themeColor="text1"/>
                <w:kern w:val="0"/>
                <w:sz w:val="18"/>
                <w:szCs w:val="18"/>
              </w:rPr>
              <w:t>2</w:t>
            </w:r>
            <w:r>
              <w:rPr>
                <w:rFonts w:ascii="宋体" w:hAnsi="宋体" w:cs="宋体" w:hint="eastAsia"/>
                <w:color w:val="000000" w:themeColor="text1"/>
                <w:kern w:val="0"/>
                <w:sz w:val="18"/>
                <w:szCs w:val="18"/>
              </w:rPr>
              <w:t>3</w:t>
            </w:r>
          </w:p>
        </w:tc>
        <w:tc>
          <w:tcPr>
            <w:tcW w:w="1052" w:type="dxa"/>
            <w:tcBorders>
              <w:top w:val="nil"/>
              <w:left w:val="single" w:sz="2" w:space="0" w:color="000000" w:themeColor="text1"/>
              <w:bottom w:val="single" w:sz="4" w:space="0" w:color="auto"/>
              <w:right w:val="single" w:sz="8" w:space="0" w:color="FFFFFF" w:themeColor="background1"/>
            </w:tcBorders>
            <w:shd w:val="clear" w:color="auto" w:fill="auto"/>
          </w:tcPr>
          <w:p w:rsidR="00000000"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巳</w:t>
            </w:r>
          </w:p>
        </w:tc>
      </w:tr>
    </w:tbl>
    <w:p w:rsidR="00F87FAD" w:rsidRPr="009263D7" w:rsidRDefault="00F87FAD" w:rsidP="00181995">
      <w:pPr>
        <w:spacing w:line="240" w:lineRule="exact"/>
        <w:rPr>
          <w:rFonts w:ascii="宋体"/>
          <w:color w:val="000000" w:themeColor="text1"/>
          <w:sz w:val="18"/>
        </w:rPr>
      </w:pPr>
    </w:p>
    <w:p w:rsidR="00F87FAD" w:rsidRPr="009263D7" w:rsidRDefault="00F87FAD" w:rsidP="00181995">
      <w:pPr>
        <w:spacing w:line="240" w:lineRule="exact"/>
        <w:rPr>
          <w:rFonts w:ascii="宋体"/>
          <w:color w:val="000000" w:themeColor="text1"/>
          <w:sz w:val="18"/>
        </w:rPr>
      </w:pPr>
    </w:p>
    <w:p w:rsidR="00F87FAD" w:rsidRPr="009263D7" w:rsidRDefault="00F87FAD" w:rsidP="00181995">
      <w:pPr>
        <w:spacing w:line="240" w:lineRule="exact"/>
        <w:rPr>
          <w:rFonts w:ascii="宋体"/>
          <w:color w:val="000000" w:themeColor="text1"/>
          <w:sz w:val="18"/>
        </w:rPr>
      </w:pPr>
    </w:p>
    <w:tbl>
      <w:tblPr>
        <w:tblW w:w="0" w:type="auto"/>
        <w:tblInd w:w="2" w:type="dxa"/>
        <w:tblBorders>
          <w:top w:val="single" w:sz="8" w:space="0" w:color="auto"/>
        </w:tblBorders>
        <w:tblLook w:val="0000"/>
      </w:tblPr>
      <w:tblGrid>
        <w:gridCol w:w="9495"/>
      </w:tblGrid>
      <w:tr w:rsidR="007C0AE5" w:rsidRPr="009263D7" w:rsidTr="007C0AE5">
        <w:trPr>
          <w:trHeight w:val="100"/>
        </w:trPr>
        <w:tc>
          <w:tcPr>
            <w:tcW w:w="9495" w:type="dxa"/>
          </w:tcPr>
          <w:p w:rsidR="007C0AE5" w:rsidRPr="009263D7" w:rsidRDefault="00CB4B9E" w:rsidP="007C0AE5">
            <w:pPr>
              <w:spacing w:line="240" w:lineRule="exact"/>
              <w:rPr>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7C0AE5" w:rsidRPr="009263D7" w:rsidRDefault="00CB4B9E" w:rsidP="007C0AE5">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7C0AE5" w:rsidRPr="009263D7" w:rsidRDefault="007C0AE5" w:rsidP="00181995">
            <w:pPr>
              <w:keepNext/>
              <w:keepLines/>
              <w:tabs>
                <w:tab w:val="num" w:pos="1440"/>
              </w:tabs>
              <w:spacing w:before="260" w:after="260" w:line="240" w:lineRule="exact"/>
              <w:ind w:left="1080" w:hanging="720"/>
              <w:outlineLvl w:val="2"/>
              <w:rPr>
                <w:rFonts w:ascii="宋体"/>
                <w:color w:val="000000" w:themeColor="text1"/>
                <w:sz w:val="18"/>
              </w:rPr>
            </w:pPr>
          </w:p>
        </w:tc>
      </w:tr>
    </w:tbl>
    <w:p w:rsidR="00181995" w:rsidRPr="009263D7" w:rsidRDefault="00181995" w:rsidP="00181995">
      <w:pPr>
        <w:rPr>
          <w:color w:val="000000" w:themeColor="text1"/>
        </w:rPr>
      </w:pPr>
    </w:p>
    <w:p w:rsidR="00181995" w:rsidRPr="009263D7" w:rsidRDefault="00181995" w:rsidP="00955BA3">
      <w:pPr>
        <w:spacing w:line="280" w:lineRule="exact"/>
        <w:rPr>
          <w:color w:val="000000" w:themeColor="text1"/>
          <w:sz w:val="32"/>
        </w:rPr>
        <w:sectPr w:rsidR="00181995" w:rsidRPr="009263D7" w:rsidSect="00B154A0">
          <w:pgSz w:w="11907" w:h="16840" w:code="9"/>
          <w:pgMar w:top="1418" w:right="1247" w:bottom="1247" w:left="1247" w:header="851" w:footer="992" w:gutter="0"/>
          <w:cols w:space="425"/>
          <w:titlePg/>
          <w:docGrid w:type="lines" w:linePitch="312"/>
        </w:sectPr>
      </w:pPr>
    </w:p>
    <w:p w:rsidR="00C13B94" w:rsidRPr="009263D7" w:rsidRDefault="00C13B94" w:rsidP="00C13B94">
      <w:pPr>
        <w:rPr>
          <w:color w:val="000000" w:themeColor="text1"/>
        </w:rPr>
      </w:pPr>
    </w:p>
    <w:p w:rsidR="00C13B94" w:rsidRPr="009263D7" w:rsidRDefault="00CB4B9E" w:rsidP="0070192E">
      <w:pPr>
        <w:pStyle w:val="3"/>
        <w:jc w:val="center"/>
        <w:rPr>
          <w:rFonts w:asciiTheme="majorEastAsia" w:eastAsiaTheme="majorEastAsia" w:hAnsiTheme="majorEastAsia"/>
          <w:color w:val="000000" w:themeColor="text1"/>
          <w:sz w:val="28"/>
          <w:szCs w:val="28"/>
        </w:rPr>
      </w:pPr>
      <w:bookmarkStart w:id="14" w:name="_Toc452017126"/>
      <w:r w:rsidRPr="00CB4B9E">
        <w:rPr>
          <w:rFonts w:asciiTheme="majorEastAsia" w:eastAsiaTheme="majorEastAsia" w:hAnsiTheme="majorEastAsia" w:hint="eastAsia"/>
          <w:b w:val="0"/>
          <w:color w:val="000000" w:themeColor="text1"/>
          <w:kern w:val="0"/>
          <w:sz w:val="28"/>
          <w:szCs w:val="28"/>
        </w:rPr>
        <w:t>外国来华直接投资</w:t>
      </w:r>
      <w:r w:rsidRPr="00CB4B9E">
        <w:rPr>
          <w:rFonts w:ascii="宋体" w:hAnsi="宋体" w:hint="eastAsia"/>
          <w:b w:val="0"/>
          <w:color w:val="000000" w:themeColor="text1"/>
          <w:kern w:val="0"/>
          <w:sz w:val="28"/>
          <w:szCs w:val="28"/>
        </w:rPr>
        <w:t>（资产负债及利润）</w:t>
      </w:r>
      <w:bookmarkEnd w:id="14"/>
    </w:p>
    <w:p w:rsidR="003E7D8F" w:rsidRPr="009263D7" w:rsidRDefault="003E7D8F" w:rsidP="00231BCD">
      <w:pPr>
        <w:spacing w:line="240" w:lineRule="exact"/>
        <w:ind w:firstLineChars="3850" w:firstLine="6930"/>
        <w:rPr>
          <w:color w:val="000000" w:themeColor="text1"/>
          <w:sz w:val="18"/>
        </w:rPr>
      </w:pPr>
    </w:p>
    <w:p w:rsidR="003E7D8F" w:rsidRPr="009263D7" w:rsidRDefault="003E7D8F" w:rsidP="00231BCD">
      <w:pPr>
        <w:spacing w:line="240" w:lineRule="exact"/>
        <w:ind w:firstLineChars="3850" w:firstLine="6930"/>
        <w:rPr>
          <w:color w:val="000000" w:themeColor="text1"/>
          <w:sz w:val="18"/>
        </w:rPr>
      </w:pPr>
    </w:p>
    <w:p w:rsidR="00231BCD" w:rsidRPr="009263D7" w:rsidRDefault="00CB4B9E" w:rsidP="00231BCD">
      <w:pPr>
        <w:spacing w:line="240" w:lineRule="exact"/>
        <w:ind w:firstLineChars="3850" w:firstLine="6930"/>
        <w:rPr>
          <w:color w:val="000000" w:themeColor="text1"/>
          <w:sz w:val="1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olor w:val="000000" w:themeColor="text1"/>
          <w:sz w:val="18"/>
        </w:rPr>
        <w:t>A02-1</w:t>
      </w:r>
      <w:r w:rsidRPr="00CB4B9E">
        <w:rPr>
          <w:rFonts w:ascii="宋体" w:hAnsi="宋体" w:cs="宋体" w:hint="eastAsia"/>
          <w:color w:val="000000" w:themeColor="text1"/>
          <w:kern w:val="0"/>
          <w:sz w:val="18"/>
          <w:szCs w:val="18"/>
        </w:rPr>
        <w:t>表</w:t>
      </w:r>
    </w:p>
    <w:p w:rsidR="00231BCD" w:rsidRPr="009263D7" w:rsidRDefault="00CB4B9E" w:rsidP="00231BCD">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231BCD" w:rsidRPr="009263D7" w:rsidRDefault="00CB4B9E" w:rsidP="004942F5">
      <w:pPr>
        <w:spacing w:line="240" w:lineRule="exact"/>
        <w:ind w:rightChars="-40" w:right="-84"/>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w:t>
      </w:r>
      <w:r w:rsidRPr="00CB4B9E">
        <w:rPr>
          <w:color w:val="000000" w:themeColor="text1"/>
          <w:sz w:val="18"/>
        </w:rPr>
        <w:t xml:space="preserve"> </w:t>
      </w:r>
      <w:r w:rsidRPr="00CB4B9E">
        <w:rPr>
          <w:rFonts w:hint="eastAsia"/>
          <w:color w:val="000000" w:themeColor="text1"/>
          <w:sz w:val="18"/>
        </w:rPr>
        <w:t>家</w:t>
      </w:r>
      <w:r w:rsidRPr="00CB4B9E">
        <w:rPr>
          <w:color w:val="000000" w:themeColor="text1"/>
          <w:sz w:val="18"/>
        </w:rPr>
        <w:t xml:space="preserve"> </w:t>
      </w:r>
      <w:r w:rsidRPr="00CB4B9E">
        <w:rPr>
          <w:rFonts w:hint="eastAsia"/>
          <w:color w:val="000000" w:themeColor="text1"/>
          <w:sz w:val="18"/>
        </w:rPr>
        <w:t>统</w:t>
      </w:r>
      <w:r w:rsidRPr="00CB4B9E">
        <w:rPr>
          <w:color w:val="000000" w:themeColor="text1"/>
          <w:sz w:val="18"/>
        </w:rPr>
        <w:t xml:space="preserve"> </w:t>
      </w:r>
      <w:r w:rsidRPr="00CB4B9E">
        <w:rPr>
          <w:rFonts w:hint="eastAsia"/>
          <w:color w:val="000000" w:themeColor="text1"/>
          <w:sz w:val="18"/>
        </w:rPr>
        <w:t>计</w:t>
      </w:r>
      <w:r w:rsidRPr="00CB4B9E">
        <w:rPr>
          <w:color w:val="000000" w:themeColor="text1"/>
          <w:sz w:val="18"/>
        </w:rPr>
        <w:t xml:space="preserve"> </w:t>
      </w:r>
      <w:r w:rsidRPr="00CB4B9E">
        <w:rPr>
          <w:rFonts w:hint="eastAsia"/>
          <w:color w:val="000000" w:themeColor="text1"/>
          <w:sz w:val="18"/>
        </w:rPr>
        <w:t>局</w:t>
      </w:r>
    </w:p>
    <w:p w:rsidR="00231BCD" w:rsidRPr="009263D7" w:rsidRDefault="00CB4B9E" w:rsidP="00231BCD">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231BCD" w:rsidRPr="009263D7" w:rsidRDefault="00CB4B9E" w:rsidP="00231BCD">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231BCD" w:rsidRPr="009263D7" w:rsidRDefault="00CB4B9E" w:rsidP="009F56E8">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231BCD" w:rsidRPr="009263D7" w:rsidRDefault="00CB4B9E" w:rsidP="00231BCD">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r w:rsidRPr="00CB4B9E">
        <w:rPr>
          <w:color w:val="000000" w:themeColor="text1"/>
          <w:sz w:val="18"/>
        </w:rPr>
        <w:t>1</w:t>
      </w:r>
      <w:r w:rsidRPr="00CB4B9E">
        <w:rPr>
          <w:rFonts w:hint="eastAsia"/>
          <w:color w:val="000000" w:themeColor="text1"/>
          <w:sz w:val="18"/>
        </w:rPr>
        <w:t>股，</w:t>
      </w:r>
      <w:r w:rsidRPr="00CB4B9E">
        <w:rPr>
          <w:color w:val="000000" w:themeColor="text1"/>
          <w:sz w:val="18"/>
        </w:rPr>
        <w:t>1</w:t>
      </w:r>
      <w:r w:rsidRPr="00CB4B9E">
        <w:rPr>
          <w:rFonts w:hint="eastAsia"/>
          <w:color w:val="000000" w:themeColor="text1"/>
          <w:sz w:val="18"/>
        </w:rPr>
        <w:t>份，</w:t>
      </w:r>
      <w:r w:rsidRPr="00CB4B9E">
        <w:rPr>
          <w:color w:val="000000" w:themeColor="text1"/>
          <w:sz w:val="18"/>
        </w:rPr>
        <w:t>%</w:t>
      </w:r>
    </w:p>
    <w:tbl>
      <w:tblPr>
        <w:tblW w:w="5461" w:type="pct"/>
        <w:tblLayout w:type="fixed"/>
        <w:tblLook w:val="0000"/>
      </w:tblPr>
      <w:tblGrid>
        <w:gridCol w:w="666"/>
        <w:gridCol w:w="784"/>
        <w:gridCol w:w="501"/>
        <w:gridCol w:w="168"/>
        <w:gridCol w:w="1108"/>
        <w:gridCol w:w="425"/>
        <w:gridCol w:w="425"/>
        <w:gridCol w:w="993"/>
        <w:gridCol w:w="271"/>
        <w:gridCol w:w="867"/>
        <w:gridCol w:w="705"/>
        <w:gridCol w:w="288"/>
        <w:gridCol w:w="423"/>
        <w:gridCol w:w="423"/>
        <w:gridCol w:w="715"/>
        <w:gridCol w:w="850"/>
        <w:gridCol w:w="526"/>
        <w:gridCol w:w="379"/>
      </w:tblGrid>
      <w:tr w:rsidR="00231BCD" w:rsidRPr="009263D7" w:rsidTr="00124CBF">
        <w:trPr>
          <w:gridAfter w:val="2"/>
          <w:wAfter w:w="430" w:type="pct"/>
          <w:trHeight w:val="284"/>
        </w:trPr>
        <w:tc>
          <w:tcPr>
            <w:tcW w:w="4570" w:type="pct"/>
            <w:gridSpan w:val="16"/>
            <w:tcBorders>
              <w:top w:val="single" w:sz="8" w:space="0" w:color="auto"/>
              <w:left w:val="nil"/>
              <w:bottom w:val="single" w:sz="2" w:space="0" w:color="auto"/>
              <w:right w:val="nil"/>
            </w:tcBorders>
            <w:shd w:val="clear" w:color="auto" w:fill="auto"/>
            <w:vAlign w:val="center"/>
          </w:tcPr>
          <w:p w:rsidR="00231BCD" w:rsidRPr="009263D7" w:rsidRDefault="00CB4B9E" w:rsidP="001B0DF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本机构合并资产负债及利润情况（月度）</w:t>
            </w:r>
          </w:p>
        </w:tc>
      </w:tr>
      <w:tr w:rsidR="00A2222A" w:rsidRPr="009263D7" w:rsidTr="00124CBF">
        <w:trPr>
          <w:gridAfter w:val="2"/>
          <w:wAfter w:w="430" w:type="pct"/>
          <w:trHeight w:val="284"/>
        </w:trPr>
        <w:tc>
          <w:tcPr>
            <w:tcW w:w="317" w:type="pct"/>
            <w:vMerge w:val="restart"/>
            <w:tcBorders>
              <w:top w:val="single" w:sz="2" w:space="0" w:color="auto"/>
              <w:left w:val="nil"/>
              <w:right w:val="single" w:sz="2" w:space="0" w:color="auto"/>
            </w:tcBorders>
            <w:shd w:val="clear" w:color="auto" w:fill="auto"/>
            <w:vAlign w:val="center"/>
          </w:tcPr>
          <w:p w:rsidR="00FA79CB" w:rsidRPr="009263D7" w:rsidRDefault="00CB4B9E" w:rsidP="007E22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期末会计记账币种（原币）</w:t>
            </w:r>
          </w:p>
          <w:p w:rsidR="00FA79CB" w:rsidRPr="009263D7" w:rsidRDefault="00CB4B9E" w:rsidP="007E22FC">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A0201</w:t>
            </w:r>
          </w:p>
        </w:tc>
        <w:tc>
          <w:tcPr>
            <w:tcW w:w="373" w:type="pct"/>
            <w:vMerge w:val="restart"/>
            <w:tcBorders>
              <w:top w:val="single" w:sz="2" w:space="0" w:color="auto"/>
              <w:left w:val="single" w:sz="2" w:space="0" w:color="auto"/>
              <w:right w:val="single" w:sz="2" w:space="0" w:color="auto"/>
            </w:tcBorders>
            <w:shd w:val="clear" w:color="auto" w:fill="auto"/>
            <w:vAlign w:val="center"/>
          </w:tcPr>
          <w:p w:rsidR="00E371AE" w:rsidRPr="009263D7" w:rsidRDefault="00E371AE" w:rsidP="004C48FD">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4C48FD">
            <w:pPr>
              <w:keepNext/>
              <w:spacing w:line="320" w:lineRule="exact"/>
              <w:jc w:val="center"/>
              <w:outlineLvl w:val="0"/>
              <w:rPr>
                <w:rFonts w:ascii="宋体" w:hAnsi="宋体" w:cs="宋体"/>
                <w:color w:val="000000" w:themeColor="text1"/>
                <w:kern w:val="0"/>
                <w:sz w:val="18"/>
                <w:szCs w:val="18"/>
              </w:rPr>
            </w:pPr>
          </w:p>
          <w:p w:rsidR="0035038B" w:rsidRDefault="0035038B" w:rsidP="0035038B">
            <w:pPr>
              <w:ind w:firstLineChars="50" w:firstLine="90"/>
              <w:rPr>
                <w:rFonts w:ascii="宋体" w:hAnsi="宋体" w:cs="宋体"/>
                <w:color w:val="000000" w:themeColor="text1"/>
                <w:kern w:val="0"/>
                <w:sz w:val="18"/>
                <w:szCs w:val="18"/>
              </w:rPr>
            </w:pPr>
            <w:r w:rsidRPr="00595A67">
              <w:rPr>
                <w:rFonts w:ascii="宋体" w:hAnsi="宋体" w:cs="宋体" w:hint="eastAsia"/>
                <w:color w:val="000000" w:themeColor="text1"/>
                <w:kern w:val="0"/>
                <w:sz w:val="18"/>
                <w:szCs w:val="18"/>
              </w:rPr>
              <w:t>期末</w:t>
            </w:r>
          </w:p>
          <w:p w:rsidR="0035038B" w:rsidRPr="009263D7" w:rsidRDefault="0035038B" w:rsidP="0035038B">
            <w:pPr>
              <w:jc w:val="center"/>
              <w:rPr>
                <w:rFonts w:ascii="宋体" w:hAnsi="宋体" w:cs="宋体"/>
                <w:color w:val="000000" w:themeColor="text1"/>
                <w:kern w:val="0"/>
                <w:sz w:val="18"/>
                <w:szCs w:val="18"/>
              </w:rPr>
            </w:pPr>
            <w:r w:rsidRPr="00595A67">
              <w:rPr>
                <w:rFonts w:ascii="宋体" w:hAnsi="宋体" w:cs="宋体" w:hint="eastAsia"/>
                <w:color w:val="000000" w:themeColor="text1"/>
                <w:kern w:val="0"/>
                <w:sz w:val="18"/>
                <w:szCs w:val="18"/>
              </w:rPr>
              <w:t>资产</w:t>
            </w:r>
          </w:p>
          <w:p w:rsidR="00E371AE" w:rsidRPr="009263D7" w:rsidRDefault="00E371AE" w:rsidP="004C48FD">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4C48FD">
            <w:pPr>
              <w:keepNext/>
              <w:spacing w:line="320" w:lineRule="exact"/>
              <w:jc w:val="center"/>
              <w:outlineLvl w:val="0"/>
              <w:rPr>
                <w:rFonts w:ascii="宋体" w:hAnsi="宋体" w:cs="宋体"/>
                <w:color w:val="000000" w:themeColor="text1"/>
                <w:kern w:val="0"/>
                <w:sz w:val="18"/>
                <w:szCs w:val="18"/>
              </w:rPr>
            </w:pPr>
          </w:p>
          <w:p w:rsidR="00FA79CB" w:rsidRPr="009263D7" w:rsidRDefault="00CB4B9E" w:rsidP="004C48FD">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A0202</w:t>
            </w:r>
          </w:p>
        </w:tc>
        <w:tc>
          <w:tcPr>
            <w:tcW w:w="845" w:type="pct"/>
            <w:gridSpan w:val="3"/>
            <w:tcBorders>
              <w:top w:val="single" w:sz="2" w:space="0" w:color="auto"/>
              <w:left w:val="single" w:sz="2" w:space="0" w:color="auto"/>
              <w:right w:val="single" w:sz="2" w:space="0" w:color="auto"/>
            </w:tcBorders>
            <w:shd w:val="clear" w:color="auto" w:fill="auto"/>
            <w:vAlign w:val="center"/>
          </w:tcPr>
          <w:p w:rsidR="00FA79CB" w:rsidRPr="009263D7" w:rsidRDefault="00CB4B9E" w:rsidP="004C48F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期末负债</w:t>
            </w:r>
          </w:p>
        </w:tc>
        <w:tc>
          <w:tcPr>
            <w:tcW w:w="2631" w:type="pct"/>
            <w:gridSpan w:val="10"/>
            <w:tcBorders>
              <w:top w:val="single" w:sz="2" w:space="0" w:color="auto"/>
              <w:left w:val="single" w:sz="2" w:space="0" w:color="auto"/>
              <w:right w:val="single" w:sz="2" w:space="0" w:color="auto"/>
            </w:tcBorders>
            <w:shd w:val="clear" w:color="auto" w:fill="auto"/>
            <w:vAlign w:val="center"/>
          </w:tcPr>
          <w:p w:rsidR="00FA79CB" w:rsidRPr="009263D7" w:rsidRDefault="00CB4B9E" w:rsidP="004425E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期末归属于本机构全体股东的权益（总额）</w:t>
            </w:r>
          </w:p>
        </w:tc>
        <w:tc>
          <w:tcPr>
            <w:tcW w:w="404" w:type="pct"/>
            <w:vMerge w:val="restart"/>
            <w:tcBorders>
              <w:top w:val="single" w:sz="2" w:space="0" w:color="auto"/>
              <w:left w:val="single" w:sz="2" w:space="0" w:color="auto"/>
            </w:tcBorders>
            <w:shd w:val="clear" w:color="auto" w:fill="auto"/>
            <w:vAlign w:val="center"/>
          </w:tcPr>
          <w:p w:rsidR="00E371AE" w:rsidRPr="009263D7" w:rsidRDefault="00E371AE" w:rsidP="002D5647">
            <w:pPr>
              <w:keepNext/>
              <w:spacing w:line="320" w:lineRule="exact"/>
              <w:jc w:val="center"/>
              <w:outlineLvl w:val="0"/>
              <w:rPr>
                <w:rFonts w:ascii="宋体" w:hAnsi="宋体" w:cs="宋体"/>
                <w:color w:val="000000" w:themeColor="text1"/>
                <w:kern w:val="0"/>
                <w:sz w:val="18"/>
                <w:szCs w:val="18"/>
              </w:rPr>
            </w:pPr>
          </w:p>
          <w:p w:rsidR="0035038B" w:rsidRPr="009263D7" w:rsidRDefault="0035038B" w:rsidP="0035038B">
            <w:pPr>
              <w:jc w:val="center"/>
              <w:rPr>
                <w:rFonts w:ascii="宋体" w:hAnsi="宋体" w:cs="宋体"/>
                <w:color w:val="000000" w:themeColor="text1"/>
                <w:kern w:val="0"/>
                <w:sz w:val="18"/>
                <w:szCs w:val="18"/>
              </w:rPr>
            </w:pPr>
            <w:r w:rsidRPr="00595A67">
              <w:rPr>
                <w:rFonts w:ascii="宋体" w:hAnsi="宋体" w:cs="宋体" w:hint="eastAsia"/>
                <w:color w:val="000000" w:themeColor="text1"/>
                <w:kern w:val="0"/>
                <w:sz w:val="18"/>
                <w:szCs w:val="18"/>
              </w:rPr>
              <w:t>期末少数股东权益</w:t>
            </w:r>
          </w:p>
          <w:p w:rsidR="00E371AE" w:rsidRPr="009263D7" w:rsidRDefault="00E371AE" w:rsidP="002D5647">
            <w:pPr>
              <w:keepNext/>
              <w:spacing w:line="320" w:lineRule="exact"/>
              <w:jc w:val="center"/>
              <w:outlineLvl w:val="0"/>
              <w:rPr>
                <w:rFonts w:ascii="宋体" w:hAnsi="宋体" w:cs="宋体"/>
                <w:color w:val="000000" w:themeColor="text1"/>
                <w:kern w:val="0"/>
                <w:sz w:val="18"/>
                <w:szCs w:val="18"/>
              </w:rPr>
            </w:pPr>
          </w:p>
          <w:p w:rsidR="00A2222A" w:rsidRPr="009263D7" w:rsidRDefault="00A2222A" w:rsidP="002D5647">
            <w:pPr>
              <w:keepNext/>
              <w:spacing w:line="320" w:lineRule="exact"/>
              <w:jc w:val="center"/>
              <w:outlineLvl w:val="0"/>
              <w:rPr>
                <w:rFonts w:ascii="宋体" w:hAnsi="宋体" w:cs="宋体"/>
                <w:color w:val="000000" w:themeColor="text1"/>
                <w:kern w:val="0"/>
                <w:sz w:val="18"/>
                <w:szCs w:val="18"/>
              </w:rPr>
            </w:pPr>
          </w:p>
          <w:p w:rsidR="00FA79CB"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A0211</w:t>
            </w:r>
          </w:p>
        </w:tc>
      </w:tr>
      <w:tr w:rsidR="00A2222A" w:rsidRPr="009263D7" w:rsidTr="00124CBF">
        <w:trPr>
          <w:gridAfter w:val="2"/>
          <w:wAfter w:w="430" w:type="pct"/>
          <w:trHeight w:val="1286"/>
        </w:trPr>
        <w:tc>
          <w:tcPr>
            <w:tcW w:w="317" w:type="pct"/>
            <w:vMerge/>
            <w:tcBorders>
              <w:top w:val="single" w:sz="4" w:space="0" w:color="auto"/>
              <w:left w:val="nil"/>
              <w:bottom w:val="single" w:sz="2" w:space="0" w:color="auto"/>
              <w:right w:val="single" w:sz="2" w:space="0" w:color="auto"/>
            </w:tcBorders>
            <w:shd w:val="clear" w:color="auto" w:fill="auto"/>
            <w:vAlign w:val="center"/>
          </w:tcPr>
          <w:p w:rsidR="00D01A27" w:rsidRPr="009263D7" w:rsidRDefault="00D01A27" w:rsidP="004C48FD">
            <w:pPr>
              <w:keepNext/>
              <w:spacing w:line="320" w:lineRule="exact"/>
              <w:jc w:val="left"/>
              <w:outlineLvl w:val="0"/>
              <w:rPr>
                <w:rFonts w:ascii="宋体" w:hAnsi="宋体" w:cs="宋体"/>
                <w:color w:val="000000" w:themeColor="text1"/>
                <w:kern w:val="0"/>
                <w:sz w:val="18"/>
                <w:szCs w:val="18"/>
              </w:rPr>
            </w:pPr>
          </w:p>
        </w:tc>
        <w:tc>
          <w:tcPr>
            <w:tcW w:w="373" w:type="pct"/>
            <w:vMerge/>
            <w:tcBorders>
              <w:top w:val="single" w:sz="4" w:space="0" w:color="auto"/>
              <w:left w:val="single" w:sz="2" w:space="0" w:color="auto"/>
              <w:bottom w:val="single" w:sz="2" w:space="0" w:color="auto"/>
              <w:right w:val="single" w:sz="2" w:space="0" w:color="auto"/>
            </w:tcBorders>
            <w:shd w:val="clear" w:color="auto" w:fill="auto"/>
            <w:vAlign w:val="center"/>
          </w:tcPr>
          <w:p w:rsidR="00D01A27" w:rsidRPr="009263D7" w:rsidRDefault="00D01A27" w:rsidP="004C48FD">
            <w:pPr>
              <w:keepNext/>
              <w:widowControl/>
              <w:spacing w:line="320" w:lineRule="exact"/>
              <w:jc w:val="center"/>
              <w:outlineLvl w:val="0"/>
              <w:rPr>
                <w:rFonts w:ascii="宋体" w:hAnsi="宋体" w:cs="宋体"/>
                <w:color w:val="000000" w:themeColor="text1"/>
                <w:kern w:val="0"/>
                <w:sz w:val="18"/>
                <w:szCs w:val="18"/>
              </w:rPr>
            </w:pPr>
          </w:p>
        </w:tc>
        <w:tc>
          <w:tcPr>
            <w:tcW w:w="318" w:type="pct"/>
            <w:gridSpan w:val="2"/>
            <w:tcBorders>
              <w:left w:val="single" w:sz="2" w:space="0" w:color="auto"/>
              <w:bottom w:val="single" w:sz="2" w:space="0" w:color="auto"/>
              <w:right w:val="single" w:sz="2" w:space="0" w:color="auto"/>
            </w:tcBorders>
            <w:shd w:val="clear" w:color="auto" w:fill="auto"/>
            <w:vAlign w:val="center"/>
          </w:tcPr>
          <w:p w:rsidR="00D01A27" w:rsidRPr="009263D7" w:rsidRDefault="00D01A27" w:rsidP="004C48FD">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4C48FD">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4C48FD">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4C48FD">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4C48FD">
            <w:pPr>
              <w:keepNext/>
              <w:spacing w:line="320" w:lineRule="exact"/>
              <w:jc w:val="center"/>
              <w:outlineLvl w:val="0"/>
              <w:rPr>
                <w:rFonts w:ascii="宋体" w:hAnsi="宋体" w:cs="宋体"/>
                <w:color w:val="000000" w:themeColor="text1"/>
                <w:kern w:val="0"/>
                <w:sz w:val="18"/>
                <w:szCs w:val="18"/>
              </w:rPr>
            </w:pPr>
          </w:p>
          <w:p w:rsidR="00D01A27" w:rsidRPr="009263D7" w:rsidRDefault="00CB4B9E" w:rsidP="004C48FD">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A0203</w:t>
            </w:r>
          </w:p>
        </w:tc>
        <w:tc>
          <w:tcPr>
            <w:tcW w:w="527" w:type="pct"/>
            <w:tcBorders>
              <w:top w:val="single" w:sz="2" w:space="0" w:color="auto"/>
              <w:left w:val="single" w:sz="2" w:space="0" w:color="auto"/>
              <w:bottom w:val="single" w:sz="2" w:space="0" w:color="auto"/>
              <w:right w:val="single" w:sz="2" w:space="0" w:color="auto"/>
            </w:tcBorders>
            <w:shd w:val="clear" w:color="auto" w:fill="auto"/>
            <w:vAlign w:val="center"/>
          </w:tcPr>
          <w:p w:rsidR="00E371AE"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境外母公司拨付的营运资金</w:t>
            </w:r>
          </w:p>
          <w:p w:rsidR="00E371AE" w:rsidRPr="009263D7" w:rsidRDefault="00E371AE" w:rsidP="004C48FD">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4C48FD">
            <w:pPr>
              <w:keepNext/>
              <w:widowControl/>
              <w:spacing w:line="320" w:lineRule="exact"/>
              <w:jc w:val="center"/>
              <w:outlineLvl w:val="0"/>
              <w:rPr>
                <w:rFonts w:ascii="宋体" w:hAnsi="宋体" w:cs="宋体"/>
                <w:color w:val="000000" w:themeColor="text1"/>
                <w:kern w:val="0"/>
                <w:sz w:val="18"/>
                <w:szCs w:val="18"/>
              </w:rPr>
            </w:pPr>
          </w:p>
          <w:p w:rsidR="00D01A27"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A0204</w:t>
            </w:r>
          </w:p>
        </w:tc>
        <w:tc>
          <w:tcPr>
            <w:tcW w:w="404" w:type="pct"/>
            <w:gridSpan w:val="2"/>
            <w:tcBorders>
              <w:left w:val="single" w:sz="2" w:space="0" w:color="auto"/>
              <w:bottom w:val="single" w:sz="2" w:space="0" w:color="auto"/>
              <w:right w:val="single" w:sz="2" w:space="0" w:color="auto"/>
            </w:tcBorders>
            <w:shd w:val="clear" w:color="auto" w:fill="auto"/>
            <w:vAlign w:val="center"/>
          </w:tcPr>
          <w:p w:rsidR="00E371AE" w:rsidRPr="009263D7" w:rsidRDefault="00E371AE" w:rsidP="00FA79CB">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FA79CB">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FA79CB">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FA79CB">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FA79CB">
            <w:pPr>
              <w:keepNext/>
              <w:widowControl/>
              <w:spacing w:line="320" w:lineRule="exact"/>
              <w:jc w:val="center"/>
              <w:outlineLvl w:val="0"/>
              <w:rPr>
                <w:rFonts w:ascii="宋体" w:hAnsi="宋体" w:cs="宋体"/>
                <w:color w:val="000000" w:themeColor="text1"/>
                <w:kern w:val="0"/>
                <w:sz w:val="18"/>
                <w:szCs w:val="18"/>
              </w:rPr>
            </w:pPr>
          </w:p>
          <w:p w:rsidR="00D01A27" w:rsidRPr="009263D7" w:rsidRDefault="00CB4B9E" w:rsidP="00FA79C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A0205</w:t>
            </w:r>
          </w:p>
        </w:tc>
        <w:tc>
          <w:tcPr>
            <w:tcW w:w="601"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E371AE" w:rsidRPr="009263D7" w:rsidRDefault="00CB4B9E" w:rsidP="002D564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实收资本</w:t>
            </w:r>
            <w:r w:rsidRPr="00CB4B9E">
              <w:rPr>
                <w:rFonts w:ascii="宋体" w:hAnsi="宋体" w:cs="宋体"/>
                <w:color w:val="000000" w:themeColor="text1"/>
                <w:kern w:val="0"/>
                <w:sz w:val="18"/>
                <w:szCs w:val="18"/>
              </w:rPr>
              <w:t xml:space="preserve"> </w:t>
            </w: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D01A27" w:rsidRPr="009263D7" w:rsidRDefault="00CB4B9E" w:rsidP="002D564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A0206</w:t>
            </w:r>
          </w:p>
        </w:tc>
        <w:tc>
          <w:tcPr>
            <w:tcW w:w="412" w:type="pct"/>
            <w:tcBorders>
              <w:top w:val="single" w:sz="2" w:space="0" w:color="auto"/>
              <w:left w:val="single" w:sz="2" w:space="0" w:color="auto"/>
              <w:bottom w:val="single" w:sz="2" w:space="0" w:color="auto"/>
              <w:right w:val="single" w:sz="2" w:space="0" w:color="auto"/>
            </w:tcBorders>
            <w:shd w:val="clear" w:color="auto" w:fill="auto"/>
            <w:vAlign w:val="center"/>
          </w:tcPr>
          <w:p w:rsidR="0035038B" w:rsidRDefault="00CB4B9E" w:rsidP="002D564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资本</w:t>
            </w:r>
          </w:p>
          <w:p w:rsidR="00E371AE" w:rsidRPr="009263D7" w:rsidRDefault="00CB4B9E" w:rsidP="002D564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公积</w:t>
            </w:r>
            <w:r w:rsidRPr="00CB4B9E">
              <w:rPr>
                <w:rFonts w:ascii="宋体" w:hAnsi="宋体" w:cs="宋体"/>
                <w:color w:val="000000" w:themeColor="text1"/>
                <w:kern w:val="0"/>
                <w:sz w:val="18"/>
                <w:szCs w:val="18"/>
              </w:rPr>
              <w:t xml:space="preserve"> </w:t>
            </w: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D01A27" w:rsidRPr="009263D7" w:rsidRDefault="00CB4B9E" w:rsidP="002D564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A0207</w:t>
            </w:r>
          </w:p>
        </w:tc>
        <w:tc>
          <w:tcPr>
            <w:tcW w:w="472"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E371AE" w:rsidRPr="009263D7" w:rsidRDefault="00CB4B9E" w:rsidP="002D564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盈余公积</w:t>
            </w: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widowControl/>
              <w:spacing w:line="320" w:lineRule="exact"/>
              <w:jc w:val="center"/>
              <w:outlineLvl w:val="0"/>
              <w:rPr>
                <w:rFonts w:ascii="宋体" w:hAnsi="宋体" w:cs="宋体"/>
                <w:color w:val="000000" w:themeColor="text1"/>
                <w:kern w:val="0"/>
                <w:sz w:val="18"/>
                <w:szCs w:val="18"/>
              </w:rPr>
            </w:pPr>
          </w:p>
          <w:p w:rsidR="00D01A27" w:rsidRPr="009263D7" w:rsidRDefault="00CB4B9E" w:rsidP="002D564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A0208</w:t>
            </w:r>
          </w:p>
        </w:tc>
        <w:tc>
          <w:tcPr>
            <w:tcW w:w="402" w:type="pct"/>
            <w:gridSpan w:val="2"/>
            <w:tcBorders>
              <w:top w:val="single" w:sz="4" w:space="0" w:color="auto"/>
              <w:left w:val="single" w:sz="2" w:space="0" w:color="auto"/>
              <w:bottom w:val="single" w:sz="2" w:space="0" w:color="auto"/>
              <w:right w:val="single" w:sz="4" w:space="0" w:color="auto"/>
            </w:tcBorders>
            <w:shd w:val="clear" w:color="auto" w:fill="auto"/>
            <w:vAlign w:val="center"/>
          </w:tcPr>
          <w:p w:rsidR="00E371AE" w:rsidRPr="009263D7" w:rsidRDefault="00CB4B9E" w:rsidP="002D5647">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未分配利润</w:t>
            </w:r>
          </w:p>
          <w:p w:rsidR="00E371AE" w:rsidRPr="009263D7" w:rsidRDefault="00E371AE" w:rsidP="002D5647">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spacing w:line="320" w:lineRule="exact"/>
              <w:jc w:val="center"/>
              <w:outlineLvl w:val="0"/>
              <w:rPr>
                <w:rFonts w:ascii="宋体" w:hAnsi="宋体" w:cs="宋体"/>
                <w:color w:val="000000" w:themeColor="text1"/>
                <w:kern w:val="0"/>
                <w:sz w:val="18"/>
                <w:szCs w:val="18"/>
              </w:rPr>
            </w:pPr>
          </w:p>
          <w:p w:rsidR="00A2222A" w:rsidRPr="009263D7" w:rsidRDefault="00A2222A" w:rsidP="002D5647">
            <w:pPr>
              <w:keepNext/>
              <w:spacing w:line="320" w:lineRule="exact"/>
              <w:jc w:val="center"/>
              <w:outlineLvl w:val="0"/>
              <w:rPr>
                <w:rFonts w:ascii="宋体" w:hAnsi="宋体" w:cs="宋体"/>
                <w:color w:val="000000" w:themeColor="text1"/>
                <w:kern w:val="0"/>
                <w:sz w:val="18"/>
                <w:szCs w:val="18"/>
              </w:rPr>
            </w:pPr>
          </w:p>
          <w:p w:rsidR="00D01A27"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A0209</w:t>
            </w:r>
          </w:p>
        </w:tc>
        <w:tc>
          <w:tcPr>
            <w:tcW w:w="340" w:type="pct"/>
            <w:tcBorders>
              <w:top w:val="single" w:sz="4" w:space="0" w:color="auto"/>
              <w:left w:val="single" w:sz="2" w:space="0" w:color="auto"/>
              <w:bottom w:val="single" w:sz="2" w:space="0" w:color="auto"/>
              <w:right w:val="single" w:sz="4" w:space="0" w:color="auto"/>
            </w:tcBorders>
            <w:shd w:val="clear" w:color="auto" w:fill="auto"/>
            <w:vAlign w:val="center"/>
          </w:tcPr>
          <w:p w:rsidR="00D01A27" w:rsidRPr="009263D7" w:rsidRDefault="00CB4B9E" w:rsidP="00953723">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其他</w:t>
            </w:r>
          </w:p>
          <w:p w:rsidR="00E371AE" w:rsidRPr="009263D7" w:rsidRDefault="00E371AE" w:rsidP="002D5647">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spacing w:line="320" w:lineRule="exact"/>
              <w:jc w:val="center"/>
              <w:outlineLvl w:val="0"/>
              <w:rPr>
                <w:rFonts w:ascii="宋体" w:hAnsi="宋体" w:cs="宋体"/>
                <w:color w:val="000000" w:themeColor="text1"/>
                <w:kern w:val="0"/>
                <w:sz w:val="18"/>
                <w:szCs w:val="18"/>
              </w:rPr>
            </w:pPr>
          </w:p>
          <w:p w:rsidR="00E371AE" w:rsidRPr="009263D7" w:rsidRDefault="00E371AE" w:rsidP="002D5647">
            <w:pPr>
              <w:keepNext/>
              <w:spacing w:line="320" w:lineRule="exact"/>
              <w:jc w:val="center"/>
              <w:outlineLvl w:val="0"/>
              <w:rPr>
                <w:rFonts w:ascii="宋体" w:hAnsi="宋体" w:cs="宋体"/>
                <w:color w:val="000000" w:themeColor="text1"/>
                <w:kern w:val="0"/>
                <w:sz w:val="18"/>
                <w:szCs w:val="18"/>
              </w:rPr>
            </w:pPr>
          </w:p>
          <w:p w:rsidR="00D01A27"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A0210</w:t>
            </w:r>
          </w:p>
        </w:tc>
        <w:tc>
          <w:tcPr>
            <w:tcW w:w="404" w:type="pct"/>
            <w:vMerge/>
            <w:tcBorders>
              <w:left w:val="single" w:sz="4" w:space="0" w:color="auto"/>
              <w:bottom w:val="single" w:sz="2" w:space="0" w:color="auto"/>
            </w:tcBorders>
            <w:shd w:val="clear" w:color="auto" w:fill="auto"/>
            <w:vAlign w:val="center"/>
          </w:tcPr>
          <w:p w:rsidR="00D01A27" w:rsidRPr="009263D7" w:rsidRDefault="00D01A27" w:rsidP="00BB318C">
            <w:pPr>
              <w:keepNext/>
              <w:spacing w:line="320" w:lineRule="exact"/>
              <w:jc w:val="center"/>
              <w:outlineLvl w:val="0"/>
              <w:rPr>
                <w:rFonts w:ascii="宋体" w:hAnsi="宋体" w:cs="宋体"/>
                <w:color w:val="000000" w:themeColor="text1"/>
                <w:kern w:val="0"/>
                <w:sz w:val="18"/>
                <w:szCs w:val="18"/>
              </w:rPr>
            </w:pPr>
          </w:p>
        </w:tc>
      </w:tr>
      <w:tr w:rsidR="00A2222A" w:rsidRPr="009263D7" w:rsidTr="00124CBF">
        <w:trPr>
          <w:gridAfter w:val="2"/>
          <w:wAfter w:w="430" w:type="pct"/>
          <w:trHeight w:val="312"/>
        </w:trPr>
        <w:tc>
          <w:tcPr>
            <w:tcW w:w="317" w:type="pct"/>
            <w:tcBorders>
              <w:top w:val="single" w:sz="2" w:space="0" w:color="auto"/>
              <w:left w:val="nil"/>
              <w:bottom w:val="single" w:sz="2" w:space="0" w:color="auto"/>
              <w:right w:val="single" w:sz="2" w:space="0" w:color="auto"/>
            </w:tcBorders>
            <w:shd w:val="clear" w:color="auto" w:fill="auto"/>
            <w:noWrap/>
            <w:vAlign w:val="center"/>
          </w:tcPr>
          <w:p w:rsidR="00FA79CB"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373" w:type="pct"/>
            <w:tcBorders>
              <w:top w:val="single" w:sz="2" w:space="0" w:color="auto"/>
              <w:left w:val="single" w:sz="2" w:space="0" w:color="auto"/>
              <w:bottom w:val="single" w:sz="2" w:space="0" w:color="auto"/>
              <w:right w:val="single" w:sz="2" w:space="0" w:color="auto"/>
            </w:tcBorders>
            <w:shd w:val="clear" w:color="auto" w:fill="auto"/>
            <w:noWrap/>
            <w:vAlign w:val="center"/>
          </w:tcPr>
          <w:p w:rsidR="00FA79CB" w:rsidRPr="009263D7" w:rsidRDefault="00CB4B9E" w:rsidP="00E272E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318" w:type="pct"/>
            <w:gridSpan w:val="2"/>
            <w:tcBorders>
              <w:top w:val="single" w:sz="2" w:space="0" w:color="auto"/>
              <w:left w:val="single" w:sz="2" w:space="0" w:color="auto"/>
              <w:bottom w:val="single" w:sz="2" w:space="0" w:color="auto"/>
              <w:right w:val="single" w:sz="4" w:space="0" w:color="auto"/>
            </w:tcBorders>
            <w:shd w:val="clear" w:color="auto" w:fill="auto"/>
            <w:noWrap/>
            <w:vAlign w:val="center"/>
          </w:tcPr>
          <w:p w:rsidR="00FA79CB" w:rsidRPr="009263D7" w:rsidRDefault="00CB4B9E" w:rsidP="00D01A2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527" w:type="pct"/>
            <w:tcBorders>
              <w:left w:val="single" w:sz="4" w:space="0" w:color="auto"/>
              <w:bottom w:val="single" w:sz="2" w:space="0" w:color="auto"/>
              <w:right w:val="single" w:sz="2" w:space="0" w:color="auto"/>
            </w:tcBorders>
            <w:shd w:val="clear" w:color="auto" w:fill="auto"/>
            <w:vAlign w:val="center"/>
          </w:tcPr>
          <w:p w:rsidR="00FA79CB" w:rsidRPr="009263D7" w:rsidRDefault="00CB4B9E" w:rsidP="004C48FD">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404"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FA79CB"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601"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FA79CB"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412" w:type="pct"/>
            <w:tcBorders>
              <w:top w:val="single" w:sz="2" w:space="0" w:color="auto"/>
              <w:left w:val="single" w:sz="2" w:space="0" w:color="auto"/>
              <w:bottom w:val="single" w:sz="2" w:space="0" w:color="auto"/>
              <w:right w:val="single" w:sz="2" w:space="0" w:color="auto"/>
            </w:tcBorders>
            <w:shd w:val="clear" w:color="auto" w:fill="auto"/>
            <w:noWrap/>
            <w:vAlign w:val="center"/>
          </w:tcPr>
          <w:p w:rsidR="00FA79CB"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472"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FA79CB" w:rsidRPr="009263D7" w:rsidRDefault="00CB4B9E" w:rsidP="00E8117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402" w:type="pct"/>
            <w:gridSpan w:val="2"/>
            <w:tcBorders>
              <w:top w:val="single" w:sz="2" w:space="0" w:color="auto"/>
              <w:left w:val="single" w:sz="2" w:space="0" w:color="auto"/>
              <w:bottom w:val="single" w:sz="2" w:space="0" w:color="auto"/>
              <w:right w:val="single" w:sz="4" w:space="0" w:color="auto"/>
            </w:tcBorders>
            <w:shd w:val="clear" w:color="auto" w:fill="auto"/>
            <w:noWrap/>
            <w:vAlign w:val="center"/>
          </w:tcPr>
          <w:p w:rsidR="00FA79CB"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340" w:type="pct"/>
            <w:tcBorders>
              <w:top w:val="single" w:sz="2" w:space="0" w:color="auto"/>
              <w:left w:val="single" w:sz="2" w:space="0" w:color="auto"/>
              <w:bottom w:val="single" w:sz="2" w:space="0" w:color="auto"/>
              <w:right w:val="single" w:sz="4" w:space="0" w:color="auto"/>
            </w:tcBorders>
            <w:shd w:val="clear" w:color="auto" w:fill="auto"/>
            <w:vAlign w:val="center"/>
          </w:tcPr>
          <w:p w:rsidR="00FA79CB"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c>
          <w:tcPr>
            <w:tcW w:w="404" w:type="pct"/>
            <w:tcBorders>
              <w:top w:val="single" w:sz="2" w:space="0" w:color="auto"/>
              <w:left w:val="single" w:sz="4" w:space="0" w:color="auto"/>
              <w:bottom w:val="single" w:sz="2" w:space="0" w:color="auto"/>
            </w:tcBorders>
            <w:shd w:val="clear" w:color="auto" w:fill="auto"/>
            <w:vAlign w:val="center"/>
          </w:tcPr>
          <w:p w:rsidR="00FA79CB" w:rsidRPr="009263D7" w:rsidRDefault="00CB4B9E" w:rsidP="004C48F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w:t>
            </w:r>
          </w:p>
        </w:tc>
      </w:tr>
      <w:tr w:rsidR="00A2222A" w:rsidRPr="009263D7" w:rsidTr="00124CBF">
        <w:trPr>
          <w:gridAfter w:val="2"/>
          <w:wAfter w:w="430" w:type="pct"/>
          <w:trHeight w:val="312"/>
        </w:trPr>
        <w:tc>
          <w:tcPr>
            <w:tcW w:w="317" w:type="pct"/>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c>
          <w:tcPr>
            <w:tcW w:w="373" w:type="pct"/>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c>
          <w:tcPr>
            <w:tcW w:w="845" w:type="pct"/>
            <w:gridSpan w:val="3"/>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c>
          <w:tcPr>
            <w:tcW w:w="404" w:type="pct"/>
            <w:gridSpan w:val="2"/>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c>
          <w:tcPr>
            <w:tcW w:w="601" w:type="pct"/>
            <w:gridSpan w:val="2"/>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c>
          <w:tcPr>
            <w:tcW w:w="412" w:type="pct"/>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c>
          <w:tcPr>
            <w:tcW w:w="472" w:type="pct"/>
            <w:gridSpan w:val="2"/>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c>
          <w:tcPr>
            <w:tcW w:w="742" w:type="pct"/>
            <w:gridSpan w:val="3"/>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c>
          <w:tcPr>
            <w:tcW w:w="404" w:type="pct"/>
            <w:tcBorders>
              <w:top w:val="single" w:sz="2" w:space="0" w:color="auto"/>
              <w:left w:val="nil"/>
              <w:bottom w:val="nil"/>
              <w:right w:val="nil"/>
            </w:tcBorders>
            <w:shd w:val="clear" w:color="auto" w:fill="auto"/>
            <w:noWrap/>
            <w:vAlign w:val="center"/>
          </w:tcPr>
          <w:p w:rsidR="00FA79CB" w:rsidRPr="009263D7" w:rsidRDefault="00FA79CB" w:rsidP="004C48FD">
            <w:pPr>
              <w:keepNext/>
              <w:widowControl/>
              <w:spacing w:line="320" w:lineRule="exact"/>
              <w:jc w:val="left"/>
              <w:outlineLvl w:val="0"/>
              <w:rPr>
                <w:rFonts w:ascii="宋体" w:hAnsi="宋体" w:cs="宋体"/>
                <w:color w:val="000000" w:themeColor="text1"/>
                <w:kern w:val="0"/>
                <w:sz w:val="18"/>
                <w:szCs w:val="18"/>
              </w:rPr>
            </w:pPr>
          </w:p>
        </w:tc>
      </w:tr>
      <w:tr w:rsidR="00A2222A" w:rsidRPr="009263D7" w:rsidTr="00124CBF">
        <w:trPr>
          <w:gridAfter w:val="2"/>
          <w:wAfter w:w="430" w:type="pct"/>
          <w:trHeight w:val="324"/>
        </w:trPr>
        <w:tc>
          <w:tcPr>
            <w:tcW w:w="317" w:type="pct"/>
            <w:tcBorders>
              <w:top w:val="nil"/>
              <w:left w:val="nil"/>
              <w:bottom w:val="single" w:sz="8" w:space="0" w:color="auto"/>
              <w:right w:val="nil"/>
            </w:tcBorders>
            <w:shd w:val="clear" w:color="auto" w:fill="auto"/>
            <w:noWrap/>
            <w:vAlign w:val="center"/>
          </w:tcPr>
          <w:p w:rsidR="00FA79CB" w:rsidRPr="009263D7" w:rsidRDefault="00CB4B9E" w:rsidP="004C48F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73" w:type="pct"/>
            <w:tcBorders>
              <w:top w:val="nil"/>
              <w:left w:val="nil"/>
              <w:bottom w:val="single" w:sz="8" w:space="0" w:color="auto"/>
              <w:right w:val="nil"/>
            </w:tcBorders>
            <w:shd w:val="clear" w:color="auto" w:fill="auto"/>
            <w:noWrap/>
            <w:vAlign w:val="center"/>
          </w:tcPr>
          <w:p w:rsidR="00FA79CB" w:rsidRPr="009263D7" w:rsidRDefault="00CB4B9E" w:rsidP="004C48F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45" w:type="pct"/>
            <w:gridSpan w:val="3"/>
            <w:tcBorders>
              <w:top w:val="nil"/>
              <w:left w:val="nil"/>
              <w:bottom w:val="single" w:sz="8" w:space="0" w:color="auto"/>
              <w:right w:val="nil"/>
            </w:tcBorders>
            <w:shd w:val="clear" w:color="auto" w:fill="auto"/>
            <w:noWrap/>
            <w:vAlign w:val="center"/>
          </w:tcPr>
          <w:p w:rsidR="00FA79CB" w:rsidRPr="009263D7" w:rsidRDefault="00CB4B9E" w:rsidP="004C48F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04" w:type="pct"/>
            <w:gridSpan w:val="2"/>
            <w:tcBorders>
              <w:top w:val="nil"/>
              <w:left w:val="nil"/>
              <w:bottom w:val="single" w:sz="8" w:space="0" w:color="auto"/>
              <w:right w:val="nil"/>
            </w:tcBorders>
            <w:shd w:val="clear" w:color="auto" w:fill="auto"/>
            <w:noWrap/>
            <w:vAlign w:val="center"/>
          </w:tcPr>
          <w:p w:rsidR="00FA79CB" w:rsidRPr="009263D7" w:rsidRDefault="00CB4B9E" w:rsidP="004C48F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01" w:type="pct"/>
            <w:gridSpan w:val="2"/>
            <w:tcBorders>
              <w:top w:val="nil"/>
              <w:left w:val="nil"/>
              <w:bottom w:val="single" w:sz="8" w:space="0" w:color="auto"/>
              <w:right w:val="nil"/>
            </w:tcBorders>
            <w:shd w:val="clear" w:color="auto" w:fill="auto"/>
            <w:noWrap/>
            <w:vAlign w:val="center"/>
          </w:tcPr>
          <w:p w:rsidR="00FA79CB" w:rsidRPr="009263D7" w:rsidRDefault="00CB4B9E" w:rsidP="004C48F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12" w:type="pct"/>
            <w:tcBorders>
              <w:top w:val="nil"/>
              <w:left w:val="nil"/>
              <w:bottom w:val="single" w:sz="8" w:space="0" w:color="auto"/>
              <w:right w:val="nil"/>
            </w:tcBorders>
            <w:shd w:val="clear" w:color="auto" w:fill="auto"/>
            <w:noWrap/>
            <w:vAlign w:val="center"/>
          </w:tcPr>
          <w:p w:rsidR="00FA79CB" w:rsidRPr="009263D7" w:rsidRDefault="00CB4B9E" w:rsidP="004C48F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72" w:type="pct"/>
            <w:gridSpan w:val="2"/>
            <w:tcBorders>
              <w:top w:val="nil"/>
              <w:left w:val="nil"/>
              <w:bottom w:val="single" w:sz="8" w:space="0" w:color="auto"/>
              <w:right w:val="nil"/>
            </w:tcBorders>
            <w:shd w:val="clear" w:color="auto" w:fill="auto"/>
            <w:noWrap/>
            <w:vAlign w:val="center"/>
          </w:tcPr>
          <w:p w:rsidR="00FA79CB" w:rsidRPr="009263D7" w:rsidRDefault="00CB4B9E" w:rsidP="004C48F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42" w:type="pct"/>
            <w:gridSpan w:val="3"/>
            <w:tcBorders>
              <w:top w:val="nil"/>
              <w:left w:val="nil"/>
              <w:right w:val="nil"/>
            </w:tcBorders>
            <w:shd w:val="clear" w:color="auto" w:fill="auto"/>
            <w:noWrap/>
            <w:vAlign w:val="center"/>
          </w:tcPr>
          <w:p w:rsidR="00FA79CB" w:rsidRPr="009263D7" w:rsidRDefault="00CB4B9E" w:rsidP="004C48F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04" w:type="pct"/>
            <w:tcBorders>
              <w:top w:val="nil"/>
              <w:left w:val="nil"/>
              <w:right w:val="nil"/>
            </w:tcBorders>
            <w:shd w:val="clear" w:color="auto" w:fill="auto"/>
            <w:noWrap/>
            <w:vAlign w:val="center"/>
          </w:tcPr>
          <w:p w:rsidR="00FA79CB" w:rsidRPr="009263D7" w:rsidRDefault="00CB4B9E" w:rsidP="00C13B94">
            <w:pPr>
              <w:widowControl/>
              <w:ind w:rightChars="-646" w:right="-1357"/>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A2222A" w:rsidRPr="009263D7" w:rsidTr="00124CBF">
        <w:trPr>
          <w:gridAfter w:val="2"/>
          <w:wAfter w:w="430" w:type="pct"/>
          <w:trHeight w:val="324"/>
        </w:trPr>
        <w:tc>
          <w:tcPr>
            <w:tcW w:w="4570" w:type="pct"/>
            <w:gridSpan w:val="16"/>
            <w:tcBorders>
              <w:top w:val="single" w:sz="8" w:space="0" w:color="auto"/>
              <w:left w:val="nil"/>
            </w:tcBorders>
            <w:shd w:val="clear" w:color="auto" w:fill="auto"/>
            <w:noWrap/>
            <w:vAlign w:val="center"/>
          </w:tcPr>
          <w:p w:rsidR="00A2222A" w:rsidRPr="009263D7" w:rsidRDefault="00CB4B9E" w:rsidP="00A2222A">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续表　</w:t>
            </w:r>
          </w:p>
        </w:tc>
      </w:tr>
      <w:tr w:rsidR="00A2222A" w:rsidRPr="009263D7" w:rsidTr="00124CBF">
        <w:trPr>
          <w:gridAfter w:val="2"/>
          <w:wAfter w:w="430" w:type="pct"/>
          <w:trHeight w:val="324"/>
        </w:trPr>
        <w:tc>
          <w:tcPr>
            <w:tcW w:w="2410" w:type="pct"/>
            <w:gridSpan w:val="8"/>
            <w:tcBorders>
              <w:top w:val="single" w:sz="8" w:space="0" w:color="auto"/>
              <w:bottom w:val="single" w:sz="2" w:space="0" w:color="auto"/>
              <w:right w:val="single" w:sz="2" w:space="0" w:color="auto"/>
            </w:tcBorders>
            <w:shd w:val="clear" w:color="auto" w:fill="auto"/>
            <w:noWrap/>
            <w:vAlign w:val="center"/>
          </w:tcPr>
          <w:p w:rsidR="004C78B1" w:rsidRPr="009263D7" w:rsidRDefault="004C78B1" w:rsidP="004C48FD">
            <w:pPr>
              <w:widowControl/>
              <w:jc w:val="left"/>
              <w:rPr>
                <w:rFonts w:ascii="宋体" w:hAnsi="宋体" w:cs="宋体"/>
                <w:color w:val="000000" w:themeColor="text1"/>
                <w:kern w:val="0"/>
                <w:sz w:val="18"/>
                <w:szCs w:val="18"/>
              </w:rPr>
            </w:pPr>
          </w:p>
        </w:tc>
        <w:tc>
          <w:tcPr>
            <w:tcW w:w="2159" w:type="pct"/>
            <w:gridSpan w:val="8"/>
            <w:tcBorders>
              <w:top w:val="single" w:sz="8" w:space="0" w:color="auto"/>
              <w:left w:val="single" w:sz="2" w:space="0" w:color="auto"/>
              <w:bottom w:val="single" w:sz="2" w:space="0" w:color="auto"/>
            </w:tcBorders>
            <w:shd w:val="clear" w:color="auto" w:fill="auto"/>
            <w:vAlign w:val="center"/>
          </w:tcPr>
          <w:p w:rsidR="004C78B1" w:rsidRPr="009263D7" w:rsidRDefault="00CB4B9E" w:rsidP="00D54B0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本机构的其他情况（年度）</w:t>
            </w:r>
          </w:p>
        </w:tc>
      </w:tr>
      <w:tr w:rsidR="003354E3" w:rsidRPr="009263D7" w:rsidTr="00124CBF">
        <w:trPr>
          <w:gridAfter w:val="2"/>
          <w:wAfter w:w="430" w:type="pct"/>
          <w:trHeight w:val="231"/>
        </w:trPr>
        <w:tc>
          <w:tcPr>
            <w:tcW w:w="928" w:type="pct"/>
            <w:gridSpan w:val="3"/>
            <w:vMerge w:val="restart"/>
            <w:tcBorders>
              <w:top w:val="single" w:sz="2" w:space="0" w:color="auto"/>
              <w:left w:val="nil"/>
              <w:right w:val="single" w:sz="2" w:space="0" w:color="auto"/>
            </w:tcBorders>
            <w:shd w:val="clear" w:color="auto" w:fill="auto"/>
            <w:vAlign w:val="center"/>
          </w:tcPr>
          <w:p w:rsidR="004C78B1" w:rsidRPr="009263D7" w:rsidRDefault="00CB4B9E" w:rsidP="00713AF3">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本期利润总额</w:t>
            </w:r>
          </w:p>
          <w:p w:rsidR="00A84569" w:rsidRPr="009263D7" w:rsidRDefault="00A84569" w:rsidP="002D5647">
            <w:pPr>
              <w:keepNext/>
              <w:spacing w:line="320" w:lineRule="exact"/>
              <w:jc w:val="center"/>
              <w:outlineLvl w:val="0"/>
              <w:rPr>
                <w:rFonts w:ascii="宋体" w:hAnsi="宋体" w:cs="宋体"/>
                <w:color w:val="000000" w:themeColor="text1"/>
                <w:kern w:val="0"/>
                <w:sz w:val="18"/>
                <w:szCs w:val="18"/>
              </w:rPr>
            </w:pPr>
          </w:p>
          <w:p w:rsidR="00A84569" w:rsidRPr="009263D7" w:rsidRDefault="00A84569" w:rsidP="002D5647">
            <w:pPr>
              <w:keepNext/>
              <w:spacing w:line="320" w:lineRule="exact"/>
              <w:jc w:val="center"/>
              <w:outlineLvl w:val="0"/>
              <w:rPr>
                <w:rFonts w:ascii="宋体" w:hAnsi="宋体" w:cs="宋体"/>
                <w:color w:val="000000" w:themeColor="text1"/>
                <w:kern w:val="0"/>
                <w:sz w:val="18"/>
                <w:szCs w:val="18"/>
              </w:rPr>
            </w:pPr>
          </w:p>
          <w:p w:rsidR="004C78B1"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A0212</w:t>
            </w:r>
          </w:p>
        </w:tc>
        <w:tc>
          <w:tcPr>
            <w:tcW w:w="809" w:type="pct"/>
            <w:gridSpan w:val="3"/>
            <w:vMerge w:val="restart"/>
            <w:tcBorders>
              <w:top w:val="single" w:sz="2" w:space="0" w:color="auto"/>
              <w:left w:val="single" w:sz="2" w:space="0" w:color="auto"/>
              <w:right w:val="single" w:sz="2" w:space="0" w:color="auto"/>
            </w:tcBorders>
            <w:shd w:val="clear" w:color="auto" w:fill="auto"/>
            <w:vAlign w:val="center"/>
          </w:tcPr>
          <w:p w:rsidR="004C78B1" w:rsidRPr="009263D7" w:rsidRDefault="00CB4B9E" w:rsidP="00713AF3">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本期本机构全体股东应享净利润</w:t>
            </w:r>
          </w:p>
          <w:p w:rsidR="00A2222A" w:rsidRPr="009263D7" w:rsidRDefault="00A2222A" w:rsidP="002D5647">
            <w:pPr>
              <w:keepNext/>
              <w:spacing w:line="320" w:lineRule="exact"/>
              <w:jc w:val="center"/>
              <w:outlineLvl w:val="0"/>
              <w:rPr>
                <w:rFonts w:ascii="宋体" w:hAnsi="宋体" w:cs="宋体"/>
                <w:color w:val="000000" w:themeColor="text1"/>
                <w:kern w:val="0"/>
                <w:sz w:val="18"/>
                <w:szCs w:val="18"/>
              </w:rPr>
            </w:pPr>
          </w:p>
          <w:p w:rsidR="004C78B1"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A0213</w:t>
            </w:r>
          </w:p>
        </w:tc>
        <w:tc>
          <w:tcPr>
            <w:tcW w:w="674" w:type="pct"/>
            <w:gridSpan w:val="2"/>
            <w:vMerge w:val="restart"/>
            <w:tcBorders>
              <w:top w:val="single" w:sz="2" w:space="0" w:color="auto"/>
              <w:left w:val="single" w:sz="2" w:space="0" w:color="auto"/>
              <w:right w:val="single" w:sz="2" w:space="0" w:color="auto"/>
            </w:tcBorders>
            <w:shd w:val="clear" w:color="auto" w:fill="auto"/>
            <w:vAlign w:val="center"/>
          </w:tcPr>
          <w:p w:rsidR="004C78B1" w:rsidRPr="009263D7" w:rsidRDefault="00CB4B9E" w:rsidP="004C48F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本期本机构分配（全体股东）的利润</w:t>
            </w:r>
          </w:p>
          <w:p w:rsidR="004C78B1"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A0214</w:t>
            </w:r>
          </w:p>
        </w:tc>
        <w:tc>
          <w:tcPr>
            <w:tcW w:w="876" w:type="pct"/>
            <w:gridSpan w:val="3"/>
            <w:vMerge w:val="restart"/>
            <w:tcBorders>
              <w:top w:val="single" w:sz="2" w:space="0" w:color="auto"/>
              <w:left w:val="single" w:sz="2" w:space="0" w:color="auto"/>
              <w:right w:val="single" w:sz="2" w:space="0" w:color="auto"/>
            </w:tcBorders>
            <w:shd w:val="clear" w:color="auto" w:fill="auto"/>
            <w:vAlign w:val="center"/>
          </w:tcPr>
          <w:p w:rsidR="004C78B1" w:rsidRPr="009263D7" w:rsidRDefault="00CB4B9E" w:rsidP="004C48F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本机构在境内缴纳的税金总额</w:t>
            </w:r>
          </w:p>
          <w:p w:rsidR="00124CBF" w:rsidRPr="009263D7" w:rsidRDefault="00124CBF" w:rsidP="002D5647">
            <w:pPr>
              <w:keepNext/>
              <w:spacing w:line="320" w:lineRule="exact"/>
              <w:jc w:val="center"/>
              <w:outlineLvl w:val="0"/>
              <w:rPr>
                <w:rFonts w:ascii="宋体" w:hAnsi="宋体" w:cs="宋体"/>
                <w:color w:val="000000" w:themeColor="text1"/>
                <w:kern w:val="0"/>
                <w:sz w:val="18"/>
                <w:szCs w:val="18"/>
              </w:rPr>
            </w:pPr>
          </w:p>
          <w:p w:rsidR="004C78B1"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A0215</w:t>
            </w:r>
          </w:p>
        </w:tc>
        <w:tc>
          <w:tcPr>
            <w:tcW w:w="1283" w:type="pct"/>
            <w:gridSpan w:val="5"/>
            <w:tcBorders>
              <w:top w:val="single" w:sz="4" w:space="0" w:color="auto"/>
              <w:left w:val="single" w:sz="2" w:space="0" w:color="auto"/>
            </w:tcBorders>
            <w:shd w:val="clear" w:color="auto" w:fill="auto"/>
            <w:vAlign w:val="center"/>
          </w:tcPr>
          <w:p w:rsidR="004C78B1" w:rsidRPr="009263D7" w:rsidRDefault="00CB4B9E" w:rsidP="004C48F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年末从业人数（人）</w:t>
            </w:r>
          </w:p>
        </w:tc>
      </w:tr>
      <w:tr w:rsidR="003354E3" w:rsidRPr="009263D7" w:rsidTr="00124CBF">
        <w:trPr>
          <w:gridAfter w:val="2"/>
          <w:wAfter w:w="430" w:type="pct"/>
          <w:trHeight w:val="898"/>
        </w:trPr>
        <w:tc>
          <w:tcPr>
            <w:tcW w:w="928" w:type="pct"/>
            <w:gridSpan w:val="3"/>
            <w:vMerge/>
            <w:tcBorders>
              <w:left w:val="nil"/>
              <w:bottom w:val="single" w:sz="2" w:space="0" w:color="auto"/>
              <w:right w:val="single" w:sz="2" w:space="0" w:color="auto"/>
            </w:tcBorders>
            <w:shd w:val="clear" w:color="auto" w:fill="auto"/>
            <w:vAlign w:val="center"/>
          </w:tcPr>
          <w:p w:rsidR="004C78B1" w:rsidRPr="009263D7" w:rsidRDefault="004C78B1" w:rsidP="004C48FD">
            <w:pPr>
              <w:keepNext/>
              <w:spacing w:line="320" w:lineRule="exact"/>
              <w:jc w:val="center"/>
              <w:outlineLvl w:val="0"/>
              <w:rPr>
                <w:rFonts w:ascii="宋体" w:hAnsi="宋体" w:cs="宋体"/>
                <w:color w:val="000000" w:themeColor="text1"/>
                <w:kern w:val="0"/>
                <w:sz w:val="18"/>
                <w:szCs w:val="18"/>
              </w:rPr>
            </w:pPr>
          </w:p>
        </w:tc>
        <w:tc>
          <w:tcPr>
            <w:tcW w:w="809" w:type="pct"/>
            <w:gridSpan w:val="3"/>
            <w:vMerge/>
            <w:tcBorders>
              <w:left w:val="single" w:sz="2" w:space="0" w:color="auto"/>
              <w:bottom w:val="single" w:sz="2" w:space="0" w:color="auto"/>
              <w:right w:val="single" w:sz="2" w:space="0" w:color="auto"/>
            </w:tcBorders>
            <w:shd w:val="clear" w:color="auto" w:fill="auto"/>
            <w:vAlign w:val="center"/>
          </w:tcPr>
          <w:p w:rsidR="004C78B1" w:rsidRPr="009263D7" w:rsidRDefault="004C78B1" w:rsidP="004C48FD">
            <w:pPr>
              <w:keepNext/>
              <w:spacing w:line="320" w:lineRule="exact"/>
              <w:jc w:val="center"/>
              <w:outlineLvl w:val="0"/>
              <w:rPr>
                <w:rFonts w:ascii="宋体" w:hAnsi="宋体" w:cs="宋体"/>
                <w:color w:val="000000" w:themeColor="text1"/>
                <w:kern w:val="0"/>
                <w:sz w:val="18"/>
                <w:szCs w:val="18"/>
              </w:rPr>
            </w:pPr>
          </w:p>
        </w:tc>
        <w:tc>
          <w:tcPr>
            <w:tcW w:w="674" w:type="pct"/>
            <w:gridSpan w:val="2"/>
            <w:vMerge/>
            <w:tcBorders>
              <w:left w:val="single" w:sz="2" w:space="0" w:color="auto"/>
              <w:bottom w:val="single" w:sz="2" w:space="0" w:color="auto"/>
              <w:right w:val="single" w:sz="2" w:space="0" w:color="auto"/>
            </w:tcBorders>
            <w:shd w:val="clear" w:color="auto" w:fill="auto"/>
            <w:vAlign w:val="center"/>
          </w:tcPr>
          <w:p w:rsidR="004C78B1" w:rsidRPr="009263D7" w:rsidRDefault="004C78B1" w:rsidP="004C48FD">
            <w:pPr>
              <w:keepNext/>
              <w:spacing w:line="320" w:lineRule="exact"/>
              <w:jc w:val="center"/>
              <w:outlineLvl w:val="0"/>
              <w:rPr>
                <w:rFonts w:ascii="宋体" w:hAnsi="宋体" w:cs="宋体"/>
                <w:color w:val="000000" w:themeColor="text1"/>
                <w:kern w:val="0"/>
                <w:sz w:val="18"/>
                <w:szCs w:val="18"/>
              </w:rPr>
            </w:pPr>
          </w:p>
        </w:tc>
        <w:tc>
          <w:tcPr>
            <w:tcW w:w="876" w:type="pct"/>
            <w:gridSpan w:val="3"/>
            <w:vMerge/>
            <w:tcBorders>
              <w:left w:val="single" w:sz="2" w:space="0" w:color="auto"/>
              <w:bottom w:val="single" w:sz="2" w:space="0" w:color="auto"/>
              <w:right w:val="single" w:sz="2" w:space="0" w:color="auto"/>
            </w:tcBorders>
            <w:shd w:val="clear" w:color="auto" w:fill="auto"/>
            <w:vAlign w:val="center"/>
          </w:tcPr>
          <w:p w:rsidR="004C78B1" w:rsidRPr="009263D7" w:rsidRDefault="004C78B1" w:rsidP="004C48FD">
            <w:pPr>
              <w:keepNext/>
              <w:spacing w:line="320" w:lineRule="exact"/>
              <w:jc w:val="center"/>
              <w:outlineLvl w:val="0"/>
              <w:rPr>
                <w:rFonts w:ascii="宋体" w:hAnsi="宋体" w:cs="宋体"/>
                <w:color w:val="000000" w:themeColor="text1"/>
                <w:kern w:val="0"/>
                <w:sz w:val="18"/>
                <w:szCs w:val="18"/>
              </w:rPr>
            </w:pPr>
          </w:p>
        </w:tc>
        <w:tc>
          <w:tcPr>
            <w:tcW w:w="338" w:type="pct"/>
            <w:gridSpan w:val="2"/>
            <w:tcBorders>
              <w:left w:val="single" w:sz="2" w:space="0" w:color="auto"/>
              <w:bottom w:val="single" w:sz="2" w:space="0" w:color="auto"/>
              <w:right w:val="single" w:sz="2" w:space="0" w:color="auto"/>
            </w:tcBorders>
            <w:shd w:val="clear" w:color="auto" w:fill="auto"/>
            <w:vAlign w:val="center"/>
          </w:tcPr>
          <w:p w:rsidR="004C78B1" w:rsidRPr="009263D7" w:rsidRDefault="004C78B1" w:rsidP="004C48FD">
            <w:pPr>
              <w:keepNext/>
              <w:spacing w:line="320" w:lineRule="exact"/>
              <w:jc w:val="center"/>
              <w:outlineLvl w:val="0"/>
              <w:rPr>
                <w:rFonts w:ascii="宋体" w:hAnsi="宋体" w:cs="宋体"/>
                <w:color w:val="000000" w:themeColor="text1"/>
                <w:kern w:val="0"/>
                <w:sz w:val="18"/>
                <w:szCs w:val="18"/>
              </w:rPr>
            </w:pPr>
          </w:p>
          <w:p w:rsidR="00124CBF" w:rsidRPr="009263D7" w:rsidRDefault="00124CBF" w:rsidP="002D5647">
            <w:pPr>
              <w:jc w:val="center"/>
              <w:rPr>
                <w:rFonts w:ascii="宋体" w:hAnsi="宋体" w:cs="宋体"/>
                <w:color w:val="000000" w:themeColor="text1"/>
                <w:kern w:val="0"/>
                <w:sz w:val="18"/>
                <w:szCs w:val="18"/>
              </w:rPr>
            </w:pPr>
          </w:p>
          <w:p w:rsidR="004C78B1"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A0216</w:t>
            </w:r>
          </w:p>
        </w:tc>
        <w:tc>
          <w:tcPr>
            <w:tcW w:w="945" w:type="pct"/>
            <w:gridSpan w:val="3"/>
            <w:tcBorders>
              <w:top w:val="single" w:sz="2" w:space="0" w:color="auto"/>
              <w:left w:val="single" w:sz="2" w:space="0" w:color="auto"/>
              <w:bottom w:val="single" w:sz="2" w:space="0" w:color="auto"/>
            </w:tcBorders>
            <w:shd w:val="clear" w:color="auto" w:fill="auto"/>
            <w:vAlign w:val="center"/>
          </w:tcPr>
          <w:p w:rsidR="004C78B1" w:rsidRPr="009263D7" w:rsidRDefault="00CB4B9E" w:rsidP="004C48F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其中：外方雇员数（人）</w:t>
            </w:r>
          </w:p>
          <w:p w:rsidR="00124CBF" w:rsidRPr="009263D7" w:rsidRDefault="00124CBF" w:rsidP="002D5647">
            <w:pPr>
              <w:keepNext/>
              <w:spacing w:line="320" w:lineRule="exact"/>
              <w:jc w:val="center"/>
              <w:outlineLvl w:val="0"/>
              <w:rPr>
                <w:rFonts w:ascii="宋体" w:hAnsi="宋体" w:cs="宋体"/>
                <w:color w:val="000000" w:themeColor="text1"/>
                <w:kern w:val="0"/>
                <w:sz w:val="18"/>
                <w:szCs w:val="18"/>
              </w:rPr>
            </w:pPr>
          </w:p>
          <w:p w:rsidR="004C78B1" w:rsidRPr="009263D7" w:rsidRDefault="00CB4B9E" w:rsidP="002D5647">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A0217</w:t>
            </w:r>
          </w:p>
        </w:tc>
      </w:tr>
      <w:tr w:rsidR="003354E3" w:rsidRPr="009263D7" w:rsidTr="00124CBF">
        <w:trPr>
          <w:gridAfter w:val="2"/>
          <w:wAfter w:w="430" w:type="pct"/>
          <w:trHeight w:val="312"/>
        </w:trPr>
        <w:tc>
          <w:tcPr>
            <w:tcW w:w="928" w:type="pct"/>
            <w:gridSpan w:val="3"/>
            <w:tcBorders>
              <w:top w:val="single" w:sz="2" w:space="0" w:color="auto"/>
              <w:left w:val="nil"/>
              <w:bottom w:val="single" w:sz="2" w:space="0" w:color="auto"/>
              <w:right w:val="single" w:sz="2" w:space="0" w:color="auto"/>
            </w:tcBorders>
            <w:shd w:val="clear" w:color="auto" w:fill="auto"/>
            <w:noWrap/>
            <w:vAlign w:val="center"/>
          </w:tcPr>
          <w:p w:rsidR="004C78B1" w:rsidRPr="009263D7" w:rsidRDefault="00CB4B9E" w:rsidP="00FA79C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w:t>
            </w:r>
          </w:p>
        </w:tc>
        <w:tc>
          <w:tcPr>
            <w:tcW w:w="809" w:type="pct"/>
            <w:gridSpan w:val="3"/>
            <w:tcBorders>
              <w:top w:val="single" w:sz="2" w:space="0" w:color="auto"/>
              <w:left w:val="single" w:sz="2" w:space="0" w:color="auto"/>
              <w:bottom w:val="single" w:sz="2" w:space="0" w:color="auto"/>
              <w:right w:val="single" w:sz="2" w:space="0" w:color="auto"/>
            </w:tcBorders>
            <w:shd w:val="clear" w:color="auto" w:fill="auto"/>
            <w:vAlign w:val="center"/>
          </w:tcPr>
          <w:p w:rsidR="004C78B1" w:rsidRPr="009263D7" w:rsidRDefault="00CB4B9E" w:rsidP="00FA79CB">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w:t>
            </w:r>
          </w:p>
        </w:tc>
        <w:tc>
          <w:tcPr>
            <w:tcW w:w="674"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4C78B1" w:rsidRPr="009263D7" w:rsidRDefault="00CB4B9E" w:rsidP="00FA79C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13</w:t>
            </w:r>
          </w:p>
        </w:tc>
        <w:tc>
          <w:tcPr>
            <w:tcW w:w="876" w:type="pct"/>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4C78B1" w:rsidRPr="009263D7" w:rsidRDefault="00CB4B9E" w:rsidP="00FA79C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14</w:t>
            </w:r>
          </w:p>
        </w:tc>
        <w:tc>
          <w:tcPr>
            <w:tcW w:w="338"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4C78B1" w:rsidRPr="009263D7" w:rsidRDefault="00CB4B9E" w:rsidP="00FA79C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15</w:t>
            </w:r>
          </w:p>
        </w:tc>
        <w:tc>
          <w:tcPr>
            <w:tcW w:w="945" w:type="pct"/>
            <w:gridSpan w:val="3"/>
            <w:tcBorders>
              <w:top w:val="single" w:sz="2" w:space="0" w:color="auto"/>
              <w:left w:val="single" w:sz="2" w:space="0" w:color="auto"/>
              <w:bottom w:val="single" w:sz="2" w:space="0" w:color="auto"/>
            </w:tcBorders>
            <w:shd w:val="clear" w:color="auto" w:fill="auto"/>
            <w:noWrap/>
            <w:vAlign w:val="center"/>
          </w:tcPr>
          <w:p w:rsidR="004C78B1" w:rsidRPr="009263D7" w:rsidRDefault="00CB4B9E" w:rsidP="00FA79C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16</w:t>
            </w:r>
          </w:p>
        </w:tc>
      </w:tr>
      <w:tr w:rsidR="00124CBF" w:rsidRPr="009263D7" w:rsidTr="00124CBF">
        <w:trPr>
          <w:trHeight w:val="312"/>
        </w:trPr>
        <w:tc>
          <w:tcPr>
            <w:tcW w:w="1736" w:type="pct"/>
            <w:gridSpan w:val="6"/>
            <w:tcBorders>
              <w:top w:val="single" w:sz="2" w:space="0" w:color="auto"/>
              <w:left w:val="nil"/>
              <w:bottom w:val="nil"/>
              <w:right w:val="nil"/>
            </w:tcBorders>
            <w:shd w:val="clear" w:color="auto" w:fill="auto"/>
            <w:noWrap/>
            <w:vAlign w:val="center"/>
          </w:tcPr>
          <w:p w:rsidR="00000000" w:rsidRDefault="00C97103" w:rsidP="00D1396C">
            <w:pPr>
              <w:keepNext/>
              <w:spacing w:line="240" w:lineRule="exact"/>
              <w:ind w:firstLineChars="3850" w:firstLine="6930"/>
              <w:jc w:val="center"/>
              <w:outlineLvl w:val="0"/>
              <w:rPr>
                <w:color w:val="000000" w:themeColor="text1"/>
                <w:sz w:val="18"/>
              </w:rPr>
            </w:pPr>
          </w:p>
        </w:tc>
        <w:tc>
          <w:tcPr>
            <w:tcW w:w="674" w:type="pct"/>
            <w:gridSpan w:val="2"/>
            <w:tcBorders>
              <w:top w:val="single" w:sz="2" w:space="0" w:color="auto"/>
              <w:left w:val="nil"/>
              <w:bottom w:val="nil"/>
              <w:right w:val="nil"/>
            </w:tcBorders>
            <w:shd w:val="clear" w:color="auto" w:fill="auto"/>
            <w:noWrap/>
            <w:vAlign w:val="center"/>
          </w:tcPr>
          <w:p w:rsidR="00000000" w:rsidRDefault="00C97103" w:rsidP="00D1396C">
            <w:pPr>
              <w:keepNext/>
              <w:spacing w:line="240" w:lineRule="exact"/>
              <w:ind w:firstLineChars="3850" w:firstLine="6930"/>
              <w:jc w:val="center"/>
              <w:outlineLvl w:val="0"/>
              <w:rPr>
                <w:color w:val="000000" w:themeColor="text1"/>
                <w:sz w:val="18"/>
              </w:rPr>
            </w:pPr>
          </w:p>
        </w:tc>
        <w:tc>
          <w:tcPr>
            <w:tcW w:w="876" w:type="pct"/>
            <w:gridSpan w:val="3"/>
            <w:tcBorders>
              <w:top w:val="single" w:sz="2" w:space="0" w:color="auto"/>
              <w:left w:val="nil"/>
              <w:bottom w:val="nil"/>
              <w:right w:val="nil"/>
            </w:tcBorders>
            <w:shd w:val="clear" w:color="auto" w:fill="auto"/>
            <w:noWrap/>
            <w:vAlign w:val="center"/>
          </w:tcPr>
          <w:p w:rsidR="00000000" w:rsidRDefault="00C97103" w:rsidP="00D1396C">
            <w:pPr>
              <w:keepNext/>
              <w:spacing w:line="240" w:lineRule="exact"/>
              <w:ind w:firstLineChars="3850" w:firstLine="6930"/>
              <w:jc w:val="center"/>
              <w:outlineLvl w:val="0"/>
              <w:rPr>
                <w:color w:val="000000" w:themeColor="text1"/>
                <w:sz w:val="18"/>
              </w:rPr>
            </w:pPr>
          </w:p>
        </w:tc>
        <w:tc>
          <w:tcPr>
            <w:tcW w:w="338" w:type="pct"/>
            <w:gridSpan w:val="2"/>
            <w:tcBorders>
              <w:top w:val="single" w:sz="2" w:space="0" w:color="auto"/>
              <w:left w:val="nil"/>
              <w:bottom w:val="nil"/>
              <w:right w:val="nil"/>
            </w:tcBorders>
            <w:shd w:val="clear" w:color="auto" w:fill="auto"/>
            <w:noWrap/>
            <w:vAlign w:val="center"/>
          </w:tcPr>
          <w:p w:rsidR="00000000" w:rsidRDefault="00C97103" w:rsidP="00D1396C">
            <w:pPr>
              <w:keepNext/>
              <w:spacing w:line="240" w:lineRule="exact"/>
              <w:ind w:firstLineChars="3850" w:firstLine="6930"/>
              <w:jc w:val="center"/>
              <w:outlineLvl w:val="0"/>
              <w:rPr>
                <w:color w:val="000000" w:themeColor="text1"/>
                <w:sz w:val="18"/>
              </w:rPr>
            </w:pPr>
          </w:p>
        </w:tc>
        <w:tc>
          <w:tcPr>
            <w:tcW w:w="945" w:type="pct"/>
            <w:gridSpan w:val="3"/>
            <w:tcBorders>
              <w:top w:val="single" w:sz="2" w:space="0" w:color="auto"/>
              <w:left w:val="nil"/>
              <w:bottom w:val="nil"/>
              <w:right w:val="nil"/>
            </w:tcBorders>
            <w:shd w:val="clear" w:color="auto" w:fill="auto"/>
            <w:noWrap/>
            <w:vAlign w:val="center"/>
          </w:tcPr>
          <w:p w:rsidR="00000000" w:rsidRDefault="00C97103" w:rsidP="00D1396C">
            <w:pPr>
              <w:keepNext/>
              <w:spacing w:line="240" w:lineRule="exact"/>
              <w:ind w:firstLineChars="3850" w:firstLine="6930"/>
              <w:jc w:val="center"/>
              <w:outlineLvl w:val="0"/>
              <w:rPr>
                <w:color w:val="000000" w:themeColor="text1"/>
                <w:sz w:val="18"/>
              </w:rPr>
            </w:pPr>
          </w:p>
        </w:tc>
        <w:tc>
          <w:tcPr>
            <w:tcW w:w="250" w:type="pct"/>
            <w:tcBorders>
              <w:left w:val="nil"/>
              <w:bottom w:val="nil"/>
              <w:right w:val="nil"/>
            </w:tcBorders>
            <w:shd w:val="clear" w:color="auto" w:fill="auto"/>
            <w:noWrap/>
            <w:vAlign w:val="center"/>
          </w:tcPr>
          <w:p w:rsidR="00000000" w:rsidRDefault="00C97103" w:rsidP="00D1396C">
            <w:pPr>
              <w:keepNext/>
              <w:spacing w:line="240" w:lineRule="exact"/>
              <w:ind w:firstLineChars="3850" w:firstLine="6930"/>
              <w:jc w:val="center"/>
              <w:outlineLvl w:val="0"/>
              <w:rPr>
                <w:color w:val="000000" w:themeColor="text1"/>
                <w:sz w:val="18"/>
              </w:rPr>
            </w:pPr>
          </w:p>
        </w:tc>
        <w:tc>
          <w:tcPr>
            <w:tcW w:w="180" w:type="pct"/>
            <w:tcBorders>
              <w:left w:val="nil"/>
              <w:bottom w:val="nil"/>
              <w:right w:val="nil"/>
            </w:tcBorders>
            <w:shd w:val="clear" w:color="auto" w:fill="auto"/>
            <w:noWrap/>
            <w:vAlign w:val="center"/>
          </w:tcPr>
          <w:p w:rsidR="00000000" w:rsidRDefault="00C97103" w:rsidP="00D1396C">
            <w:pPr>
              <w:keepNext/>
              <w:spacing w:line="240" w:lineRule="exact"/>
              <w:ind w:firstLineChars="3850" w:firstLine="6930"/>
              <w:jc w:val="center"/>
              <w:outlineLvl w:val="0"/>
              <w:rPr>
                <w:color w:val="000000" w:themeColor="text1"/>
                <w:sz w:val="18"/>
              </w:rPr>
            </w:pPr>
          </w:p>
        </w:tc>
      </w:tr>
    </w:tbl>
    <w:p w:rsidR="00C772FF" w:rsidRPr="009263D7" w:rsidRDefault="00C772FF" w:rsidP="00C772FF">
      <w:pPr>
        <w:spacing w:line="240" w:lineRule="exact"/>
        <w:rPr>
          <w:rFonts w:ascii="宋体"/>
          <w:color w:val="000000" w:themeColor="text1"/>
          <w:sz w:val="18"/>
        </w:rPr>
      </w:pPr>
    </w:p>
    <w:p w:rsidR="00C772FF" w:rsidRPr="009263D7" w:rsidRDefault="00C772FF" w:rsidP="00C772FF">
      <w:pPr>
        <w:spacing w:line="240" w:lineRule="exact"/>
        <w:rPr>
          <w:rFonts w:ascii="宋体"/>
          <w:color w:val="000000" w:themeColor="text1"/>
          <w:sz w:val="18"/>
        </w:rPr>
      </w:pPr>
    </w:p>
    <w:tbl>
      <w:tblPr>
        <w:tblW w:w="5000" w:type="pct"/>
        <w:tblBorders>
          <w:top w:val="single" w:sz="8" w:space="0" w:color="auto"/>
        </w:tblBorders>
        <w:tblLook w:val="0000"/>
      </w:tblPr>
      <w:tblGrid>
        <w:gridCol w:w="9629"/>
      </w:tblGrid>
      <w:tr w:rsidR="00C772FF" w:rsidRPr="009263D7" w:rsidTr="005E3333">
        <w:trPr>
          <w:trHeight w:val="100"/>
        </w:trPr>
        <w:tc>
          <w:tcPr>
            <w:tcW w:w="5000" w:type="pct"/>
          </w:tcPr>
          <w:p w:rsidR="00C772FF" w:rsidRPr="009263D7" w:rsidRDefault="00CB4B9E" w:rsidP="005E3333">
            <w:pPr>
              <w:spacing w:line="240" w:lineRule="exact"/>
              <w:rPr>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C772FF" w:rsidRPr="009263D7" w:rsidRDefault="00CB4B9E" w:rsidP="005E3333">
            <w:pPr>
              <w:spacing w:line="24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tc>
      </w:tr>
    </w:tbl>
    <w:p w:rsidR="003E7D8F" w:rsidRPr="009263D7" w:rsidRDefault="00CB4B9E" w:rsidP="004C78B1">
      <w:pPr>
        <w:spacing w:line="240" w:lineRule="exact"/>
        <w:ind w:firstLineChars="3850" w:firstLine="6930"/>
        <w:rPr>
          <w:color w:val="000000" w:themeColor="text1"/>
          <w:sz w:val="18"/>
        </w:rPr>
      </w:pPr>
      <w:r w:rsidRPr="00CB4B9E">
        <w:rPr>
          <w:color w:val="000000" w:themeColor="text1"/>
          <w:sz w:val="18"/>
        </w:rPr>
        <w:t xml:space="preserve"> </w:t>
      </w:r>
    </w:p>
    <w:p w:rsidR="003E7D8F" w:rsidRPr="009263D7" w:rsidRDefault="003E7D8F" w:rsidP="004C78B1">
      <w:pPr>
        <w:spacing w:line="240" w:lineRule="exact"/>
        <w:ind w:firstLineChars="3850" w:firstLine="6930"/>
        <w:rPr>
          <w:color w:val="000000" w:themeColor="text1"/>
          <w:sz w:val="18"/>
        </w:rPr>
      </w:pPr>
    </w:p>
    <w:p w:rsidR="003E7D8F" w:rsidRPr="009263D7" w:rsidRDefault="003E7D8F" w:rsidP="004C78B1">
      <w:pPr>
        <w:spacing w:line="240" w:lineRule="exact"/>
        <w:ind w:firstLineChars="3850" w:firstLine="6930"/>
        <w:rPr>
          <w:color w:val="000000" w:themeColor="text1"/>
          <w:sz w:val="18"/>
        </w:rPr>
      </w:pPr>
    </w:p>
    <w:p w:rsidR="003E7D8F" w:rsidRPr="009263D7" w:rsidRDefault="003E7D8F" w:rsidP="004C78B1">
      <w:pPr>
        <w:spacing w:line="240" w:lineRule="exact"/>
        <w:ind w:firstLineChars="3850" w:firstLine="6930"/>
        <w:rPr>
          <w:color w:val="000000" w:themeColor="text1"/>
          <w:sz w:val="18"/>
        </w:rPr>
      </w:pPr>
    </w:p>
    <w:p w:rsidR="003E7D8F" w:rsidRPr="009263D7" w:rsidRDefault="003E7D8F" w:rsidP="004C78B1">
      <w:pPr>
        <w:spacing w:line="240" w:lineRule="exact"/>
        <w:ind w:firstLineChars="3850" w:firstLine="6930"/>
        <w:rPr>
          <w:color w:val="000000" w:themeColor="text1"/>
          <w:sz w:val="18"/>
        </w:rPr>
      </w:pPr>
    </w:p>
    <w:p w:rsidR="003E7D8F" w:rsidRPr="009263D7" w:rsidRDefault="003E7D8F" w:rsidP="004C78B1">
      <w:pPr>
        <w:spacing w:line="240" w:lineRule="exact"/>
        <w:ind w:firstLineChars="3850" w:firstLine="6930"/>
        <w:rPr>
          <w:color w:val="000000" w:themeColor="text1"/>
          <w:sz w:val="18"/>
        </w:rPr>
      </w:pPr>
    </w:p>
    <w:p w:rsidR="00502674" w:rsidRPr="009263D7" w:rsidRDefault="00502674" w:rsidP="004C78B1">
      <w:pPr>
        <w:spacing w:line="240" w:lineRule="exact"/>
        <w:ind w:firstLineChars="3850" w:firstLine="6930"/>
        <w:rPr>
          <w:color w:val="000000" w:themeColor="text1"/>
          <w:sz w:val="18"/>
        </w:rPr>
      </w:pPr>
    </w:p>
    <w:p w:rsidR="00502674" w:rsidRPr="009263D7" w:rsidRDefault="00502674" w:rsidP="004C78B1">
      <w:pPr>
        <w:spacing w:line="240" w:lineRule="exact"/>
        <w:ind w:firstLineChars="3850" w:firstLine="6930"/>
        <w:rPr>
          <w:color w:val="000000" w:themeColor="text1"/>
          <w:sz w:val="18"/>
        </w:rPr>
      </w:pPr>
    </w:p>
    <w:p w:rsidR="00502674" w:rsidRPr="009263D7" w:rsidRDefault="00502674" w:rsidP="004C78B1">
      <w:pPr>
        <w:spacing w:line="240" w:lineRule="exact"/>
        <w:ind w:firstLineChars="3850" w:firstLine="6930"/>
        <w:rPr>
          <w:color w:val="000000" w:themeColor="text1"/>
          <w:sz w:val="18"/>
        </w:rPr>
      </w:pPr>
    </w:p>
    <w:p w:rsidR="00502674" w:rsidRPr="009263D7" w:rsidRDefault="00502674" w:rsidP="004C78B1">
      <w:pPr>
        <w:spacing w:line="240" w:lineRule="exact"/>
        <w:ind w:firstLineChars="3850" w:firstLine="6930"/>
        <w:rPr>
          <w:color w:val="000000" w:themeColor="text1"/>
          <w:sz w:val="18"/>
        </w:rPr>
      </w:pPr>
    </w:p>
    <w:p w:rsidR="00502674" w:rsidRPr="009263D7" w:rsidRDefault="00502674" w:rsidP="004C78B1">
      <w:pPr>
        <w:spacing w:line="240" w:lineRule="exact"/>
        <w:ind w:firstLineChars="3850" w:firstLine="6930"/>
        <w:rPr>
          <w:color w:val="000000" w:themeColor="text1"/>
          <w:sz w:val="18"/>
        </w:rPr>
      </w:pPr>
    </w:p>
    <w:p w:rsidR="00C772FF" w:rsidRPr="009263D7" w:rsidRDefault="00C772FF" w:rsidP="00C772FF">
      <w:pPr>
        <w:rPr>
          <w:color w:val="000000" w:themeColor="text1"/>
        </w:rPr>
      </w:pPr>
    </w:p>
    <w:p w:rsidR="00C772FF" w:rsidRPr="009263D7" w:rsidRDefault="00CB4B9E" w:rsidP="00C772FF">
      <w:pPr>
        <w:pStyle w:val="3"/>
        <w:jc w:val="center"/>
        <w:rPr>
          <w:rFonts w:asciiTheme="majorEastAsia" w:eastAsiaTheme="majorEastAsia" w:hAnsiTheme="majorEastAsia"/>
          <w:color w:val="000000" w:themeColor="text1"/>
          <w:sz w:val="28"/>
          <w:szCs w:val="28"/>
        </w:rPr>
      </w:pPr>
      <w:bookmarkStart w:id="15" w:name="_Toc452017127"/>
      <w:r w:rsidRPr="00CB4B9E">
        <w:rPr>
          <w:rFonts w:asciiTheme="majorEastAsia" w:eastAsiaTheme="majorEastAsia" w:hAnsiTheme="majorEastAsia" w:hint="eastAsia"/>
          <w:b w:val="0"/>
          <w:color w:val="000000" w:themeColor="text1"/>
          <w:kern w:val="0"/>
          <w:sz w:val="28"/>
          <w:szCs w:val="28"/>
        </w:rPr>
        <w:lastRenderedPageBreak/>
        <w:t>外国来华直接投资（</w:t>
      </w:r>
      <w:r w:rsidRPr="00CB4B9E">
        <w:rPr>
          <w:rFonts w:ascii="宋体" w:hAnsi="宋体" w:hint="eastAsia"/>
          <w:b w:val="0"/>
          <w:color w:val="000000" w:themeColor="text1"/>
          <w:kern w:val="0"/>
          <w:sz w:val="28"/>
          <w:szCs w:val="28"/>
        </w:rPr>
        <w:t>境外投资者持股情况）</w:t>
      </w:r>
      <w:bookmarkEnd w:id="15"/>
    </w:p>
    <w:p w:rsidR="00C772FF" w:rsidRPr="009263D7" w:rsidRDefault="00C772FF" w:rsidP="00C772FF">
      <w:pPr>
        <w:spacing w:line="240" w:lineRule="exact"/>
        <w:ind w:firstLineChars="3850" w:firstLine="6930"/>
        <w:rPr>
          <w:color w:val="000000" w:themeColor="text1"/>
          <w:sz w:val="18"/>
        </w:rPr>
      </w:pPr>
    </w:p>
    <w:p w:rsidR="00C772FF" w:rsidRPr="009263D7" w:rsidRDefault="00C772FF" w:rsidP="00C772FF">
      <w:pPr>
        <w:spacing w:line="240" w:lineRule="exact"/>
        <w:ind w:firstLineChars="3850" w:firstLine="6930"/>
        <w:rPr>
          <w:color w:val="000000" w:themeColor="text1"/>
          <w:sz w:val="18"/>
        </w:rPr>
      </w:pPr>
    </w:p>
    <w:p w:rsidR="00C772FF" w:rsidRPr="009263D7" w:rsidRDefault="00CB4B9E" w:rsidP="00C772FF">
      <w:pPr>
        <w:spacing w:line="240" w:lineRule="exact"/>
        <w:ind w:firstLineChars="3850" w:firstLine="6930"/>
        <w:rPr>
          <w:color w:val="000000" w:themeColor="text1"/>
          <w:sz w:val="1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olor w:val="000000" w:themeColor="text1"/>
          <w:sz w:val="18"/>
        </w:rPr>
        <w:t>A02-2</w:t>
      </w:r>
      <w:r w:rsidRPr="00CB4B9E">
        <w:rPr>
          <w:rFonts w:ascii="宋体" w:hAnsi="宋体" w:cs="宋体" w:hint="eastAsia"/>
          <w:color w:val="000000" w:themeColor="text1"/>
          <w:kern w:val="0"/>
          <w:sz w:val="18"/>
          <w:szCs w:val="18"/>
        </w:rPr>
        <w:t>表</w:t>
      </w:r>
    </w:p>
    <w:p w:rsidR="00C772FF" w:rsidRPr="009263D7" w:rsidRDefault="00CB4B9E" w:rsidP="00C772FF">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C772FF" w:rsidRPr="009263D7" w:rsidRDefault="00CB4B9E" w:rsidP="00C772FF">
      <w:pPr>
        <w:spacing w:line="240" w:lineRule="exact"/>
        <w:ind w:rightChars="-40" w:right="-84"/>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w:t>
      </w:r>
      <w:r w:rsidRPr="00CB4B9E">
        <w:rPr>
          <w:color w:val="000000" w:themeColor="text1"/>
          <w:sz w:val="18"/>
        </w:rPr>
        <w:t xml:space="preserve"> </w:t>
      </w:r>
      <w:r w:rsidRPr="00CB4B9E">
        <w:rPr>
          <w:rFonts w:hint="eastAsia"/>
          <w:color w:val="000000" w:themeColor="text1"/>
          <w:sz w:val="18"/>
        </w:rPr>
        <w:t>家</w:t>
      </w:r>
      <w:r w:rsidRPr="00CB4B9E">
        <w:rPr>
          <w:color w:val="000000" w:themeColor="text1"/>
          <w:sz w:val="18"/>
        </w:rPr>
        <w:t xml:space="preserve"> </w:t>
      </w:r>
      <w:r w:rsidRPr="00CB4B9E">
        <w:rPr>
          <w:rFonts w:hint="eastAsia"/>
          <w:color w:val="000000" w:themeColor="text1"/>
          <w:sz w:val="18"/>
        </w:rPr>
        <w:t>统</w:t>
      </w:r>
      <w:r w:rsidRPr="00CB4B9E">
        <w:rPr>
          <w:color w:val="000000" w:themeColor="text1"/>
          <w:sz w:val="18"/>
        </w:rPr>
        <w:t xml:space="preserve"> </w:t>
      </w:r>
      <w:r w:rsidRPr="00CB4B9E">
        <w:rPr>
          <w:rFonts w:hint="eastAsia"/>
          <w:color w:val="000000" w:themeColor="text1"/>
          <w:sz w:val="18"/>
        </w:rPr>
        <w:t>计</w:t>
      </w:r>
      <w:r w:rsidRPr="00CB4B9E">
        <w:rPr>
          <w:color w:val="000000" w:themeColor="text1"/>
          <w:sz w:val="18"/>
        </w:rPr>
        <w:t xml:space="preserve"> </w:t>
      </w:r>
      <w:r w:rsidRPr="00CB4B9E">
        <w:rPr>
          <w:rFonts w:hint="eastAsia"/>
          <w:color w:val="000000" w:themeColor="text1"/>
          <w:sz w:val="18"/>
        </w:rPr>
        <w:t>局</w:t>
      </w:r>
    </w:p>
    <w:p w:rsidR="00C772FF" w:rsidRPr="009263D7" w:rsidRDefault="00CB4B9E" w:rsidP="00C772F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C772FF" w:rsidRPr="009263D7" w:rsidRDefault="00CB4B9E" w:rsidP="00C772F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C772FF" w:rsidRPr="009263D7" w:rsidRDefault="00CB4B9E" w:rsidP="00C772FF">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C772FF" w:rsidRPr="009263D7" w:rsidRDefault="00CB4B9E" w:rsidP="00C772FF">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r w:rsidRPr="00CB4B9E">
        <w:rPr>
          <w:color w:val="000000" w:themeColor="text1"/>
          <w:sz w:val="18"/>
        </w:rPr>
        <w:t>1</w:t>
      </w:r>
      <w:r w:rsidRPr="00CB4B9E">
        <w:rPr>
          <w:rFonts w:hint="eastAsia"/>
          <w:color w:val="000000" w:themeColor="text1"/>
          <w:sz w:val="18"/>
        </w:rPr>
        <w:t>股，</w:t>
      </w:r>
      <w:r w:rsidRPr="00CB4B9E">
        <w:rPr>
          <w:color w:val="000000" w:themeColor="text1"/>
          <w:sz w:val="18"/>
        </w:rPr>
        <w:t>1</w:t>
      </w:r>
      <w:r w:rsidRPr="00CB4B9E">
        <w:rPr>
          <w:rFonts w:hint="eastAsia"/>
          <w:color w:val="000000" w:themeColor="text1"/>
          <w:sz w:val="18"/>
        </w:rPr>
        <w:t>份，</w:t>
      </w:r>
      <w:r w:rsidRPr="00CB4B9E">
        <w:rPr>
          <w:color w:val="000000" w:themeColor="text1"/>
          <w:sz w:val="18"/>
        </w:rPr>
        <w:t>%</w:t>
      </w:r>
    </w:p>
    <w:tbl>
      <w:tblPr>
        <w:tblW w:w="5000" w:type="pct"/>
        <w:tblLook w:val="0000"/>
      </w:tblPr>
      <w:tblGrid>
        <w:gridCol w:w="818"/>
        <w:gridCol w:w="674"/>
        <w:gridCol w:w="749"/>
        <w:gridCol w:w="790"/>
        <w:gridCol w:w="753"/>
        <w:gridCol w:w="811"/>
        <w:gridCol w:w="946"/>
        <w:gridCol w:w="946"/>
        <w:gridCol w:w="811"/>
        <w:gridCol w:w="999"/>
        <w:gridCol w:w="666"/>
        <w:gridCol w:w="666"/>
      </w:tblGrid>
      <w:tr w:rsidR="008111F1" w:rsidRPr="009263D7" w:rsidTr="00C772FF">
        <w:trPr>
          <w:trHeight w:val="284"/>
        </w:trPr>
        <w:tc>
          <w:tcPr>
            <w:tcW w:w="4654" w:type="pct"/>
            <w:gridSpan w:val="11"/>
            <w:tcBorders>
              <w:top w:val="single" w:sz="8" w:space="0" w:color="auto"/>
              <w:left w:val="nil"/>
              <w:bottom w:val="single" w:sz="2" w:space="0" w:color="auto"/>
              <w:right w:val="nil"/>
            </w:tcBorders>
            <w:shd w:val="clear" w:color="auto" w:fill="auto"/>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境外投资者的基本情况及持股市值</w:t>
            </w:r>
          </w:p>
        </w:tc>
        <w:tc>
          <w:tcPr>
            <w:tcW w:w="346" w:type="pct"/>
            <w:tcBorders>
              <w:top w:val="single" w:sz="8" w:space="0" w:color="auto"/>
              <w:left w:val="nil"/>
              <w:bottom w:val="single" w:sz="2" w:space="0" w:color="auto"/>
              <w:right w:val="nil"/>
            </w:tcBorders>
          </w:tcPr>
          <w:p w:rsidR="008111F1" w:rsidRPr="009263D7" w:rsidRDefault="008111F1" w:rsidP="006C34A4">
            <w:pPr>
              <w:keepNext/>
              <w:widowControl/>
              <w:spacing w:line="320" w:lineRule="exact"/>
              <w:jc w:val="center"/>
              <w:outlineLvl w:val="0"/>
              <w:rPr>
                <w:rFonts w:ascii="宋体" w:hAnsi="宋体" w:cs="宋体"/>
                <w:color w:val="000000" w:themeColor="text1"/>
                <w:kern w:val="0"/>
                <w:sz w:val="18"/>
                <w:szCs w:val="18"/>
              </w:rPr>
            </w:pPr>
          </w:p>
        </w:tc>
      </w:tr>
      <w:tr w:rsidR="008111F1" w:rsidRPr="009263D7" w:rsidTr="009D7B16">
        <w:trPr>
          <w:trHeight w:val="1705"/>
        </w:trPr>
        <w:tc>
          <w:tcPr>
            <w:tcW w:w="425" w:type="pct"/>
            <w:tcBorders>
              <w:top w:val="single" w:sz="4" w:space="0" w:color="auto"/>
              <w:left w:val="nil"/>
              <w:bottom w:val="single" w:sz="2" w:space="0" w:color="FFFFFF" w:themeColor="background1"/>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境外投资者代码</w:t>
            </w:r>
          </w:p>
          <w:p w:rsidR="00371B78" w:rsidRDefault="00371B78">
            <w:pPr>
              <w:keepNext/>
              <w:spacing w:line="320" w:lineRule="exact"/>
              <w:jc w:val="center"/>
              <w:outlineLvl w:val="0"/>
              <w:rPr>
                <w:rFonts w:ascii="宋体" w:hAnsi="宋体" w:cs="宋体"/>
                <w:color w:val="000000" w:themeColor="text1"/>
                <w:kern w:val="0"/>
                <w:sz w:val="18"/>
                <w:szCs w:val="18"/>
              </w:rPr>
            </w:pPr>
          </w:p>
          <w:p w:rsidR="00371B78" w:rsidRDefault="00371B78">
            <w:pPr>
              <w:keepNext/>
              <w:spacing w:line="320" w:lineRule="exact"/>
              <w:jc w:val="center"/>
              <w:outlineLvl w:val="0"/>
              <w:rPr>
                <w:rFonts w:ascii="宋体" w:hAnsi="宋体" w:cs="宋体"/>
                <w:color w:val="000000" w:themeColor="text1"/>
                <w:kern w:val="0"/>
                <w:sz w:val="18"/>
                <w:szCs w:val="18"/>
              </w:rPr>
            </w:pPr>
          </w:p>
          <w:p w:rsidR="00000000" w:rsidRDefault="00C97103">
            <w:pPr>
              <w:jc w:val="center"/>
              <w:rPr>
                <w:rFonts w:ascii="宋体" w:hAnsi="宋体" w:cs="宋体"/>
                <w:color w:val="000000" w:themeColor="text1"/>
                <w:kern w:val="0"/>
                <w:sz w:val="18"/>
                <w:szCs w:val="18"/>
              </w:rPr>
            </w:pPr>
          </w:p>
        </w:tc>
        <w:tc>
          <w:tcPr>
            <w:tcW w:w="350" w:type="pct"/>
            <w:tcBorders>
              <w:top w:val="single" w:sz="4" w:space="0" w:color="auto"/>
              <w:left w:val="single" w:sz="2" w:space="0" w:color="auto"/>
              <w:bottom w:val="single" w:sz="2" w:space="0" w:color="FFFFFF" w:themeColor="background1"/>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境外投资者全称</w:t>
            </w:r>
          </w:p>
          <w:p w:rsidR="00371B78" w:rsidRDefault="00371B78">
            <w:pPr>
              <w:keepNext/>
              <w:spacing w:line="320" w:lineRule="exact"/>
              <w:jc w:val="center"/>
              <w:outlineLvl w:val="0"/>
              <w:rPr>
                <w:rFonts w:ascii="宋体" w:hAnsi="宋体" w:cs="宋体"/>
                <w:color w:val="000000" w:themeColor="text1"/>
                <w:kern w:val="0"/>
                <w:sz w:val="18"/>
                <w:szCs w:val="18"/>
              </w:rPr>
            </w:pPr>
          </w:p>
          <w:p w:rsidR="00000000" w:rsidRDefault="00C97103">
            <w:pPr>
              <w:jc w:val="center"/>
              <w:rPr>
                <w:rFonts w:ascii="宋体" w:hAnsi="宋体" w:cs="宋体"/>
                <w:color w:val="000000" w:themeColor="text1"/>
                <w:kern w:val="0"/>
                <w:sz w:val="18"/>
                <w:szCs w:val="18"/>
              </w:rPr>
            </w:pPr>
          </w:p>
        </w:tc>
        <w:tc>
          <w:tcPr>
            <w:tcW w:w="389" w:type="pct"/>
            <w:tcBorders>
              <w:top w:val="single" w:sz="4" w:space="0" w:color="auto"/>
              <w:left w:val="single" w:sz="2" w:space="0" w:color="auto"/>
              <w:bottom w:val="single" w:sz="2" w:space="0" w:color="FFFFFF" w:themeColor="background1"/>
              <w:right w:val="single" w:sz="4"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境外投资者所属国家</w:t>
            </w:r>
            <w:r w:rsidRPr="00CB4B9E">
              <w:rPr>
                <w:rFonts w:ascii="宋体" w:hAnsi="宋体" w:cs="宋体"/>
                <w:color w:val="000000" w:themeColor="text1"/>
                <w:kern w:val="0"/>
                <w:sz w:val="18"/>
                <w:szCs w:val="18"/>
              </w:rPr>
              <w:t>/地区</w:t>
            </w:r>
          </w:p>
        </w:tc>
        <w:tc>
          <w:tcPr>
            <w:tcW w:w="410" w:type="pct"/>
            <w:tcBorders>
              <w:top w:val="single" w:sz="4" w:space="0" w:color="auto"/>
              <w:left w:val="single" w:sz="2" w:space="0" w:color="auto"/>
              <w:bottom w:val="single" w:sz="2" w:space="0" w:color="FFFFFF" w:themeColor="background1"/>
              <w:right w:val="single" w:sz="4"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境外投资者所属行业</w:t>
            </w:r>
          </w:p>
          <w:p w:rsidR="00371B78" w:rsidRDefault="00371B78">
            <w:pPr>
              <w:keepNext/>
              <w:widowControl/>
              <w:spacing w:line="320" w:lineRule="exact"/>
              <w:jc w:val="center"/>
              <w:outlineLvl w:val="0"/>
              <w:rPr>
                <w:rFonts w:ascii="宋体" w:hAnsi="宋体" w:cs="宋体"/>
                <w:color w:val="000000" w:themeColor="text1"/>
                <w:kern w:val="0"/>
                <w:sz w:val="18"/>
                <w:szCs w:val="18"/>
              </w:rPr>
            </w:pPr>
          </w:p>
          <w:p w:rsidR="00371B78" w:rsidRDefault="00371B78">
            <w:pPr>
              <w:keepNext/>
              <w:widowControl/>
              <w:spacing w:line="320" w:lineRule="exact"/>
              <w:jc w:val="center"/>
              <w:outlineLvl w:val="0"/>
              <w:rPr>
                <w:rFonts w:ascii="宋体" w:hAnsi="宋体" w:cs="宋体"/>
                <w:color w:val="000000" w:themeColor="text1"/>
                <w:kern w:val="0"/>
                <w:sz w:val="18"/>
                <w:szCs w:val="18"/>
              </w:rPr>
            </w:pPr>
          </w:p>
          <w:p w:rsidR="00000000" w:rsidRDefault="00C97103">
            <w:pPr>
              <w:widowControl/>
              <w:jc w:val="center"/>
              <w:rPr>
                <w:rFonts w:ascii="宋体" w:hAnsi="宋体" w:cs="宋体"/>
                <w:color w:val="000000" w:themeColor="text1"/>
                <w:kern w:val="0"/>
                <w:sz w:val="18"/>
                <w:szCs w:val="18"/>
              </w:rPr>
            </w:pPr>
          </w:p>
        </w:tc>
        <w:tc>
          <w:tcPr>
            <w:tcW w:w="391" w:type="pct"/>
            <w:tcBorders>
              <w:top w:val="single" w:sz="4" w:space="0" w:color="auto"/>
              <w:left w:val="single" w:sz="4" w:space="0" w:color="auto"/>
              <w:bottom w:val="single" w:sz="2" w:space="0" w:color="FFFFFF" w:themeColor="background1"/>
              <w:right w:val="single" w:sz="2"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境外投资者与本机构的关系</w:t>
            </w:r>
          </w:p>
        </w:tc>
        <w:tc>
          <w:tcPr>
            <w:tcW w:w="421" w:type="pct"/>
            <w:tcBorders>
              <w:top w:val="single" w:sz="2" w:space="0" w:color="auto"/>
              <w:left w:val="single" w:sz="2" w:space="0" w:color="auto"/>
              <w:bottom w:val="single" w:sz="2" w:space="0" w:color="FFFFFF" w:themeColor="background1"/>
              <w:right w:val="single" w:sz="2"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最终控制方全称</w:t>
            </w:r>
          </w:p>
          <w:p w:rsidR="00371B78" w:rsidRDefault="00371B78">
            <w:pPr>
              <w:keepNext/>
              <w:widowControl/>
              <w:spacing w:line="320" w:lineRule="exact"/>
              <w:jc w:val="center"/>
              <w:outlineLvl w:val="0"/>
              <w:rPr>
                <w:rFonts w:ascii="宋体" w:hAnsi="宋体" w:cs="宋体"/>
                <w:color w:val="000000" w:themeColor="text1"/>
                <w:kern w:val="0"/>
                <w:sz w:val="18"/>
                <w:szCs w:val="18"/>
              </w:rPr>
            </w:pPr>
          </w:p>
          <w:p w:rsidR="00000000" w:rsidRDefault="00C97103">
            <w:pPr>
              <w:widowControl/>
              <w:jc w:val="center"/>
              <w:rPr>
                <w:rFonts w:ascii="宋体" w:hAnsi="宋体" w:cs="宋体"/>
                <w:color w:val="000000" w:themeColor="text1"/>
                <w:kern w:val="0"/>
                <w:sz w:val="18"/>
                <w:szCs w:val="18"/>
              </w:rPr>
            </w:pPr>
          </w:p>
        </w:tc>
        <w:tc>
          <w:tcPr>
            <w:tcW w:w="491" w:type="pct"/>
            <w:tcBorders>
              <w:top w:val="single" w:sz="2" w:space="0" w:color="auto"/>
              <w:left w:val="single" w:sz="2" w:space="0" w:color="auto"/>
              <w:bottom w:val="single" w:sz="2" w:space="0" w:color="FFFFFF" w:themeColor="background1"/>
              <w:right w:val="single" w:sz="2"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最终控制方所属国家</w:t>
            </w:r>
            <w:r w:rsidRPr="00CB4B9E">
              <w:rPr>
                <w:rFonts w:ascii="宋体" w:hAnsi="宋体" w:cs="宋体"/>
                <w:color w:val="000000" w:themeColor="text1"/>
                <w:kern w:val="0"/>
                <w:sz w:val="18"/>
                <w:szCs w:val="18"/>
              </w:rPr>
              <w:t>/地区</w:t>
            </w:r>
          </w:p>
          <w:p w:rsidR="00371B78" w:rsidRDefault="00371B78">
            <w:pPr>
              <w:keepNext/>
              <w:widowControl/>
              <w:spacing w:line="320" w:lineRule="exact"/>
              <w:jc w:val="center"/>
              <w:outlineLvl w:val="0"/>
              <w:rPr>
                <w:rFonts w:ascii="宋体" w:hAnsi="宋体" w:cs="宋体"/>
                <w:color w:val="000000" w:themeColor="text1"/>
                <w:kern w:val="0"/>
                <w:sz w:val="18"/>
                <w:szCs w:val="18"/>
              </w:rPr>
            </w:pPr>
          </w:p>
          <w:p w:rsidR="00371B78" w:rsidRDefault="00371B78">
            <w:pPr>
              <w:keepNext/>
              <w:widowControl/>
              <w:spacing w:line="320" w:lineRule="exact"/>
              <w:jc w:val="center"/>
              <w:outlineLvl w:val="0"/>
              <w:rPr>
                <w:rFonts w:ascii="宋体" w:hAnsi="宋体" w:cs="宋体"/>
                <w:color w:val="000000" w:themeColor="text1"/>
                <w:kern w:val="0"/>
                <w:sz w:val="18"/>
                <w:szCs w:val="18"/>
              </w:rPr>
            </w:pPr>
          </w:p>
          <w:p w:rsidR="00000000" w:rsidRDefault="00C97103">
            <w:pPr>
              <w:widowControl/>
              <w:jc w:val="center"/>
              <w:rPr>
                <w:rFonts w:ascii="宋体" w:hAnsi="宋体" w:cs="宋体"/>
                <w:color w:val="000000" w:themeColor="text1"/>
                <w:kern w:val="0"/>
                <w:sz w:val="18"/>
                <w:szCs w:val="18"/>
              </w:rPr>
            </w:pPr>
          </w:p>
        </w:tc>
        <w:tc>
          <w:tcPr>
            <w:tcW w:w="491" w:type="pct"/>
            <w:tcBorders>
              <w:top w:val="single" w:sz="2" w:space="0" w:color="auto"/>
              <w:left w:val="single" w:sz="2" w:space="0" w:color="auto"/>
              <w:bottom w:val="single" w:sz="2" w:space="0" w:color="FFFFFF" w:themeColor="background1"/>
              <w:right w:val="single" w:sz="2"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期末</w:t>
            </w:r>
            <w:r w:rsidRPr="00CB4B9E">
              <w:rPr>
                <w:rFonts w:ascii="宋体" w:hAnsi="宋体" w:cs="宋体"/>
                <w:color w:val="000000" w:themeColor="text1"/>
                <w:kern w:val="0"/>
                <w:sz w:val="18"/>
                <w:szCs w:val="18"/>
              </w:rPr>
              <w:t>(外方)表决权比例(%)</w:t>
            </w:r>
          </w:p>
          <w:p w:rsidR="00371B78" w:rsidRDefault="00371B78">
            <w:pPr>
              <w:keepNext/>
              <w:widowControl/>
              <w:spacing w:line="320" w:lineRule="exact"/>
              <w:jc w:val="center"/>
              <w:outlineLvl w:val="0"/>
              <w:rPr>
                <w:rFonts w:ascii="宋体" w:hAnsi="宋体" w:cs="宋体"/>
                <w:color w:val="000000" w:themeColor="text1"/>
                <w:kern w:val="0"/>
                <w:sz w:val="18"/>
                <w:szCs w:val="18"/>
              </w:rPr>
            </w:pPr>
          </w:p>
          <w:p w:rsidR="00000000" w:rsidRDefault="00C97103">
            <w:pPr>
              <w:widowControl/>
              <w:jc w:val="center"/>
              <w:rPr>
                <w:rFonts w:ascii="宋体" w:hAnsi="宋体" w:cs="宋体"/>
                <w:color w:val="000000" w:themeColor="text1"/>
                <w:kern w:val="0"/>
                <w:sz w:val="18"/>
                <w:szCs w:val="18"/>
              </w:rPr>
            </w:pPr>
          </w:p>
        </w:tc>
        <w:tc>
          <w:tcPr>
            <w:tcW w:w="421" w:type="pct"/>
            <w:tcBorders>
              <w:top w:val="single" w:sz="4" w:space="0" w:color="auto"/>
              <w:left w:val="single" w:sz="2" w:space="0" w:color="auto"/>
              <w:bottom w:val="single" w:sz="2" w:space="0" w:color="FFFFFF" w:themeColor="background1"/>
              <w:right w:val="single" w:sz="4"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期末</w:t>
            </w:r>
            <w:r w:rsidRPr="00CB4B9E">
              <w:rPr>
                <w:rFonts w:ascii="宋体" w:hAnsi="宋体" w:cs="宋体"/>
                <w:color w:val="000000" w:themeColor="text1"/>
                <w:kern w:val="0"/>
                <w:sz w:val="18"/>
                <w:szCs w:val="18"/>
              </w:rPr>
              <w:t>(外方)持股比例(%)</w:t>
            </w:r>
          </w:p>
          <w:p w:rsidR="00371B78" w:rsidRDefault="00371B78">
            <w:pPr>
              <w:keepNext/>
              <w:spacing w:line="320" w:lineRule="exact"/>
              <w:jc w:val="center"/>
              <w:outlineLvl w:val="0"/>
              <w:rPr>
                <w:rFonts w:ascii="宋体" w:hAnsi="宋体" w:cs="宋体"/>
                <w:color w:val="000000" w:themeColor="text1"/>
                <w:kern w:val="0"/>
                <w:sz w:val="18"/>
                <w:szCs w:val="18"/>
              </w:rPr>
            </w:pPr>
          </w:p>
          <w:p w:rsidR="00000000" w:rsidRDefault="00C97103">
            <w:pPr>
              <w:jc w:val="center"/>
              <w:rPr>
                <w:rFonts w:ascii="宋体" w:hAnsi="宋体" w:cs="宋体"/>
                <w:color w:val="000000" w:themeColor="text1"/>
                <w:kern w:val="0"/>
                <w:sz w:val="18"/>
                <w:szCs w:val="18"/>
              </w:rPr>
            </w:pPr>
          </w:p>
        </w:tc>
        <w:tc>
          <w:tcPr>
            <w:tcW w:w="519" w:type="pct"/>
            <w:tcBorders>
              <w:top w:val="single" w:sz="4" w:space="0" w:color="auto"/>
              <w:left w:val="single" w:sz="2" w:space="0" w:color="auto"/>
              <w:bottom w:val="single" w:sz="2" w:space="0" w:color="FFFFFF" w:themeColor="background1"/>
              <w:right w:val="single" w:sz="4"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可流通股票（份额）的记账币种（原币）</w:t>
            </w:r>
          </w:p>
          <w:p w:rsidR="00371B78" w:rsidRDefault="00371B78">
            <w:pPr>
              <w:keepNext/>
              <w:spacing w:after="120" w:line="320" w:lineRule="exact"/>
              <w:ind w:leftChars="200" w:left="420"/>
              <w:jc w:val="center"/>
              <w:outlineLvl w:val="0"/>
              <w:rPr>
                <w:rFonts w:ascii="宋体" w:hAnsi="宋体" w:cs="宋体"/>
                <w:color w:val="000000" w:themeColor="text1"/>
                <w:kern w:val="0"/>
                <w:sz w:val="18"/>
                <w:szCs w:val="18"/>
              </w:rPr>
            </w:pPr>
          </w:p>
          <w:p w:rsidR="00000000" w:rsidRDefault="00C97103">
            <w:pPr>
              <w:jc w:val="center"/>
              <w:rPr>
                <w:rFonts w:ascii="宋体" w:hAnsi="宋体" w:cs="宋体"/>
                <w:color w:val="000000" w:themeColor="text1"/>
                <w:kern w:val="0"/>
                <w:sz w:val="18"/>
                <w:szCs w:val="18"/>
              </w:rPr>
            </w:pPr>
          </w:p>
        </w:tc>
        <w:tc>
          <w:tcPr>
            <w:tcW w:w="346" w:type="pct"/>
            <w:tcBorders>
              <w:top w:val="single" w:sz="4" w:space="0" w:color="auto"/>
              <w:left w:val="single" w:sz="4" w:space="0" w:color="auto"/>
              <w:bottom w:val="single" w:sz="2" w:space="0" w:color="FFFFFF" w:themeColor="background1"/>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持股（份额）数量</w:t>
            </w:r>
          </w:p>
          <w:p w:rsidR="00371B78" w:rsidRDefault="00371B78">
            <w:pPr>
              <w:keepNext/>
              <w:spacing w:line="320" w:lineRule="exact"/>
              <w:jc w:val="center"/>
              <w:outlineLvl w:val="0"/>
              <w:rPr>
                <w:rFonts w:ascii="宋体" w:hAnsi="宋体" w:cs="宋体"/>
                <w:color w:val="000000" w:themeColor="text1"/>
                <w:kern w:val="0"/>
                <w:sz w:val="18"/>
                <w:szCs w:val="18"/>
              </w:rPr>
            </w:pPr>
          </w:p>
          <w:p w:rsidR="00000000" w:rsidRDefault="00C97103">
            <w:pPr>
              <w:jc w:val="center"/>
              <w:rPr>
                <w:rFonts w:ascii="宋体" w:hAnsi="宋体" w:cs="宋体"/>
                <w:color w:val="000000" w:themeColor="text1"/>
                <w:kern w:val="0"/>
                <w:sz w:val="18"/>
                <w:szCs w:val="18"/>
              </w:rPr>
            </w:pPr>
          </w:p>
        </w:tc>
        <w:tc>
          <w:tcPr>
            <w:tcW w:w="346" w:type="pct"/>
            <w:tcBorders>
              <w:top w:val="single" w:sz="4" w:space="0" w:color="auto"/>
              <w:left w:val="single" w:sz="4" w:space="0" w:color="auto"/>
              <w:bottom w:val="single" w:sz="2" w:space="0" w:color="FFFFFF" w:themeColor="background1"/>
            </w:tcBorders>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每股（每份）市价</w:t>
            </w:r>
          </w:p>
          <w:p w:rsidR="00371B78" w:rsidRDefault="00371B78">
            <w:pPr>
              <w:keepNext/>
              <w:spacing w:line="320" w:lineRule="exact"/>
              <w:jc w:val="center"/>
              <w:outlineLvl w:val="0"/>
              <w:rPr>
                <w:rFonts w:ascii="宋体" w:hAnsi="宋体" w:cs="宋体"/>
                <w:color w:val="000000" w:themeColor="text1"/>
                <w:kern w:val="0"/>
                <w:sz w:val="18"/>
                <w:szCs w:val="18"/>
              </w:rPr>
            </w:pPr>
          </w:p>
          <w:p w:rsidR="00000000" w:rsidRDefault="00C97103">
            <w:pPr>
              <w:jc w:val="center"/>
              <w:rPr>
                <w:rFonts w:ascii="宋体" w:hAnsi="宋体" w:cs="宋体"/>
                <w:color w:val="000000" w:themeColor="text1"/>
                <w:kern w:val="0"/>
                <w:sz w:val="18"/>
                <w:szCs w:val="18"/>
              </w:rPr>
            </w:pPr>
          </w:p>
        </w:tc>
      </w:tr>
      <w:tr w:rsidR="009D7B16" w:rsidRPr="009263D7" w:rsidTr="009D7B16">
        <w:trPr>
          <w:trHeight w:val="137"/>
        </w:trPr>
        <w:tc>
          <w:tcPr>
            <w:tcW w:w="425" w:type="pct"/>
            <w:tcBorders>
              <w:top w:val="single" w:sz="2" w:space="0" w:color="FFFFFF" w:themeColor="background1"/>
              <w:left w:val="nil"/>
              <w:bottom w:val="single" w:sz="2"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A0218</w:t>
            </w:r>
          </w:p>
        </w:tc>
        <w:tc>
          <w:tcPr>
            <w:tcW w:w="350" w:type="pct"/>
            <w:tcBorders>
              <w:top w:val="single" w:sz="2" w:space="0" w:color="FFFFFF" w:themeColor="background1"/>
              <w:left w:val="single" w:sz="2" w:space="0" w:color="auto"/>
              <w:bottom w:val="single" w:sz="2"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A0219</w:t>
            </w:r>
          </w:p>
        </w:tc>
        <w:tc>
          <w:tcPr>
            <w:tcW w:w="389" w:type="pct"/>
            <w:tcBorders>
              <w:top w:val="single" w:sz="2" w:space="0" w:color="FFFFFF" w:themeColor="background1"/>
              <w:left w:val="single" w:sz="2" w:space="0" w:color="auto"/>
              <w:bottom w:val="single" w:sz="2" w:space="0" w:color="auto"/>
              <w:right w:val="single" w:sz="4"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A0220</w:t>
            </w:r>
          </w:p>
        </w:tc>
        <w:tc>
          <w:tcPr>
            <w:tcW w:w="410" w:type="pct"/>
            <w:tcBorders>
              <w:top w:val="single" w:sz="2" w:space="0" w:color="FFFFFF" w:themeColor="background1"/>
              <w:left w:val="single" w:sz="2" w:space="0" w:color="auto"/>
              <w:bottom w:val="single" w:sz="2" w:space="0" w:color="auto"/>
              <w:right w:val="single" w:sz="4"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A0221</w:t>
            </w:r>
          </w:p>
        </w:tc>
        <w:tc>
          <w:tcPr>
            <w:tcW w:w="391" w:type="pct"/>
            <w:tcBorders>
              <w:top w:val="single" w:sz="2" w:space="0" w:color="FFFFFF" w:themeColor="background1"/>
              <w:left w:val="single" w:sz="4" w:space="0" w:color="auto"/>
              <w:bottom w:val="single" w:sz="2"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A0222</w:t>
            </w:r>
          </w:p>
        </w:tc>
        <w:tc>
          <w:tcPr>
            <w:tcW w:w="421" w:type="pct"/>
            <w:tcBorders>
              <w:top w:val="single" w:sz="2" w:space="0" w:color="FFFFFF" w:themeColor="background1"/>
              <w:left w:val="single" w:sz="2" w:space="0" w:color="auto"/>
              <w:bottom w:val="single" w:sz="2"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A0223</w:t>
            </w:r>
          </w:p>
        </w:tc>
        <w:tc>
          <w:tcPr>
            <w:tcW w:w="491" w:type="pct"/>
            <w:tcBorders>
              <w:top w:val="single" w:sz="2" w:space="0" w:color="FFFFFF" w:themeColor="background1"/>
              <w:left w:val="single" w:sz="2" w:space="0" w:color="auto"/>
              <w:bottom w:val="single" w:sz="2"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A0224</w:t>
            </w:r>
          </w:p>
        </w:tc>
        <w:tc>
          <w:tcPr>
            <w:tcW w:w="491" w:type="pct"/>
            <w:tcBorders>
              <w:top w:val="single" w:sz="2" w:space="0" w:color="FFFFFF" w:themeColor="background1"/>
              <w:left w:val="single" w:sz="2" w:space="0" w:color="auto"/>
              <w:bottom w:val="single" w:sz="2"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A0225</w:t>
            </w:r>
          </w:p>
        </w:tc>
        <w:tc>
          <w:tcPr>
            <w:tcW w:w="421" w:type="pct"/>
            <w:tcBorders>
              <w:top w:val="single" w:sz="2" w:space="0" w:color="FFFFFF" w:themeColor="background1"/>
              <w:left w:val="single" w:sz="2" w:space="0" w:color="auto"/>
              <w:bottom w:val="single" w:sz="2" w:space="0" w:color="auto"/>
              <w:right w:val="single" w:sz="4"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A0226</w:t>
            </w:r>
          </w:p>
        </w:tc>
        <w:tc>
          <w:tcPr>
            <w:tcW w:w="519" w:type="pct"/>
            <w:tcBorders>
              <w:top w:val="single" w:sz="2" w:space="0" w:color="FFFFFF" w:themeColor="background1"/>
              <w:left w:val="single" w:sz="2" w:space="0" w:color="auto"/>
              <w:bottom w:val="single" w:sz="2" w:space="0" w:color="auto"/>
              <w:right w:val="single" w:sz="4"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A0227</w:t>
            </w:r>
          </w:p>
        </w:tc>
        <w:tc>
          <w:tcPr>
            <w:tcW w:w="346" w:type="pct"/>
            <w:tcBorders>
              <w:top w:val="single" w:sz="2" w:space="0" w:color="FFFFFF" w:themeColor="background1"/>
              <w:left w:val="single" w:sz="4" w:space="0" w:color="auto"/>
              <w:bottom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A0228</w:t>
            </w:r>
          </w:p>
        </w:tc>
        <w:tc>
          <w:tcPr>
            <w:tcW w:w="346" w:type="pct"/>
            <w:tcBorders>
              <w:top w:val="single" w:sz="2" w:space="0" w:color="FFFFFF" w:themeColor="background1"/>
              <w:left w:val="single" w:sz="4" w:space="0" w:color="auto"/>
              <w:bottom w:val="single" w:sz="2" w:space="0" w:color="auto"/>
            </w:tcBorders>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A0229</w:t>
            </w:r>
          </w:p>
        </w:tc>
      </w:tr>
      <w:tr w:rsidR="008111F1" w:rsidRPr="009263D7" w:rsidTr="00C772FF">
        <w:trPr>
          <w:trHeight w:val="312"/>
        </w:trPr>
        <w:tc>
          <w:tcPr>
            <w:tcW w:w="425" w:type="pct"/>
            <w:tcBorders>
              <w:top w:val="single" w:sz="2" w:space="0" w:color="auto"/>
              <w:left w:val="nil"/>
              <w:bottom w:val="single" w:sz="2" w:space="0" w:color="auto"/>
              <w:right w:val="single" w:sz="2" w:space="0" w:color="auto"/>
            </w:tcBorders>
            <w:shd w:val="clear" w:color="auto" w:fill="auto"/>
            <w:noWrap/>
            <w:vAlign w:val="center"/>
          </w:tcPr>
          <w:p w:rsidR="008111F1" w:rsidRPr="009263D7" w:rsidRDefault="00CB4B9E" w:rsidP="008111F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350"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389" w:type="pct"/>
            <w:tcBorders>
              <w:top w:val="single" w:sz="2" w:space="0" w:color="auto"/>
              <w:left w:val="single" w:sz="2" w:space="0" w:color="auto"/>
              <w:bottom w:val="single" w:sz="2" w:space="0" w:color="auto"/>
              <w:right w:val="single" w:sz="4" w:space="0" w:color="auto"/>
            </w:tcBorders>
            <w:shd w:val="clear" w:color="auto" w:fill="auto"/>
            <w:noWrap/>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410" w:type="pct"/>
            <w:tcBorders>
              <w:top w:val="single" w:sz="4" w:space="0" w:color="auto"/>
              <w:left w:val="single" w:sz="4" w:space="0" w:color="auto"/>
              <w:bottom w:val="single" w:sz="2" w:space="0" w:color="auto"/>
              <w:right w:val="single" w:sz="2" w:space="0" w:color="auto"/>
            </w:tcBorders>
            <w:shd w:val="clear" w:color="auto" w:fill="auto"/>
            <w:vAlign w:val="center"/>
          </w:tcPr>
          <w:p w:rsidR="008111F1" w:rsidRPr="009263D7" w:rsidRDefault="00CB4B9E" w:rsidP="006C34A4">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391"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己</w:t>
            </w:r>
          </w:p>
        </w:tc>
        <w:tc>
          <w:tcPr>
            <w:tcW w:w="421"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491"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c>
          <w:tcPr>
            <w:tcW w:w="491"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17</w:t>
            </w:r>
          </w:p>
        </w:tc>
        <w:tc>
          <w:tcPr>
            <w:tcW w:w="421" w:type="pct"/>
            <w:tcBorders>
              <w:top w:val="single" w:sz="2" w:space="0" w:color="auto"/>
              <w:left w:val="single" w:sz="2" w:space="0" w:color="auto"/>
              <w:bottom w:val="single" w:sz="2" w:space="0" w:color="auto"/>
              <w:right w:val="single" w:sz="4" w:space="0" w:color="auto"/>
            </w:tcBorders>
            <w:shd w:val="clear" w:color="auto" w:fill="auto"/>
            <w:noWrap/>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18</w:t>
            </w:r>
          </w:p>
        </w:tc>
        <w:tc>
          <w:tcPr>
            <w:tcW w:w="519" w:type="pct"/>
            <w:tcBorders>
              <w:top w:val="single" w:sz="2" w:space="0" w:color="auto"/>
              <w:left w:val="single" w:sz="2" w:space="0" w:color="auto"/>
              <w:bottom w:val="single" w:sz="2" w:space="0" w:color="auto"/>
              <w:right w:val="single" w:sz="4" w:space="0" w:color="auto"/>
            </w:tcBorders>
            <w:shd w:val="clear" w:color="auto" w:fill="auto"/>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壬</w:t>
            </w:r>
          </w:p>
        </w:tc>
        <w:tc>
          <w:tcPr>
            <w:tcW w:w="346" w:type="pct"/>
            <w:tcBorders>
              <w:top w:val="single" w:sz="2" w:space="0" w:color="auto"/>
              <w:left w:val="single" w:sz="4" w:space="0" w:color="auto"/>
              <w:bottom w:val="single" w:sz="2" w:space="0" w:color="auto"/>
            </w:tcBorders>
            <w:shd w:val="clear" w:color="auto" w:fill="auto"/>
            <w:vAlign w:val="center"/>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19</w:t>
            </w:r>
          </w:p>
        </w:tc>
        <w:tc>
          <w:tcPr>
            <w:tcW w:w="346" w:type="pct"/>
            <w:tcBorders>
              <w:top w:val="single" w:sz="2" w:space="0" w:color="auto"/>
              <w:left w:val="single" w:sz="4" w:space="0" w:color="auto"/>
              <w:bottom w:val="single" w:sz="2" w:space="0" w:color="auto"/>
            </w:tcBorders>
          </w:tcPr>
          <w:p w:rsidR="008111F1" w:rsidRPr="009263D7" w:rsidRDefault="00CB4B9E" w:rsidP="006C34A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20</w:t>
            </w:r>
          </w:p>
        </w:tc>
      </w:tr>
    </w:tbl>
    <w:p w:rsidR="00126F17" w:rsidRPr="009263D7" w:rsidRDefault="00126F17" w:rsidP="00126F17">
      <w:pPr>
        <w:spacing w:line="240" w:lineRule="exact"/>
        <w:rPr>
          <w:rFonts w:ascii="黑体" w:eastAsia="黑体"/>
          <w:color w:val="000000" w:themeColor="text1"/>
          <w:sz w:val="18"/>
          <w:szCs w:val="18"/>
        </w:rPr>
      </w:pPr>
    </w:p>
    <w:p w:rsidR="00126F17" w:rsidRPr="009263D7" w:rsidRDefault="00126F17" w:rsidP="00126F17">
      <w:pPr>
        <w:spacing w:line="240" w:lineRule="exact"/>
        <w:rPr>
          <w:rFonts w:ascii="黑体" w:eastAsia="黑体"/>
          <w:color w:val="000000" w:themeColor="text1"/>
          <w:sz w:val="18"/>
          <w:szCs w:val="18"/>
        </w:rPr>
      </w:pPr>
    </w:p>
    <w:p w:rsidR="00A84352" w:rsidRPr="009263D7" w:rsidRDefault="00A84352" w:rsidP="00A84352">
      <w:pPr>
        <w:spacing w:line="240" w:lineRule="exact"/>
        <w:rPr>
          <w:rFonts w:ascii="宋体"/>
          <w:color w:val="000000" w:themeColor="text1"/>
          <w:sz w:val="18"/>
        </w:rPr>
      </w:pPr>
    </w:p>
    <w:p w:rsidR="00A84352" w:rsidRPr="009263D7" w:rsidRDefault="00A84352" w:rsidP="00A84352">
      <w:pPr>
        <w:spacing w:line="240" w:lineRule="exact"/>
        <w:rPr>
          <w:rFonts w:ascii="宋体"/>
          <w:color w:val="000000" w:themeColor="text1"/>
          <w:sz w:val="18"/>
        </w:rPr>
      </w:pPr>
    </w:p>
    <w:tbl>
      <w:tblPr>
        <w:tblW w:w="5000" w:type="pct"/>
        <w:tblBorders>
          <w:top w:val="single" w:sz="8" w:space="0" w:color="auto"/>
        </w:tblBorders>
        <w:tblLook w:val="0000"/>
      </w:tblPr>
      <w:tblGrid>
        <w:gridCol w:w="9629"/>
      </w:tblGrid>
      <w:tr w:rsidR="00A84352" w:rsidRPr="009263D7" w:rsidTr="00502674">
        <w:trPr>
          <w:trHeight w:val="100"/>
        </w:trPr>
        <w:tc>
          <w:tcPr>
            <w:tcW w:w="5000" w:type="pct"/>
          </w:tcPr>
          <w:p w:rsidR="003E7D8F" w:rsidRPr="009263D7" w:rsidRDefault="00CB4B9E" w:rsidP="003E7D8F">
            <w:pPr>
              <w:spacing w:line="240" w:lineRule="exact"/>
              <w:rPr>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A84352" w:rsidRPr="009263D7" w:rsidRDefault="00CB4B9E" w:rsidP="003E7D8F">
            <w:pPr>
              <w:spacing w:line="24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tc>
      </w:tr>
    </w:tbl>
    <w:p w:rsidR="00A84352" w:rsidRPr="009263D7" w:rsidRDefault="00A84352" w:rsidP="00A84352">
      <w:pPr>
        <w:rPr>
          <w:rFonts w:ascii="宋体"/>
          <w:color w:val="000000" w:themeColor="text1"/>
          <w:sz w:val="18"/>
        </w:rPr>
      </w:pPr>
    </w:p>
    <w:p w:rsidR="00126F17" w:rsidRPr="009263D7" w:rsidRDefault="00126F17" w:rsidP="00126F17">
      <w:pPr>
        <w:spacing w:line="240" w:lineRule="exact"/>
        <w:rPr>
          <w:rFonts w:ascii="黑体" w:eastAsia="黑体"/>
          <w:color w:val="000000" w:themeColor="text1"/>
          <w:sz w:val="18"/>
          <w:szCs w:val="18"/>
        </w:rPr>
      </w:pPr>
    </w:p>
    <w:p w:rsidR="00A84352" w:rsidRPr="009263D7" w:rsidRDefault="00A84352" w:rsidP="008111F1">
      <w:pPr>
        <w:spacing w:line="240" w:lineRule="exact"/>
        <w:ind w:firstLineChars="3850" w:firstLine="6930"/>
        <w:rPr>
          <w:color w:val="000000" w:themeColor="text1"/>
          <w:sz w:val="18"/>
        </w:rPr>
      </w:pPr>
    </w:p>
    <w:p w:rsidR="00DC0734" w:rsidRPr="009263D7" w:rsidRDefault="00DC0734" w:rsidP="008111F1">
      <w:pPr>
        <w:spacing w:line="240" w:lineRule="exact"/>
        <w:ind w:firstLineChars="3850" w:firstLine="6930"/>
        <w:rPr>
          <w:color w:val="000000" w:themeColor="text1"/>
          <w:sz w:val="18"/>
        </w:rPr>
      </w:pPr>
    </w:p>
    <w:p w:rsidR="00DC0734" w:rsidRPr="009263D7" w:rsidRDefault="00DC0734" w:rsidP="008111F1">
      <w:pPr>
        <w:spacing w:line="240" w:lineRule="exact"/>
        <w:ind w:firstLineChars="3850" w:firstLine="6930"/>
        <w:rPr>
          <w:color w:val="000000" w:themeColor="text1"/>
          <w:sz w:val="18"/>
        </w:rPr>
      </w:pPr>
    </w:p>
    <w:p w:rsidR="003E7D8F" w:rsidRPr="009263D7" w:rsidRDefault="003E7D8F" w:rsidP="008111F1">
      <w:pPr>
        <w:spacing w:line="240" w:lineRule="exact"/>
        <w:ind w:firstLineChars="3850" w:firstLine="6930"/>
        <w:rPr>
          <w:color w:val="000000" w:themeColor="text1"/>
          <w:sz w:val="18"/>
        </w:rPr>
      </w:pPr>
    </w:p>
    <w:p w:rsidR="003E7D8F" w:rsidRPr="009263D7" w:rsidRDefault="003E7D8F" w:rsidP="008111F1">
      <w:pPr>
        <w:spacing w:line="240" w:lineRule="exact"/>
        <w:ind w:firstLineChars="3850" w:firstLine="6930"/>
        <w:rPr>
          <w:color w:val="000000" w:themeColor="text1"/>
          <w:sz w:val="18"/>
        </w:rPr>
      </w:pPr>
    </w:p>
    <w:p w:rsidR="003E7D8F" w:rsidRPr="009263D7" w:rsidRDefault="003E7D8F" w:rsidP="008111F1">
      <w:pPr>
        <w:spacing w:line="240" w:lineRule="exact"/>
        <w:ind w:firstLineChars="3850" w:firstLine="6930"/>
        <w:rPr>
          <w:color w:val="000000" w:themeColor="text1"/>
          <w:sz w:val="18"/>
        </w:rPr>
      </w:pPr>
    </w:p>
    <w:p w:rsidR="003E7D8F" w:rsidRPr="009263D7" w:rsidRDefault="003E7D8F" w:rsidP="00DC0734">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9C2891" w:rsidRPr="009263D7" w:rsidRDefault="009C2891" w:rsidP="003E7D8F">
      <w:pPr>
        <w:rPr>
          <w:color w:val="000000" w:themeColor="text1"/>
          <w:sz w:val="18"/>
        </w:rPr>
      </w:pPr>
    </w:p>
    <w:p w:rsidR="00CE0337" w:rsidRPr="009263D7" w:rsidRDefault="00CE0337" w:rsidP="003E7D8F">
      <w:pPr>
        <w:rPr>
          <w:color w:val="000000" w:themeColor="text1"/>
          <w:sz w:val="18"/>
        </w:rPr>
      </w:pPr>
    </w:p>
    <w:p w:rsidR="00A324FC" w:rsidRPr="009263D7" w:rsidRDefault="00CB4B9E" w:rsidP="00A324FC">
      <w:pPr>
        <w:pStyle w:val="3"/>
        <w:jc w:val="center"/>
        <w:rPr>
          <w:rFonts w:ascii="宋体" w:hAnsi="宋体"/>
          <w:b w:val="0"/>
          <w:color w:val="000000" w:themeColor="text1"/>
          <w:kern w:val="0"/>
          <w:sz w:val="28"/>
          <w:szCs w:val="28"/>
        </w:rPr>
      </w:pPr>
      <w:bookmarkStart w:id="16" w:name="_Toc452017128"/>
      <w:r w:rsidRPr="00CB4B9E">
        <w:rPr>
          <w:rFonts w:ascii="宋体" w:hAnsi="宋体" w:hint="eastAsia"/>
          <w:b w:val="0"/>
          <w:color w:val="000000" w:themeColor="text1"/>
          <w:kern w:val="0"/>
          <w:sz w:val="28"/>
          <w:szCs w:val="28"/>
        </w:rPr>
        <w:lastRenderedPageBreak/>
        <w:t>外国来华直接投资（流量）</w:t>
      </w:r>
      <w:bookmarkEnd w:id="16"/>
    </w:p>
    <w:p w:rsidR="00A324FC" w:rsidRPr="009263D7" w:rsidRDefault="00A324FC" w:rsidP="00DC0734">
      <w:pPr>
        <w:rPr>
          <w:color w:val="000000" w:themeColor="text1"/>
          <w:sz w:val="18"/>
        </w:rPr>
      </w:pPr>
    </w:p>
    <w:p w:rsidR="00DC0734" w:rsidRPr="009263D7" w:rsidRDefault="00DC0734" w:rsidP="008111F1">
      <w:pPr>
        <w:spacing w:line="240" w:lineRule="exact"/>
        <w:ind w:firstLineChars="3850" w:firstLine="6930"/>
        <w:rPr>
          <w:color w:val="000000" w:themeColor="text1"/>
          <w:sz w:val="18"/>
        </w:rPr>
      </w:pPr>
    </w:p>
    <w:p w:rsidR="008111F1" w:rsidRPr="009263D7" w:rsidRDefault="00CB4B9E" w:rsidP="008111F1">
      <w:pPr>
        <w:spacing w:line="240" w:lineRule="exact"/>
        <w:ind w:firstLineChars="3850" w:firstLine="6930"/>
        <w:rPr>
          <w:color w:val="000000" w:themeColor="text1"/>
          <w:sz w:val="1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olor w:val="000000" w:themeColor="text1"/>
          <w:sz w:val="18"/>
        </w:rPr>
        <w:t>A02-3</w:t>
      </w:r>
      <w:r w:rsidRPr="00CB4B9E">
        <w:rPr>
          <w:rFonts w:ascii="宋体" w:hAnsi="宋体" w:cs="宋体" w:hint="eastAsia"/>
          <w:color w:val="000000" w:themeColor="text1"/>
          <w:kern w:val="0"/>
          <w:sz w:val="18"/>
          <w:szCs w:val="18"/>
        </w:rPr>
        <w:t>表</w:t>
      </w:r>
    </w:p>
    <w:p w:rsidR="008111F1" w:rsidRPr="009263D7" w:rsidRDefault="00CB4B9E" w:rsidP="008111F1">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8111F1" w:rsidRPr="009263D7" w:rsidRDefault="00CB4B9E" w:rsidP="008111F1">
      <w:pPr>
        <w:spacing w:line="240" w:lineRule="exact"/>
        <w:ind w:rightChars="-40" w:right="-84"/>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w:t>
      </w:r>
      <w:r w:rsidRPr="00CB4B9E">
        <w:rPr>
          <w:color w:val="000000" w:themeColor="text1"/>
          <w:sz w:val="18"/>
        </w:rPr>
        <w:t xml:space="preserve"> </w:t>
      </w:r>
      <w:r w:rsidRPr="00CB4B9E">
        <w:rPr>
          <w:rFonts w:hint="eastAsia"/>
          <w:color w:val="000000" w:themeColor="text1"/>
          <w:sz w:val="18"/>
        </w:rPr>
        <w:t>家</w:t>
      </w:r>
      <w:r w:rsidRPr="00CB4B9E">
        <w:rPr>
          <w:color w:val="000000" w:themeColor="text1"/>
          <w:sz w:val="18"/>
        </w:rPr>
        <w:t xml:space="preserve"> </w:t>
      </w:r>
      <w:r w:rsidRPr="00CB4B9E">
        <w:rPr>
          <w:rFonts w:hint="eastAsia"/>
          <w:color w:val="000000" w:themeColor="text1"/>
          <w:sz w:val="18"/>
        </w:rPr>
        <w:t>统</w:t>
      </w:r>
      <w:r w:rsidRPr="00CB4B9E">
        <w:rPr>
          <w:color w:val="000000" w:themeColor="text1"/>
          <w:sz w:val="18"/>
        </w:rPr>
        <w:t xml:space="preserve"> </w:t>
      </w:r>
      <w:r w:rsidRPr="00CB4B9E">
        <w:rPr>
          <w:rFonts w:hint="eastAsia"/>
          <w:color w:val="000000" w:themeColor="text1"/>
          <w:sz w:val="18"/>
        </w:rPr>
        <w:t>计</w:t>
      </w:r>
      <w:r w:rsidRPr="00CB4B9E">
        <w:rPr>
          <w:color w:val="000000" w:themeColor="text1"/>
          <w:sz w:val="18"/>
        </w:rPr>
        <w:t xml:space="preserve"> </w:t>
      </w:r>
      <w:r w:rsidRPr="00CB4B9E">
        <w:rPr>
          <w:rFonts w:hint="eastAsia"/>
          <w:color w:val="000000" w:themeColor="text1"/>
          <w:sz w:val="18"/>
        </w:rPr>
        <w:t>局</w:t>
      </w:r>
    </w:p>
    <w:p w:rsidR="008111F1" w:rsidRPr="009263D7" w:rsidRDefault="00CB4B9E" w:rsidP="008111F1">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8111F1" w:rsidRPr="009263D7" w:rsidRDefault="00CB4B9E" w:rsidP="008111F1">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ED6E80" w:rsidRPr="009263D7" w:rsidRDefault="00CB4B9E" w:rsidP="00ED6E80">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r w:rsidRPr="00CB4B9E">
        <w:rPr>
          <w:color w:val="000000" w:themeColor="text1"/>
          <w:sz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ED6E80" w:rsidRPr="009263D7" w:rsidRDefault="00CB4B9E" w:rsidP="00ED6E80">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r w:rsidRPr="00CB4B9E">
        <w:rPr>
          <w:color w:val="000000" w:themeColor="text1"/>
          <w:sz w:val="18"/>
        </w:rPr>
        <w:t>1</w:t>
      </w:r>
      <w:r w:rsidRPr="00CB4B9E">
        <w:rPr>
          <w:rFonts w:hint="eastAsia"/>
          <w:color w:val="000000" w:themeColor="text1"/>
          <w:sz w:val="18"/>
        </w:rPr>
        <w:t>股，</w:t>
      </w:r>
      <w:r w:rsidRPr="00CB4B9E">
        <w:rPr>
          <w:color w:val="000000" w:themeColor="text1"/>
          <w:sz w:val="18"/>
        </w:rPr>
        <w:t>1</w:t>
      </w:r>
      <w:r w:rsidRPr="00CB4B9E">
        <w:rPr>
          <w:rFonts w:hint="eastAsia"/>
          <w:color w:val="000000" w:themeColor="text1"/>
          <w:sz w:val="18"/>
        </w:rPr>
        <w:t>份，</w:t>
      </w:r>
      <w:r w:rsidRPr="00CB4B9E">
        <w:rPr>
          <w:color w:val="000000" w:themeColor="text1"/>
          <w:sz w:val="18"/>
        </w:rPr>
        <w:t>%</w:t>
      </w:r>
    </w:p>
    <w:tbl>
      <w:tblPr>
        <w:tblW w:w="5000" w:type="pct"/>
        <w:tblLook w:val="0000"/>
      </w:tblPr>
      <w:tblGrid>
        <w:gridCol w:w="81"/>
        <w:gridCol w:w="1192"/>
        <w:gridCol w:w="1194"/>
        <w:gridCol w:w="1192"/>
        <w:gridCol w:w="1194"/>
        <w:gridCol w:w="1192"/>
        <w:gridCol w:w="1194"/>
        <w:gridCol w:w="1192"/>
        <w:gridCol w:w="1198"/>
      </w:tblGrid>
      <w:tr w:rsidR="00BD7319" w:rsidRPr="009263D7" w:rsidTr="00BD7319">
        <w:trPr>
          <w:trHeight w:val="284"/>
        </w:trPr>
        <w:tc>
          <w:tcPr>
            <w:tcW w:w="5000" w:type="pct"/>
            <w:gridSpan w:val="9"/>
            <w:tcBorders>
              <w:top w:val="single" w:sz="8" w:space="0" w:color="auto"/>
              <w:left w:val="nil"/>
              <w:bottom w:val="single" w:sz="2" w:space="0" w:color="auto"/>
              <w:right w:val="nil"/>
            </w:tcBorders>
            <w:shd w:val="clear" w:color="auto" w:fill="auto"/>
            <w:vAlign w:val="center"/>
          </w:tcPr>
          <w:p w:rsidR="00000000" w:rsidRDefault="00CB4B9E">
            <w:pPr>
              <w:jc w:val="center"/>
              <w:rPr>
                <w:kern w:val="0"/>
              </w:rPr>
            </w:pPr>
            <w:r w:rsidRPr="00CB4B9E">
              <w:rPr>
                <w:rFonts w:hint="eastAsia"/>
                <w:kern w:val="0"/>
              </w:rPr>
              <w:t>本月境外投资者新增或撤回股本（或营运资金）的金额（流量）</w:t>
            </w:r>
          </w:p>
        </w:tc>
      </w:tr>
      <w:tr w:rsidR="008111F1" w:rsidRPr="009263D7" w:rsidTr="0035038B">
        <w:trPr>
          <w:gridBefore w:val="1"/>
          <w:wBefore w:w="42" w:type="pct"/>
          <w:trHeight w:val="1000"/>
        </w:trPr>
        <w:tc>
          <w:tcPr>
            <w:tcW w:w="619" w:type="pct"/>
            <w:tcBorders>
              <w:top w:val="single" w:sz="4" w:space="0" w:color="auto"/>
              <w:left w:val="nil"/>
              <w:bottom w:val="single" w:sz="4" w:space="0" w:color="FFFFFF" w:themeColor="background1"/>
              <w:right w:val="single" w:sz="2" w:space="0" w:color="auto"/>
            </w:tcBorders>
            <w:shd w:val="clear" w:color="auto" w:fill="auto"/>
            <w:vAlign w:val="center"/>
          </w:tcPr>
          <w:p w:rsidR="008111F1" w:rsidRPr="009263D7" w:rsidRDefault="00CB4B9E" w:rsidP="00A324F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境外投资者代码</w:t>
            </w:r>
          </w:p>
          <w:p w:rsidR="008111F1" w:rsidRPr="009263D7" w:rsidRDefault="008111F1" w:rsidP="00984071">
            <w:pPr>
              <w:keepNext/>
              <w:spacing w:line="320" w:lineRule="exact"/>
              <w:jc w:val="center"/>
              <w:outlineLvl w:val="0"/>
              <w:rPr>
                <w:rFonts w:ascii="宋体" w:hAnsi="宋体" w:cs="宋体"/>
                <w:color w:val="000000" w:themeColor="text1"/>
                <w:kern w:val="0"/>
                <w:sz w:val="18"/>
                <w:szCs w:val="18"/>
              </w:rPr>
            </w:pPr>
          </w:p>
        </w:tc>
        <w:tc>
          <w:tcPr>
            <w:tcW w:w="620" w:type="pct"/>
            <w:tcBorders>
              <w:top w:val="single" w:sz="4" w:space="0" w:color="auto"/>
              <w:left w:val="single" w:sz="2" w:space="0" w:color="auto"/>
              <w:bottom w:val="single" w:sz="4" w:space="0" w:color="FFFFFF" w:themeColor="background1"/>
              <w:right w:val="single" w:sz="2" w:space="0" w:color="auto"/>
            </w:tcBorders>
            <w:shd w:val="clear" w:color="auto" w:fill="auto"/>
            <w:vAlign w:val="center"/>
          </w:tcPr>
          <w:p w:rsidR="008111F1" w:rsidRPr="009263D7" w:rsidRDefault="00CB4B9E" w:rsidP="00A324F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投资日期</w:t>
            </w:r>
          </w:p>
          <w:p w:rsidR="0035038B" w:rsidRDefault="0035038B" w:rsidP="00984071">
            <w:pPr>
              <w:jc w:val="center"/>
              <w:rPr>
                <w:rFonts w:ascii="宋体" w:hAnsi="宋体" w:cs="宋体"/>
                <w:color w:val="000000" w:themeColor="text1"/>
                <w:kern w:val="0"/>
                <w:sz w:val="18"/>
                <w:szCs w:val="18"/>
              </w:rPr>
            </w:pPr>
          </w:p>
          <w:p w:rsidR="008111F1" w:rsidRPr="009263D7" w:rsidRDefault="008111F1" w:rsidP="00984071">
            <w:pPr>
              <w:keepNext/>
              <w:spacing w:line="320" w:lineRule="exact"/>
              <w:jc w:val="center"/>
              <w:outlineLvl w:val="0"/>
              <w:rPr>
                <w:rFonts w:ascii="宋体" w:hAnsi="宋体" w:cs="宋体"/>
                <w:color w:val="000000" w:themeColor="text1"/>
                <w:kern w:val="0"/>
                <w:sz w:val="18"/>
                <w:szCs w:val="18"/>
              </w:rPr>
            </w:pPr>
          </w:p>
        </w:tc>
        <w:tc>
          <w:tcPr>
            <w:tcW w:w="619" w:type="pct"/>
            <w:tcBorders>
              <w:top w:val="single" w:sz="4" w:space="0" w:color="auto"/>
              <w:left w:val="single" w:sz="2" w:space="0" w:color="auto"/>
              <w:bottom w:val="single" w:sz="4" w:space="0" w:color="FFFFFF" w:themeColor="background1"/>
              <w:right w:val="single" w:sz="4" w:space="0" w:color="auto"/>
            </w:tcBorders>
            <w:shd w:val="clear" w:color="auto" w:fill="auto"/>
            <w:vAlign w:val="center"/>
          </w:tcPr>
          <w:p w:rsidR="008111F1" w:rsidRPr="009263D7" w:rsidRDefault="00CB4B9E" w:rsidP="00A324F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投资币种（原币）</w:t>
            </w:r>
          </w:p>
          <w:p w:rsidR="008111F1" w:rsidRPr="009263D7" w:rsidRDefault="008111F1" w:rsidP="00984071">
            <w:pPr>
              <w:keepNext/>
              <w:spacing w:line="320" w:lineRule="exact"/>
              <w:jc w:val="center"/>
              <w:outlineLvl w:val="0"/>
              <w:rPr>
                <w:rFonts w:ascii="宋体" w:hAnsi="宋体" w:cs="宋体"/>
                <w:color w:val="000000" w:themeColor="text1"/>
                <w:kern w:val="0"/>
                <w:sz w:val="18"/>
                <w:szCs w:val="18"/>
              </w:rPr>
            </w:pPr>
          </w:p>
        </w:tc>
        <w:tc>
          <w:tcPr>
            <w:tcW w:w="620" w:type="pct"/>
            <w:tcBorders>
              <w:top w:val="single" w:sz="4" w:space="0" w:color="auto"/>
              <w:left w:val="single" w:sz="2" w:space="0" w:color="auto"/>
              <w:bottom w:val="single" w:sz="4" w:space="0" w:color="FFFFFF" w:themeColor="background1"/>
              <w:right w:val="single" w:sz="4" w:space="0" w:color="auto"/>
            </w:tcBorders>
            <w:shd w:val="clear" w:color="auto" w:fill="auto"/>
            <w:vAlign w:val="center"/>
          </w:tcPr>
          <w:p w:rsidR="008111F1"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投资金额增减（</w:t>
            </w:r>
            <w:r w:rsidRPr="00CB4B9E">
              <w:rPr>
                <w:rFonts w:ascii="宋体" w:hAnsi="宋体" w:cs="宋体"/>
                <w:color w:val="000000" w:themeColor="text1"/>
                <w:kern w:val="0"/>
                <w:sz w:val="18"/>
                <w:szCs w:val="18"/>
              </w:rPr>
              <w:t>+或-）</w:t>
            </w:r>
          </w:p>
          <w:p w:rsidR="008111F1" w:rsidRPr="009263D7" w:rsidRDefault="008111F1" w:rsidP="00984071">
            <w:pPr>
              <w:keepNext/>
              <w:widowControl/>
              <w:spacing w:line="320" w:lineRule="exact"/>
              <w:jc w:val="center"/>
              <w:outlineLvl w:val="0"/>
              <w:rPr>
                <w:rFonts w:ascii="宋体" w:hAnsi="宋体" w:cs="宋体"/>
                <w:color w:val="000000" w:themeColor="text1"/>
                <w:kern w:val="0"/>
                <w:sz w:val="18"/>
                <w:szCs w:val="18"/>
              </w:rPr>
            </w:pPr>
          </w:p>
        </w:tc>
        <w:tc>
          <w:tcPr>
            <w:tcW w:w="619" w:type="pct"/>
            <w:tcBorders>
              <w:top w:val="single" w:sz="4" w:space="0" w:color="auto"/>
              <w:left w:val="single" w:sz="4" w:space="0" w:color="auto"/>
              <w:bottom w:val="single" w:sz="4" w:space="0" w:color="FFFFFF" w:themeColor="background1"/>
              <w:right w:val="single" w:sz="2" w:space="0" w:color="auto"/>
            </w:tcBorders>
            <w:shd w:val="clear" w:color="auto" w:fill="auto"/>
            <w:vAlign w:val="center"/>
          </w:tcPr>
          <w:p w:rsidR="0035038B" w:rsidRDefault="00CB4B9E" w:rsidP="00A324F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外方持有表决权比例</w:t>
            </w:r>
          </w:p>
          <w:p w:rsidR="008111F1" w:rsidRPr="009263D7" w:rsidRDefault="00CB4B9E" w:rsidP="00A324F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增减</w:t>
            </w:r>
            <w:r w:rsidRPr="00CB4B9E">
              <w:rPr>
                <w:rFonts w:ascii="宋体" w:hAnsi="宋体" w:cs="宋体"/>
                <w:color w:val="000000" w:themeColor="text1"/>
                <w:kern w:val="0"/>
                <w:sz w:val="18"/>
                <w:szCs w:val="18"/>
              </w:rPr>
              <w:t>(%)</w:t>
            </w:r>
          </w:p>
        </w:tc>
        <w:tc>
          <w:tcPr>
            <w:tcW w:w="620" w:type="pct"/>
            <w:tcBorders>
              <w:top w:val="single" w:sz="2" w:space="0" w:color="auto"/>
              <w:left w:val="single" w:sz="2" w:space="0" w:color="auto"/>
              <w:bottom w:val="single" w:sz="4" w:space="0" w:color="FFFFFF" w:themeColor="background1"/>
              <w:right w:val="single" w:sz="2" w:space="0" w:color="auto"/>
            </w:tcBorders>
            <w:shd w:val="clear" w:color="auto" w:fill="auto"/>
            <w:vAlign w:val="center"/>
          </w:tcPr>
          <w:p w:rsidR="00DF3D43"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是否兼并、收购</w:t>
            </w:r>
          </w:p>
          <w:p w:rsidR="008111F1" w:rsidRPr="009263D7" w:rsidRDefault="008111F1" w:rsidP="00984071">
            <w:pPr>
              <w:keepNext/>
              <w:widowControl/>
              <w:spacing w:line="320" w:lineRule="exact"/>
              <w:jc w:val="center"/>
              <w:outlineLvl w:val="0"/>
              <w:rPr>
                <w:rFonts w:ascii="宋体" w:hAnsi="宋体" w:cs="宋体"/>
                <w:color w:val="000000" w:themeColor="text1"/>
                <w:kern w:val="0"/>
                <w:sz w:val="18"/>
                <w:szCs w:val="18"/>
              </w:rPr>
            </w:pPr>
          </w:p>
        </w:tc>
        <w:tc>
          <w:tcPr>
            <w:tcW w:w="619" w:type="pct"/>
            <w:tcBorders>
              <w:top w:val="single" w:sz="2" w:space="0" w:color="auto"/>
              <w:left w:val="single" w:sz="2" w:space="0" w:color="auto"/>
              <w:bottom w:val="single" w:sz="4" w:space="0" w:color="FFFFFF" w:themeColor="background1"/>
              <w:right w:val="single" w:sz="2" w:space="0" w:color="auto"/>
            </w:tcBorders>
            <w:shd w:val="clear" w:color="auto" w:fill="auto"/>
            <w:vAlign w:val="center"/>
          </w:tcPr>
          <w:p w:rsidR="00A324FC"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出资</w:t>
            </w:r>
          </w:p>
          <w:p w:rsidR="00DF3D43"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方式</w:t>
            </w:r>
          </w:p>
          <w:p w:rsidR="008111F1" w:rsidRPr="009263D7" w:rsidRDefault="008111F1" w:rsidP="00984071">
            <w:pPr>
              <w:keepNext/>
              <w:widowControl/>
              <w:spacing w:line="320" w:lineRule="exact"/>
              <w:jc w:val="center"/>
              <w:outlineLvl w:val="0"/>
              <w:rPr>
                <w:rFonts w:ascii="宋体" w:hAnsi="宋体" w:cs="宋体"/>
                <w:color w:val="000000" w:themeColor="text1"/>
                <w:kern w:val="0"/>
                <w:sz w:val="18"/>
                <w:szCs w:val="18"/>
              </w:rPr>
            </w:pPr>
          </w:p>
        </w:tc>
        <w:tc>
          <w:tcPr>
            <w:tcW w:w="622" w:type="pct"/>
            <w:tcBorders>
              <w:top w:val="single" w:sz="2" w:space="0" w:color="auto"/>
              <w:left w:val="single" w:sz="2" w:space="0" w:color="auto"/>
              <w:bottom w:val="single" w:sz="4" w:space="0" w:color="FFFFFF" w:themeColor="background1"/>
            </w:tcBorders>
            <w:shd w:val="clear" w:color="auto" w:fill="auto"/>
            <w:vAlign w:val="center"/>
          </w:tcPr>
          <w:p w:rsidR="0035038B" w:rsidRPr="009263D7" w:rsidRDefault="0035038B" w:rsidP="0035038B">
            <w:pPr>
              <w:widowControl/>
              <w:jc w:val="center"/>
              <w:rPr>
                <w:rFonts w:ascii="宋体" w:hAnsi="宋体" w:cs="宋体"/>
                <w:color w:val="000000" w:themeColor="text1"/>
                <w:kern w:val="0"/>
                <w:sz w:val="18"/>
                <w:szCs w:val="18"/>
              </w:rPr>
            </w:pPr>
            <w:r w:rsidRPr="00595A67">
              <w:rPr>
                <w:rFonts w:ascii="宋体" w:hAnsi="宋体" w:cs="宋体" w:hint="eastAsia"/>
                <w:color w:val="000000" w:themeColor="text1"/>
                <w:kern w:val="0"/>
                <w:sz w:val="18"/>
                <w:szCs w:val="18"/>
              </w:rPr>
              <w:t>备注</w:t>
            </w:r>
          </w:p>
          <w:p w:rsidR="008111F1" w:rsidRPr="009263D7" w:rsidRDefault="008111F1" w:rsidP="00984071">
            <w:pPr>
              <w:widowControl/>
              <w:jc w:val="center"/>
              <w:rPr>
                <w:rFonts w:ascii="宋体" w:hAnsi="宋体" w:cs="宋体"/>
                <w:color w:val="000000" w:themeColor="text1"/>
                <w:kern w:val="0"/>
                <w:sz w:val="18"/>
                <w:szCs w:val="18"/>
              </w:rPr>
            </w:pPr>
          </w:p>
        </w:tc>
      </w:tr>
      <w:tr w:rsidR="0035038B" w:rsidRPr="009263D7" w:rsidTr="0035038B">
        <w:trPr>
          <w:gridBefore w:val="1"/>
          <w:wBefore w:w="42" w:type="pct"/>
          <w:trHeight w:val="250"/>
        </w:trPr>
        <w:tc>
          <w:tcPr>
            <w:tcW w:w="619" w:type="pct"/>
            <w:tcBorders>
              <w:top w:val="single" w:sz="4" w:space="0" w:color="FFFFFF" w:themeColor="background1"/>
              <w:left w:val="nil"/>
              <w:bottom w:val="single" w:sz="2" w:space="0" w:color="auto"/>
              <w:right w:val="single" w:sz="2" w:space="0" w:color="auto"/>
            </w:tcBorders>
            <w:shd w:val="clear" w:color="auto" w:fill="auto"/>
            <w:vAlign w:val="center"/>
          </w:tcPr>
          <w:p w:rsidR="0035038B" w:rsidRPr="00595A67" w:rsidRDefault="00CB4B9E" w:rsidP="00984071">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A0218</w:t>
            </w:r>
          </w:p>
        </w:tc>
        <w:tc>
          <w:tcPr>
            <w:tcW w:w="620" w:type="pct"/>
            <w:tcBorders>
              <w:top w:val="single" w:sz="4" w:space="0" w:color="FFFFFF" w:themeColor="background1"/>
              <w:left w:val="single" w:sz="2" w:space="0" w:color="auto"/>
              <w:bottom w:val="single" w:sz="2" w:space="0" w:color="auto"/>
              <w:right w:val="single" w:sz="2" w:space="0" w:color="auto"/>
            </w:tcBorders>
            <w:shd w:val="clear" w:color="auto" w:fill="auto"/>
            <w:vAlign w:val="center"/>
          </w:tcPr>
          <w:p w:rsidR="0035038B" w:rsidRPr="00595A67" w:rsidRDefault="00CB4B9E" w:rsidP="00984071">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A0230</w:t>
            </w:r>
          </w:p>
        </w:tc>
        <w:tc>
          <w:tcPr>
            <w:tcW w:w="619" w:type="pct"/>
            <w:tcBorders>
              <w:top w:val="single" w:sz="4" w:space="0" w:color="FFFFFF" w:themeColor="background1"/>
              <w:left w:val="single" w:sz="2" w:space="0" w:color="auto"/>
              <w:bottom w:val="single" w:sz="2" w:space="0" w:color="auto"/>
              <w:right w:val="single" w:sz="4" w:space="0" w:color="auto"/>
            </w:tcBorders>
            <w:shd w:val="clear" w:color="auto" w:fill="auto"/>
            <w:vAlign w:val="center"/>
          </w:tcPr>
          <w:p w:rsidR="0035038B" w:rsidRPr="00595A67" w:rsidRDefault="00CB4B9E" w:rsidP="00984071">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A0231</w:t>
            </w:r>
          </w:p>
        </w:tc>
        <w:tc>
          <w:tcPr>
            <w:tcW w:w="620" w:type="pct"/>
            <w:tcBorders>
              <w:top w:val="single" w:sz="4" w:space="0" w:color="FFFFFF" w:themeColor="background1"/>
              <w:left w:val="single" w:sz="2" w:space="0" w:color="auto"/>
              <w:bottom w:val="single" w:sz="2" w:space="0" w:color="auto"/>
              <w:right w:val="single" w:sz="4" w:space="0" w:color="auto"/>
            </w:tcBorders>
            <w:shd w:val="clear" w:color="auto" w:fill="auto"/>
            <w:vAlign w:val="center"/>
          </w:tcPr>
          <w:p w:rsidR="0035038B" w:rsidRPr="00595A67" w:rsidRDefault="00CB4B9E" w:rsidP="00984071">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A0232</w:t>
            </w:r>
          </w:p>
        </w:tc>
        <w:tc>
          <w:tcPr>
            <w:tcW w:w="619" w:type="pct"/>
            <w:tcBorders>
              <w:top w:val="single" w:sz="4" w:space="0" w:color="FFFFFF" w:themeColor="background1"/>
              <w:left w:val="single" w:sz="4" w:space="0" w:color="auto"/>
              <w:bottom w:val="single" w:sz="2" w:space="0" w:color="auto"/>
              <w:right w:val="single" w:sz="2" w:space="0" w:color="auto"/>
            </w:tcBorders>
            <w:shd w:val="clear" w:color="auto" w:fill="auto"/>
            <w:vAlign w:val="center"/>
          </w:tcPr>
          <w:p w:rsidR="0035038B" w:rsidRPr="00595A67" w:rsidRDefault="00CB4B9E" w:rsidP="00984071">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A0233</w:t>
            </w:r>
          </w:p>
        </w:tc>
        <w:tc>
          <w:tcPr>
            <w:tcW w:w="620" w:type="pct"/>
            <w:tcBorders>
              <w:top w:val="single" w:sz="4" w:space="0" w:color="FFFFFF" w:themeColor="background1"/>
              <w:left w:val="single" w:sz="2" w:space="0" w:color="auto"/>
              <w:bottom w:val="single" w:sz="2" w:space="0" w:color="auto"/>
              <w:right w:val="single" w:sz="2" w:space="0" w:color="auto"/>
            </w:tcBorders>
            <w:shd w:val="clear" w:color="auto" w:fill="auto"/>
            <w:vAlign w:val="center"/>
          </w:tcPr>
          <w:p w:rsidR="0035038B" w:rsidRPr="00595A67" w:rsidRDefault="00CB4B9E" w:rsidP="00984071">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A0234</w:t>
            </w:r>
          </w:p>
        </w:tc>
        <w:tc>
          <w:tcPr>
            <w:tcW w:w="619" w:type="pct"/>
            <w:tcBorders>
              <w:top w:val="single" w:sz="4" w:space="0" w:color="FFFFFF" w:themeColor="background1"/>
              <w:left w:val="single" w:sz="2" w:space="0" w:color="auto"/>
              <w:bottom w:val="single" w:sz="2" w:space="0" w:color="auto"/>
              <w:right w:val="single" w:sz="2" w:space="0" w:color="auto"/>
            </w:tcBorders>
            <w:shd w:val="clear" w:color="auto" w:fill="auto"/>
            <w:vAlign w:val="center"/>
          </w:tcPr>
          <w:p w:rsidR="0035038B" w:rsidRPr="00595A67" w:rsidRDefault="00CB4B9E" w:rsidP="00984071">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A0235</w:t>
            </w:r>
          </w:p>
        </w:tc>
        <w:tc>
          <w:tcPr>
            <w:tcW w:w="622" w:type="pct"/>
            <w:tcBorders>
              <w:top w:val="single" w:sz="4" w:space="0" w:color="FFFFFF" w:themeColor="background1"/>
              <w:left w:val="single" w:sz="2" w:space="0" w:color="auto"/>
              <w:bottom w:val="single" w:sz="2" w:space="0" w:color="auto"/>
            </w:tcBorders>
            <w:shd w:val="clear" w:color="auto" w:fill="auto"/>
            <w:vAlign w:val="center"/>
          </w:tcPr>
          <w:p w:rsidR="0035038B" w:rsidRPr="00595A67" w:rsidDel="0035038B" w:rsidRDefault="00CB4B9E" w:rsidP="00984071">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A0236</w:t>
            </w:r>
          </w:p>
        </w:tc>
      </w:tr>
      <w:tr w:rsidR="008111F1" w:rsidRPr="009263D7" w:rsidTr="00BD7319">
        <w:trPr>
          <w:gridBefore w:val="1"/>
          <w:wBefore w:w="42" w:type="pct"/>
          <w:trHeight w:val="312"/>
        </w:trPr>
        <w:tc>
          <w:tcPr>
            <w:tcW w:w="619" w:type="pct"/>
            <w:tcBorders>
              <w:top w:val="single" w:sz="2" w:space="0" w:color="auto"/>
              <w:left w:val="nil"/>
              <w:bottom w:val="single" w:sz="2" w:space="0" w:color="auto"/>
              <w:right w:val="single" w:sz="2" w:space="0" w:color="auto"/>
            </w:tcBorders>
            <w:shd w:val="clear" w:color="auto" w:fill="auto"/>
            <w:noWrap/>
            <w:vAlign w:val="center"/>
          </w:tcPr>
          <w:p w:rsidR="008111F1"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620"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癸</w:t>
            </w:r>
          </w:p>
        </w:tc>
        <w:tc>
          <w:tcPr>
            <w:tcW w:w="619" w:type="pct"/>
            <w:tcBorders>
              <w:top w:val="single" w:sz="2" w:space="0" w:color="auto"/>
              <w:left w:val="single" w:sz="2" w:space="0" w:color="auto"/>
              <w:bottom w:val="single" w:sz="2" w:space="0" w:color="auto"/>
              <w:right w:val="single" w:sz="4" w:space="0" w:color="auto"/>
            </w:tcBorders>
            <w:shd w:val="clear" w:color="auto" w:fill="auto"/>
            <w:noWrap/>
            <w:vAlign w:val="center"/>
          </w:tcPr>
          <w:p w:rsidR="008111F1"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子</w:t>
            </w:r>
          </w:p>
        </w:tc>
        <w:tc>
          <w:tcPr>
            <w:tcW w:w="620" w:type="pct"/>
            <w:tcBorders>
              <w:top w:val="single" w:sz="4" w:space="0" w:color="auto"/>
              <w:left w:val="single" w:sz="4" w:space="0" w:color="auto"/>
              <w:bottom w:val="single" w:sz="2" w:space="0" w:color="auto"/>
              <w:right w:val="single" w:sz="2" w:space="0" w:color="auto"/>
            </w:tcBorders>
            <w:shd w:val="clear" w:color="auto" w:fill="auto"/>
            <w:vAlign w:val="center"/>
          </w:tcPr>
          <w:p w:rsidR="008111F1" w:rsidRPr="009263D7" w:rsidRDefault="00CB4B9E" w:rsidP="00A324FC">
            <w:pPr>
              <w:ind w:firstLineChars="150" w:firstLine="270"/>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21</w:t>
            </w:r>
          </w:p>
        </w:tc>
        <w:tc>
          <w:tcPr>
            <w:tcW w:w="619"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w:t>
            </w:r>
          </w:p>
        </w:tc>
        <w:tc>
          <w:tcPr>
            <w:tcW w:w="620"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丑</w:t>
            </w:r>
          </w:p>
        </w:tc>
        <w:tc>
          <w:tcPr>
            <w:tcW w:w="619" w:type="pct"/>
            <w:tcBorders>
              <w:top w:val="single" w:sz="2" w:space="0" w:color="auto"/>
              <w:left w:val="single" w:sz="2" w:space="0" w:color="auto"/>
              <w:bottom w:val="single" w:sz="2" w:space="0" w:color="auto"/>
              <w:right w:val="single" w:sz="2" w:space="0" w:color="auto"/>
            </w:tcBorders>
            <w:shd w:val="clear" w:color="auto" w:fill="auto"/>
            <w:noWrap/>
            <w:vAlign w:val="center"/>
          </w:tcPr>
          <w:p w:rsidR="008111F1"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寅</w:t>
            </w:r>
          </w:p>
        </w:tc>
        <w:tc>
          <w:tcPr>
            <w:tcW w:w="622" w:type="pct"/>
            <w:tcBorders>
              <w:top w:val="single" w:sz="2" w:space="0" w:color="auto"/>
              <w:left w:val="single" w:sz="2" w:space="0" w:color="auto"/>
              <w:bottom w:val="single" w:sz="2" w:space="0" w:color="auto"/>
            </w:tcBorders>
            <w:shd w:val="clear" w:color="auto" w:fill="auto"/>
            <w:noWrap/>
            <w:vAlign w:val="center"/>
          </w:tcPr>
          <w:p w:rsidR="008111F1" w:rsidRPr="009263D7" w:rsidRDefault="00CB4B9E" w:rsidP="00A324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卯</w:t>
            </w:r>
          </w:p>
        </w:tc>
      </w:tr>
    </w:tbl>
    <w:p w:rsidR="00A84352" w:rsidRPr="009263D7" w:rsidRDefault="00A84352" w:rsidP="00126F17">
      <w:pPr>
        <w:spacing w:line="240" w:lineRule="exact"/>
        <w:rPr>
          <w:color w:val="000000" w:themeColor="text1"/>
          <w:sz w:val="18"/>
        </w:rPr>
      </w:pPr>
    </w:p>
    <w:p w:rsidR="00502674" w:rsidRPr="009263D7" w:rsidRDefault="00502674" w:rsidP="00126F17">
      <w:pPr>
        <w:spacing w:line="240" w:lineRule="exact"/>
        <w:rPr>
          <w:color w:val="000000" w:themeColor="text1"/>
          <w:sz w:val="18"/>
        </w:rPr>
      </w:pPr>
    </w:p>
    <w:p w:rsidR="00502674" w:rsidRPr="009263D7" w:rsidRDefault="00502674" w:rsidP="00126F17">
      <w:pPr>
        <w:spacing w:line="240" w:lineRule="exact"/>
        <w:rPr>
          <w:color w:val="000000" w:themeColor="text1"/>
          <w:sz w:val="18"/>
        </w:rPr>
      </w:pPr>
    </w:p>
    <w:p w:rsidR="00502674" w:rsidRPr="009263D7" w:rsidRDefault="00502674" w:rsidP="00126F17">
      <w:pPr>
        <w:spacing w:line="240" w:lineRule="exact"/>
        <w:rPr>
          <w:color w:val="000000" w:themeColor="text1"/>
          <w:sz w:val="18"/>
        </w:rPr>
      </w:pPr>
    </w:p>
    <w:p w:rsidR="00502674" w:rsidRPr="009263D7" w:rsidRDefault="00502674" w:rsidP="00126F17">
      <w:pPr>
        <w:spacing w:line="240" w:lineRule="exact"/>
        <w:rPr>
          <w:color w:val="000000" w:themeColor="text1"/>
          <w:sz w:val="18"/>
        </w:rPr>
      </w:pPr>
    </w:p>
    <w:p w:rsidR="00502674" w:rsidRPr="009263D7" w:rsidRDefault="00502674" w:rsidP="00126F17">
      <w:pPr>
        <w:spacing w:line="240" w:lineRule="exact"/>
        <w:rPr>
          <w:color w:val="000000" w:themeColor="text1"/>
          <w:sz w:val="18"/>
        </w:rPr>
      </w:pPr>
    </w:p>
    <w:tbl>
      <w:tblPr>
        <w:tblW w:w="5000" w:type="pct"/>
        <w:tblBorders>
          <w:top w:val="single" w:sz="8" w:space="0" w:color="auto"/>
        </w:tblBorders>
        <w:tblLook w:val="0000"/>
      </w:tblPr>
      <w:tblGrid>
        <w:gridCol w:w="9629"/>
      </w:tblGrid>
      <w:tr w:rsidR="00A84352" w:rsidRPr="009263D7" w:rsidTr="00502674">
        <w:trPr>
          <w:trHeight w:val="100"/>
        </w:trPr>
        <w:tc>
          <w:tcPr>
            <w:tcW w:w="5000" w:type="pct"/>
          </w:tcPr>
          <w:p w:rsidR="00502674" w:rsidRPr="009263D7" w:rsidRDefault="00CB4B9E" w:rsidP="00502674">
            <w:pPr>
              <w:spacing w:line="240" w:lineRule="exact"/>
              <w:rPr>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502674" w:rsidRPr="009263D7" w:rsidRDefault="00CB4B9E" w:rsidP="00502674">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A84352" w:rsidRPr="009263D7" w:rsidRDefault="00A84352" w:rsidP="00A84352">
            <w:pPr>
              <w:keepNext/>
              <w:keepLines/>
              <w:tabs>
                <w:tab w:val="num" w:pos="1440"/>
              </w:tabs>
              <w:spacing w:before="260" w:after="260" w:line="240" w:lineRule="exact"/>
              <w:ind w:left="1080" w:hanging="720"/>
              <w:outlineLvl w:val="2"/>
              <w:rPr>
                <w:rFonts w:ascii="宋体"/>
                <w:color w:val="000000" w:themeColor="text1"/>
                <w:sz w:val="18"/>
              </w:rPr>
            </w:pPr>
          </w:p>
        </w:tc>
      </w:tr>
    </w:tbl>
    <w:p w:rsidR="003E7D8F" w:rsidRPr="009263D7" w:rsidRDefault="003E7D8F" w:rsidP="00126F17">
      <w:pPr>
        <w:spacing w:line="240" w:lineRule="exact"/>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rPr>
          <w:color w:val="000000" w:themeColor="text1"/>
          <w:sz w:val="18"/>
        </w:rPr>
      </w:pPr>
    </w:p>
    <w:p w:rsidR="003E7D8F" w:rsidRPr="009263D7" w:rsidRDefault="003E7D8F" w:rsidP="003E7D8F">
      <w:pPr>
        <w:ind w:firstLineChars="200" w:firstLine="360"/>
        <w:rPr>
          <w:color w:val="000000" w:themeColor="text1"/>
          <w:sz w:val="18"/>
        </w:rPr>
      </w:pPr>
    </w:p>
    <w:p w:rsidR="003E7D8F" w:rsidRPr="009263D7" w:rsidRDefault="003E7D8F" w:rsidP="003E7D8F">
      <w:pPr>
        <w:rPr>
          <w:color w:val="000000" w:themeColor="text1"/>
          <w:sz w:val="18"/>
        </w:rPr>
      </w:pPr>
    </w:p>
    <w:p w:rsidR="00A84352" w:rsidRPr="009263D7" w:rsidRDefault="00A84352" w:rsidP="003E7D8F">
      <w:pPr>
        <w:rPr>
          <w:color w:val="000000" w:themeColor="text1"/>
          <w:sz w:val="18"/>
        </w:rPr>
        <w:sectPr w:rsidR="00A84352" w:rsidRPr="009263D7" w:rsidSect="00B154A0">
          <w:pgSz w:w="11907" w:h="16840" w:code="9"/>
          <w:pgMar w:top="1418" w:right="1247" w:bottom="1247" w:left="1247" w:header="851" w:footer="992" w:gutter="0"/>
          <w:cols w:space="425"/>
          <w:titlePg/>
          <w:docGrid w:type="lines" w:linePitch="312"/>
        </w:sectPr>
      </w:pPr>
    </w:p>
    <w:p w:rsidR="00AE1822" w:rsidRPr="009263D7" w:rsidRDefault="00CB4B9E" w:rsidP="00AE1822">
      <w:pPr>
        <w:pStyle w:val="2"/>
        <w:jc w:val="center"/>
        <w:rPr>
          <w:rFonts w:ascii="宋体" w:eastAsia="宋体" w:hAnsi="宋体"/>
          <w:b w:val="0"/>
          <w:color w:val="000000" w:themeColor="text1"/>
          <w:kern w:val="0"/>
        </w:rPr>
      </w:pPr>
      <w:bookmarkStart w:id="17" w:name="_Toc452017129"/>
      <w:bookmarkStart w:id="18" w:name="_Toc187638063"/>
      <w:bookmarkStart w:id="19" w:name="OLE_LINK2"/>
      <w:r w:rsidRPr="00CB4B9E">
        <w:rPr>
          <w:rFonts w:ascii="宋体" w:eastAsia="宋体" w:hAnsi="宋体" w:hint="eastAsia"/>
          <w:b w:val="0"/>
          <w:color w:val="000000" w:themeColor="text1"/>
          <w:kern w:val="0"/>
        </w:rPr>
        <w:lastRenderedPageBreak/>
        <w:t>（三）证券投资（</w:t>
      </w:r>
      <w:r w:rsidRPr="00CB4B9E">
        <w:rPr>
          <w:rFonts w:ascii="宋体" w:eastAsia="宋体" w:hAnsi="宋体"/>
          <w:b w:val="0"/>
          <w:color w:val="000000" w:themeColor="text1"/>
          <w:kern w:val="0"/>
        </w:rPr>
        <w:t>10%以下股权和债务证券）</w:t>
      </w:r>
      <w:bookmarkEnd w:id="17"/>
    </w:p>
    <w:p w:rsidR="00AE1822" w:rsidRPr="009263D7" w:rsidRDefault="00CB4B9E" w:rsidP="00AE1822">
      <w:pPr>
        <w:pStyle w:val="3"/>
        <w:jc w:val="center"/>
        <w:rPr>
          <w:rFonts w:ascii="宋体" w:hAnsi="宋体"/>
          <w:b w:val="0"/>
          <w:color w:val="000000" w:themeColor="text1"/>
          <w:kern w:val="0"/>
          <w:sz w:val="28"/>
          <w:szCs w:val="28"/>
        </w:rPr>
      </w:pPr>
      <w:bookmarkStart w:id="20" w:name="_Toc452017130"/>
      <w:r w:rsidRPr="00CB4B9E">
        <w:rPr>
          <w:rFonts w:ascii="宋体" w:hAnsi="宋体" w:hint="eastAsia"/>
          <w:b w:val="0"/>
          <w:color w:val="000000" w:themeColor="text1"/>
          <w:kern w:val="0"/>
          <w:sz w:val="28"/>
          <w:szCs w:val="28"/>
        </w:rPr>
        <w:t>投资境外股本证券和投资基金份额（资产）</w:t>
      </w:r>
      <w:bookmarkEnd w:id="20"/>
    </w:p>
    <w:p w:rsidR="00AE1822" w:rsidRPr="009263D7" w:rsidRDefault="00CB4B9E" w:rsidP="00AE1822">
      <w:pPr>
        <w:spacing w:line="240" w:lineRule="exact"/>
        <w:ind w:firstLineChars="3300" w:firstLine="5940"/>
        <w:rPr>
          <w:color w:val="000000" w:themeColor="text1"/>
          <w:sz w:val="1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B01表</w:t>
      </w:r>
    </w:p>
    <w:p w:rsidR="00AE1822" w:rsidRPr="009263D7" w:rsidRDefault="00CB4B9E" w:rsidP="00AE1822">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AE1822" w:rsidRPr="009263D7" w:rsidRDefault="00CB4B9E" w:rsidP="00AE1822">
      <w:pPr>
        <w:spacing w:line="240" w:lineRule="exact"/>
        <w:ind w:rightChars="-17" w:right="-36"/>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AE1822" w:rsidRPr="009263D7" w:rsidRDefault="00CB4B9E" w:rsidP="00AE1822">
      <w:pPr>
        <w:spacing w:line="240" w:lineRule="exact"/>
        <w:ind w:rightChars="-17" w:right="-36"/>
        <w:jc w:val="left"/>
        <w:rPr>
          <w:color w:val="000000" w:themeColor="text1"/>
          <w:sz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AE1822" w:rsidRPr="009263D7" w:rsidRDefault="00CB4B9E" w:rsidP="00AE182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AE1822" w:rsidRPr="009263D7" w:rsidRDefault="00CB4B9E" w:rsidP="00AE1822">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AE1822" w:rsidRPr="009263D7" w:rsidRDefault="00CB4B9E" w:rsidP="00AE1822">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r w:rsidRPr="00CB4B9E">
        <w:rPr>
          <w:color w:val="000000" w:themeColor="text1"/>
          <w:sz w:val="18"/>
        </w:rPr>
        <w:t>1</w:t>
      </w:r>
      <w:r w:rsidRPr="00CB4B9E">
        <w:rPr>
          <w:rFonts w:hint="eastAsia"/>
          <w:color w:val="000000" w:themeColor="text1"/>
          <w:sz w:val="18"/>
        </w:rPr>
        <w:t>股，</w:t>
      </w:r>
      <w:r w:rsidRPr="00CB4B9E">
        <w:rPr>
          <w:color w:val="000000" w:themeColor="text1"/>
          <w:sz w:val="18"/>
        </w:rPr>
        <w:t>1</w:t>
      </w:r>
      <w:r w:rsidRPr="00CB4B9E">
        <w:rPr>
          <w:rFonts w:hint="eastAsia"/>
          <w:color w:val="000000" w:themeColor="text1"/>
          <w:sz w:val="18"/>
        </w:rPr>
        <w:t>份</w:t>
      </w:r>
    </w:p>
    <w:tbl>
      <w:tblPr>
        <w:tblW w:w="4729" w:type="pct"/>
        <w:tblLayout w:type="fixed"/>
        <w:tblLook w:val="04A0"/>
      </w:tblPr>
      <w:tblGrid>
        <w:gridCol w:w="666"/>
        <w:gridCol w:w="6"/>
        <w:gridCol w:w="682"/>
        <w:gridCol w:w="667"/>
        <w:gridCol w:w="667"/>
        <w:gridCol w:w="823"/>
        <w:gridCol w:w="202"/>
        <w:gridCol w:w="667"/>
        <w:gridCol w:w="647"/>
        <w:gridCol w:w="22"/>
        <w:gridCol w:w="40"/>
        <w:gridCol w:w="690"/>
        <w:gridCol w:w="607"/>
        <w:gridCol w:w="33"/>
        <w:gridCol w:w="665"/>
        <w:gridCol w:w="60"/>
        <w:gridCol w:w="284"/>
        <w:gridCol w:w="324"/>
        <w:gridCol w:w="180"/>
        <w:gridCol w:w="486"/>
        <w:gridCol w:w="15"/>
        <w:gridCol w:w="654"/>
        <w:gridCol w:w="20"/>
      </w:tblGrid>
      <w:tr w:rsidR="003E4EF1" w:rsidRPr="009263D7" w:rsidTr="00A2222A">
        <w:trPr>
          <w:trHeight w:val="1892"/>
        </w:trPr>
        <w:tc>
          <w:tcPr>
            <w:tcW w:w="366" w:type="pct"/>
            <w:tcBorders>
              <w:top w:val="single" w:sz="8" w:space="0" w:color="auto"/>
              <w:left w:val="nil"/>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填报机构身份</w:t>
            </w:r>
          </w:p>
        </w:tc>
        <w:tc>
          <w:tcPr>
            <w:tcW w:w="378" w:type="pct"/>
            <w:gridSpan w:val="2"/>
            <w:tcBorders>
              <w:top w:val="single" w:sz="8" w:space="0" w:color="auto"/>
              <w:left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被代理人</w:t>
            </w:r>
            <w:r w:rsidRPr="00CB4B9E">
              <w:rPr>
                <w:rFonts w:ascii="宋体" w:hAnsi="宋体" w:cs="宋体"/>
                <w:color w:val="000000" w:themeColor="text1"/>
                <w:kern w:val="0"/>
                <w:sz w:val="18"/>
                <w:szCs w:val="18"/>
              </w:rPr>
              <w:t>/委托人所属国家/地区</w:t>
            </w:r>
          </w:p>
        </w:tc>
        <w:tc>
          <w:tcPr>
            <w:tcW w:w="366" w:type="pct"/>
            <w:tcBorders>
              <w:top w:val="single" w:sz="8" w:space="0" w:color="auto"/>
              <w:left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被代理人</w:t>
            </w:r>
            <w:r w:rsidRPr="00CB4B9E">
              <w:rPr>
                <w:rFonts w:ascii="宋体" w:hAnsi="宋体" w:cs="宋体"/>
                <w:color w:val="000000" w:themeColor="text1"/>
                <w:kern w:val="0"/>
                <w:sz w:val="18"/>
                <w:szCs w:val="18"/>
              </w:rPr>
              <w:t>/委托人所属部门</w:t>
            </w:r>
          </w:p>
        </w:tc>
        <w:tc>
          <w:tcPr>
            <w:tcW w:w="366" w:type="pct"/>
            <w:tcBorders>
              <w:top w:val="single" w:sz="8" w:space="0" w:color="auto"/>
              <w:left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投资类型</w:t>
            </w:r>
          </w:p>
        </w:tc>
        <w:tc>
          <w:tcPr>
            <w:tcW w:w="563" w:type="pct"/>
            <w:gridSpan w:val="2"/>
            <w:tcBorders>
              <w:top w:val="single" w:sz="8" w:space="0" w:color="auto"/>
              <w:left w:val="single" w:sz="2" w:space="0" w:color="auto"/>
              <w:right w:val="single" w:sz="2" w:space="0" w:color="auto"/>
            </w:tcBorders>
          </w:tcPr>
          <w:p w:rsidR="003E4EF1" w:rsidRPr="009263D7" w:rsidRDefault="003E4EF1" w:rsidP="008E2D8C">
            <w:pPr>
              <w:keepNext/>
              <w:widowControl/>
              <w:spacing w:line="320" w:lineRule="exact"/>
              <w:jc w:val="center"/>
              <w:outlineLvl w:val="0"/>
              <w:rPr>
                <w:rFonts w:ascii="宋体" w:hAnsi="宋体" w:cs="宋体"/>
                <w:color w:val="000000" w:themeColor="text1"/>
                <w:kern w:val="0"/>
                <w:sz w:val="18"/>
                <w:szCs w:val="18"/>
              </w:rPr>
            </w:pPr>
          </w:p>
          <w:p w:rsidR="003E4EF1" w:rsidRPr="009263D7" w:rsidRDefault="003E4EF1" w:rsidP="008E2D8C">
            <w:pPr>
              <w:keepNext/>
              <w:widowControl/>
              <w:spacing w:line="320" w:lineRule="exact"/>
              <w:jc w:val="center"/>
              <w:outlineLvl w:val="0"/>
              <w:rPr>
                <w:rFonts w:ascii="宋体" w:hAnsi="宋体" w:cs="宋体"/>
                <w:color w:val="000000" w:themeColor="text1"/>
                <w:kern w:val="0"/>
                <w:sz w:val="18"/>
                <w:szCs w:val="18"/>
              </w:rPr>
            </w:pPr>
          </w:p>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业务</w:t>
            </w:r>
          </w:p>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类型</w:t>
            </w:r>
          </w:p>
        </w:tc>
        <w:tc>
          <w:tcPr>
            <w:tcW w:w="366" w:type="pct"/>
            <w:tcBorders>
              <w:top w:val="single" w:sz="8" w:space="0" w:color="auto"/>
              <w:left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发行地</w:t>
            </w:r>
          </w:p>
        </w:tc>
        <w:tc>
          <w:tcPr>
            <w:tcW w:w="367" w:type="pct"/>
            <w:gridSpan w:val="2"/>
            <w:tcBorders>
              <w:top w:val="single" w:sz="8" w:space="0" w:color="auto"/>
              <w:left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证券代码（逐支报送使用）</w:t>
            </w:r>
          </w:p>
        </w:tc>
        <w:tc>
          <w:tcPr>
            <w:tcW w:w="752" w:type="pct"/>
            <w:gridSpan w:val="4"/>
            <w:tcBorders>
              <w:top w:val="single" w:sz="8" w:space="0" w:color="auto"/>
              <w:left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证券发行主体名称（逐支报送使用）</w:t>
            </w:r>
          </w:p>
        </w:tc>
        <w:tc>
          <w:tcPr>
            <w:tcW w:w="554" w:type="pct"/>
            <w:gridSpan w:val="3"/>
            <w:tcBorders>
              <w:top w:val="single" w:sz="8" w:space="0" w:color="auto"/>
              <w:left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发行主体所属国家</w:t>
            </w:r>
            <w:r w:rsidRPr="00CB4B9E">
              <w:rPr>
                <w:rFonts w:ascii="宋体" w:hAnsi="宋体" w:cs="宋体"/>
                <w:color w:val="000000" w:themeColor="text1"/>
                <w:kern w:val="0"/>
                <w:sz w:val="18"/>
                <w:szCs w:val="18"/>
              </w:rPr>
              <w:t>/地区</w:t>
            </w:r>
          </w:p>
        </w:tc>
        <w:tc>
          <w:tcPr>
            <w:tcW w:w="552" w:type="pct"/>
            <w:gridSpan w:val="4"/>
            <w:tcBorders>
              <w:top w:val="single" w:sz="8" w:space="0" w:color="auto"/>
              <w:left w:val="single" w:sz="2" w:space="0" w:color="auto"/>
              <w:right w:val="single" w:sz="2" w:space="0" w:color="auto"/>
            </w:tcBorders>
            <w:shd w:val="clear" w:color="auto" w:fill="auto"/>
            <w:vAlign w:val="center"/>
          </w:tcPr>
          <w:p w:rsidR="003E4EF1" w:rsidRPr="009263D7" w:rsidRDefault="00CB4B9E" w:rsidP="000A6759">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发行主体所属部门</w:t>
            </w:r>
          </w:p>
        </w:tc>
        <w:tc>
          <w:tcPr>
            <w:tcW w:w="371" w:type="pct"/>
            <w:gridSpan w:val="2"/>
            <w:tcBorders>
              <w:top w:val="single" w:sz="8" w:space="0" w:color="auto"/>
              <w:left w:val="single" w:sz="2" w:space="0" w:color="auto"/>
              <w:right w:val="nil"/>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发行主体与本机构的关系</w:t>
            </w:r>
          </w:p>
        </w:tc>
      </w:tr>
      <w:tr w:rsidR="003E4EF1" w:rsidRPr="009263D7" w:rsidTr="00540848">
        <w:trPr>
          <w:trHeight w:val="285"/>
        </w:trPr>
        <w:tc>
          <w:tcPr>
            <w:tcW w:w="366" w:type="pct"/>
            <w:tcBorders>
              <w:left w:val="nil"/>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B0101</w:t>
            </w:r>
          </w:p>
        </w:tc>
        <w:tc>
          <w:tcPr>
            <w:tcW w:w="378" w:type="pct"/>
            <w:gridSpan w:val="2"/>
            <w:tcBorders>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B0102</w:t>
            </w:r>
          </w:p>
        </w:tc>
        <w:tc>
          <w:tcPr>
            <w:tcW w:w="366" w:type="pct"/>
            <w:tcBorders>
              <w:left w:val="single" w:sz="2" w:space="0" w:color="auto"/>
              <w:bottom w:val="single" w:sz="2" w:space="0" w:color="auto"/>
              <w:right w:val="single" w:sz="2"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B0103</w:t>
            </w:r>
          </w:p>
        </w:tc>
        <w:tc>
          <w:tcPr>
            <w:tcW w:w="366" w:type="pct"/>
            <w:tcBorders>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B0104</w:t>
            </w:r>
          </w:p>
        </w:tc>
        <w:tc>
          <w:tcPr>
            <w:tcW w:w="563" w:type="pct"/>
            <w:gridSpan w:val="2"/>
            <w:tcBorders>
              <w:left w:val="single" w:sz="2" w:space="0" w:color="auto"/>
              <w:bottom w:val="single" w:sz="2" w:space="0" w:color="auto"/>
              <w:right w:val="single" w:sz="2" w:space="0" w:color="auto"/>
            </w:tcBorders>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B0104</w:t>
            </w:r>
          </w:p>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CODE</w:t>
            </w:r>
          </w:p>
        </w:tc>
        <w:tc>
          <w:tcPr>
            <w:tcW w:w="366" w:type="pct"/>
            <w:tcBorders>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B0105</w:t>
            </w:r>
          </w:p>
        </w:tc>
        <w:tc>
          <w:tcPr>
            <w:tcW w:w="367" w:type="pct"/>
            <w:gridSpan w:val="2"/>
            <w:tcBorders>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B0106</w:t>
            </w:r>
          </w:p>
        </w:tc>
        <w:tc>
          <w:tcPr>
            <w:tcW w:w="752" w:type="pct"/>
            <w:gridSpan w:val="4"/>
            <w:tcBorders>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B0107</w:t>
            </w:r>
          </w:p>
        </w:tc>
        <w:tc>
          <w:tcPr>
            <w:tcW w:w="554" w:type="pct"/>
            <w:gridSpan w:val="3"/>
            <w:tcBorders>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B0108</w:t>
            </w:r>
          </w:p>
        </w:tc>
        <w:tc>
          <w:tcPr>
            <w:tcW w:w="552" w:type="pct"/>
            <w:gridSpan w:val="4"/>
            <w:tcBorders>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B0109</w:t>
            </w:r>
          </w:p>
        </w:tc>
        <w:tc>
          <w:tcPr>
            <w:tcW w:w="371" w:type="pct"/>
            <w:gridSpan w:val="2"/>
            <w:tcBorders>
              <w:left w:val="single" w:sz="2" w:space="0" w:color="auto"/>
              <w:bottom w:val="single" w:sz="2" w:space="0" w:color="auto"/>
              <w:right w:val="nil"/>
            </w:tcBorders>
            <w:shd w:val="clear" w:color="auto" w:fill="auto"/>
            <w:vAlign w:val="bottom"/>
          </w:tcPr>
          <w:p w:rsidR="00000000" w:rsidRDefault="00C97103">
            <w:pPr>
              <w:widowControl/>
              <w:jc w:val="center"/>
              <w:rPr>
                <w:rFonts w:ascii="宋体" w:hAnsi="宋体" w:cs="宋体"/>
                <w:color w:val="000000" w:themeColor="text1"/>
                <w:kern w:val="0"/>
                <w:sz w:val="18"/>
                <w:szCs w:val="18"/>
              </w:rPr>
            </w:pPr>
          </w:p>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B0110</w:t>
            </w:r>
          </w:p>
        </w:tc>
      </w:tr>
      <w:tr w:rsidR="003E4EF1" w:rsidRPr="009263D7" w:rsidTr="00A2222A">
        <w:trPr>
          <w:trHeight w:val="285"/>
        </w:trPr>
        <w:tc>
          <w:tcPr>
            <w:tcW w:w="366" w:type="pct"/>
            <w:tcBorders>
              <w:top w:val="single" w:sz="2" w:space="0" w:color="auto"/>
              <w:left w:val="nil"/>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378"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366" w:type="pct"/>
            <w:tcBorders>
              <w:top w:val="single" w:sz="2" w:space="0" w:color="auto"/>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366" w:type="pct"/>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563" w:type="pct"/>
            <w:gridSpan w:val="2"/>
            <w:tcBorders>
              <w:top w:val="single" w:sz="2" w:space="0" w:color="auto"/>
              <w:left w:val="single" w:sz="2" w:space="0" w:color="auto"/>
              <w:bottom w:val="single" w:sz="2" w:space="0" w:color="auto"/>
              <w:right w:val="single" w:sz="2" w:space="0" w:color="auto"/>
            </w:tcBorders>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366" w:type="pct"/>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367"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752" w:type="pct"/>
            <w:gridSpan w:val="4"/>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c>
          <w:tcPr>
            <w:tcW w:w="554" w:type="pct"/>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壬</w:t>
            </w:r>
          </w:p>
        </w:tc>
        <w:tc>
          <w:tcPr>
            <w:tcW w:w="552" w:type="pct"/>
            <w:gridSpan w:val="4"/>
            <w:tcBorders>
              <w:top w:val="single" w:sz="2" w:space="0" w:color="auto"/>
              <w:left w:val="single" w:sz="2" w:space="0" w:color="auto"/>
              <w:bottom w:val="single" w:sz="2" w:space="0" w:color="auto"/>
              <w:right w:val="single" w:sz="2" w:space="0" w:color="auto"/>
            </w:tcBorders>
            <w:shd w:val="clear" w:color="auto" w:fill="auto"/>
            <w:noWrap/>
          </w:tcPr>
          <w:p w:rsidR="003E4EF1" w:rsidRPr="009263D7" w:rsidRDefault="00CB4B9E" w:rsidP="000A6759">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癸</w:t>
            </w:r>
          </w:p>
        </w:tc>
        <w:tc>
          <w:tcPr>
            <w:tcW w:w="371" w:type="pct"/>
            <w:gridSpan w:val="2"/>
            <w:tcBorders>
              <w:top w:val="single" w:sz="2" w:space="0" w:color="auto"/>
              <w:left w:val="single" w:sz="2" w:space="0" w:color="auto"/>
              <w:bottom w:val="single" w:sz="2" w:space="0" w:color="auto"/>
              <w:right w:val="nil"/>
            </w:tcBorders>
            <w:shd w:val="clear" w:color="auto" w:fill="auto"/>
          </w:tcPr>
          <w:p w:rsidR="003E4EF1" w:rsidRPr="009263D7" w:rsidRDefault="00CB4B9E" w:rsidP="00454D1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子</w:t>
            </w:r>
          </w:p>
        </w:tc>
      </w:tr>
      <w:tr w:rsidR="003E4EF1" w:rsidRPr="009263D7" w:rsidTr="00A2222A">
        <w:trPr>
          <w:trHeight w:val="270"/>
        </w:trPr>
        <w:tc>
          <w:tcPr>
            <w:tcW w:w="366" w:type="pct"/>
            <w:tcBorders>
              <w:top w:val="single" w:sz="2" w:space="0" w:color="auto"/>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78" w:type="pct"/>
            <w:gridSpan w:val="2"/>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66" w:type="pct"/>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66" w:type="pct"/>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63" w:type="pct"/>
            <w:gridSpan w:val="2"/>
            <w:tcBorders>
              <w:top w:val="single" w:sz="2" w:space="0" w:color="auto"/>
              <w:left w:val="nil"/>
              <w:bottom w:val="nil"/>
              <w:right w:val="nil"/>
            </w:tcBorders>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single" w:sz="2" w:space="0" w:color="auto"/>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67" w:type="pct"/>
            <w:gridSpan w:val="2"/>
            <w:tcBorders>
              <w:top w:val="single" w:sz="2" w:space="0" w:color="auto"/>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752" w:type="pct"/>
            <w:gridSpan w:val="4"/>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54" w:type="pct"/>
            <w:gridSpan w:val="3"/>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77" w:type="pct"/>
            <w:gridSpan w:val="2"/>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75" w:type="pct"/>
            <w:gridSpan w:val="2"/>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71" w:type="pct"/>
            <w:gridSpan w:val="2"/>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E4EF1" w:rsidRPr="009263D7" w:rsidTr="00A2222A">
        <w:trPr>
          <w:trHeight w:val="270"/>
        </w:trPr>
        <w:tc>
          <w:tcPr>
            <w:tcW w:w="366" w:type="pct"/>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78" w:type="pct"/>
            <w:gridSpan w:val="2"/>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563" w:type="pct"/>
            <w:gridSpan w:val="2"/>
            <w:tcBorders>
              <w:top w:val="nil"/>
              <w:left w:val="nil"/>
              <w:bottom w:val="nil"/>
              <w:right w:val="nil"/>
            </w:tcBorders>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67" w:type="pct"/>
            <w:gridSpan w:val="2"/>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752" w:type="pct"/>
            <w:gridSpan w:val="4"/>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554" w:type="pct"/>
            <w:gridSpan w:val="3"/>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277" w:type="pct"/>
            <w:gridSpan w:val="2"/>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275" w:type="pct"/>
            <w:gridSpan w:val="2"/>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71" w:type="pct"/>
            <w:gridSpan w:val="2"/>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r>
      <w:tr w:rsidR="003E4EF1" w:rsidRPr="009263D7" w:rsidTr="00A2222A">
        <w:trPr>
          <w:trHeight w:val="285"/>
        </w:trPr>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78"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63" w:type="pct"/>
            <w:gridSpan w:val="2"/>
            <w:tcBorders>
              <w:top w:val="nil"/>
              <w:left w:val="nil"/>
              <w:bottom w:val="single" w:sz="8" w:space="0" w:color="auto"/>
              <w:right w:val="nil"/>
            </w:tcBorders>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67"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52" w:type="pct"/>
            <w:gridSpan w:val="4"/>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54" w:type="pct"/>
            <w:gridSpan w:val="3"/>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77"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75"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71"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E4EF1" w:rsidRPr="009263D7" w:rsidTr="00A2222A">
        <w:trPr>
          <w:trHeight w:val="285"/>
        </w:trPr>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378"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63" w:type="pct"/>
            <w:gridSpan w:val="2"/>
            <w:tcBorders>
              <w:top w:val="nil"/>
              <w:left w:val="nil"/>
              <w:bottom w:val="single" w:sz="8" w:space="0" w:color="auto"/>
              <w:right w:val="nil"/>
            </w:tcBorders>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67"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52" w:type="pct"/>
            <w:gridSpan w:val="4"/>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54" w:type="pct"/>
            <w:gridSpan w:val="3"/>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77"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75"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71"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E4EF1" w:rsidRPr="009263D7" w:rsidTr="00A2222A">
        <w:trPr>
          <w:gridAfter w:val="1"/>
          <w:wAfter w:w="11" w:type="pct"/>
          <w:trHeight w:val="285"/>
        </w:trPr>
        <w:tc>
          <w:tcPr>
            <w:tcW w:w="369" w:type="pct"/>
            <w:gridSpan w:val="2"/>
            <w:tcBorders>
              <w:top w:val="single" w:sz="8" w:space="0" w:color="auto"/>
              <w:left w:val="nil"/>
              <w:bottom w:val="single" w:sz="8" w:space="0" w:color="auto"/>
              <w:right w:val="nil"/>
            </w:tcBorders>
          </w:tcPr>
          <w:p w:rsidR="003E4EF1" w:rsidRPr="009263D7" w:rsidRDefault="003E4EF1" w:rsidP="008E2D8C">
            <w:pPr>
              <w:widowControl/>
              <w:jc w:val="center"/>
              <w:rPr>
                <w:rFonts w:ascii="宋体" w:hAnsi="宋体" w:cs="宋体"/>
                <w:color w:val="000000" w:themeColor="text1"/>
                <w:kern w:val="0"/>
                <w:sz w:val="18"/>
                <w:szCs w:val="18"/>
              </w:rPr>
            </w:pPr>
          </w:p>
        </w:tc>
        <w:tc>
          <w:tcPr>
            <w:tcW w:w="4620" w:type="pct"/>
            <w:gridSpan w:val="20"/>
            <w:tcBorders>
              <w:top w:val="single" w:sz="8" w:space="0" w:color="auto"/>
              <w:left w:val="nil"/>
              <w:bottom w:val="single" w:sz="8" w:space="0" w:color="auto"/>
              <w:right w:val="nil"/>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按证券的原始币种</w:t>
            </w:r>
          </w:p>
        </w:tc>
      </w:tr>
      <w:tr w:rsidR="00A2222A" w:rsidRPr="009263D7" w:rsidTr="00A2222A">
        <w:trPr>
          <w:gridAfter w:val="1"/>
          <w:wAfter w:w="11" w:type="pct"/>
          <w:trHeight w:val="285"/>
        </w:trPr>
        <w:tc>
          <w:tcPr>
            <w:tcW w:w="366" w:type="pct"/>
            <w:vMerge w:val="restart"/>
            <w:tcBorders>
              <w:top w:val="nil"/>
              <w:left w:val="nil"/>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378" w:type="pct"/>
            <w:gridSpan w:val="2"/>
            <w:vMerge w:val="restart"/>
            <w:tcBorders>
              <w:top w:val="nil"/>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上月末市值</w:t>
            </w:r>
          </w:p>
        </w:tc>
        <w:tc>
          <w:tcPr>
            <w:tcW w:w="366" w:type="pct"/>
            <w:vMerge w:val="restart"/>
            <w:tcBorders>
              <w:top w:val="nil"/>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本月买入金额</w:t>
            </w:r>
          </w:p>
        </w:tc>
        <w:tc>
          <w:tcPr>
            <w:tcW w:w="366" w:type="pct"/>
            <w:vMerge w:val="restart"/>
            <w:tcBorders>
              <w:top w:val="nil"/>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本月卖出金额</w:t>
            </w:r>
          </w:p>
        </w:tc>
        <w:tc>
          <w:tcPr>
            <w:tcW w:w="1697" w:type="pct"/>
            <w:gridSpan w:val="7"/>
            <w:tcBorders>
              <w:top w:val="single" w:sz="8" w:space="0" w:color="auto"/>
              <w:left w:val="single" w:sz="2" w:space="0" w:color="auto"/>
              <w:right w:val="single" w:sz="2" w:space="0" w:color="auto"/>
            </w:tcBorders>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716" w:type="pct"/>
            <w:gridSpan w:val="3"/>
            <w:vMerge w:val="restart"/>
            <w:tcBorders>
              <w:top w:val="nil"/>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本月末市值</w:t>
            </w:r>
          </w:p>
        </w:tc>
        <w:tc>
          <w:tcPr>
            <w:tcW w:w="367" w:type="pct"/>
            <w:gridSpan w:val="3"/>
            <w:vMerge w:val="restart"/>
            <w:tcBorders>
              <w:top w:val="nil"/>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本月股息</w:t>
            </w:r>
            <w:r w:rsidRPr="00CB4B9E">
              <w:rPr>
                <w:rFonts w:ascii="宋体" w:hAnsi="宋体" w:cs="宋体"/>
                <w:color w:val="000000" w:themeColor="text1"/>
                <w:kern w:val="0"/>
                <w:sz w:val="18"/>
                <w:szCs w:val="18"/>
              </w:rPr>
              <w:t>/红利收入</w:t>
            </w:r>
          </w:p>
        </w:tc>
        <w:tc>
          <w:tcPr>
            <w:tcW w:w="366" w:type="pct"/>
            <w:gridSpan w:val="2"/>
            <w:vMerge w:val="restart"/>
            <w:tcBorders>
              <w:top w:val="nil"/>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本月末持股（份额）数量（逐支报送使用）</w:t>
            </w:r>
          </w:p>
        </w:tc>
        <w:tc>
          <w:tcPr>
            <w:tcW w:w="367" w:type="pct"/>
            <w:gridSpan w:val="2"/>
            <w:vMerge w:val="restart"/>
            <w:tcBorders>
              <w:top w:val="nil"/>
              <w:left w:val="single" w:sz="2" w:space="0" w:color="auto"/>
              <w:bottom w:val="single" w:sz="2" w:space="0" w:color="auto"/>
              <w:right w:val="nil"/>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本月末每股（每份）市价（逐支报送使用）</w:t>
            </w:r>
          </w:p>
        </w:tc>
      </w:tr>
      <w:tr w:rsidR="00A2222A" w:rsidRPr="009263D7" w:rsidTr="00A2222A">
        <w:trPr>
          <w:gridAfter w:val="1"/>
          <w:wAfter w:w="11" w:type="pct"/>
          <w:trHeight w:val="1545"/>
        </w:trPr>
        <w:tc>
          <w:tcPr>
            <w:tcW w:w="366" w:type="pct"/>
            <w:vMerge/>
            <w:tcBorders>
              <w:top w:val="single" w:sz="2" w:space="0" w:color="auto"/>
              <w:left w:val="nil"/>
              <w:right w:val="single" w:sz="2" w:space="0" w:color="auto"/>
            </w:tcBorders>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c>
          <w:tcPr>
            <w:tcW w:w="378" w:type="pct"/>
            <w:gridSpan w:val="2"/>
            <w:vMerge/>
            <w:tcBorders>
              <w:top w:val="single" w:sz="2" w:space="0" w:color="auto"/>
              <w:left w:val="single" w:sz="2" w:space="0" w:color="auto"/>
              <w:right w:val="single" w:sz="2" w:space="0" w:color="auto"/>
            </w:tcBorders>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c>
          <w:tcPr>
            <w:tcW w:w="366" w:type="pct"/>
            <w:vMerge/>
            <w:tcBorders>
              <w:top w:val="single" w:sz="2" w:space="0" w:color="auto"/>
              <w:left w:val="single" w:sz="2" w:space="0" w:color="auto"/>
              <w:right w:val="single" w:sz="2" w:space="0" w:color="auto"/>
            </w:tcBorders>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c>
          <w:tcPr>
            <w:tcW w:w="366" w:type="pct"/>
            <w:vMerge/>
            <w:tcBorders>
              <w:top w:val="single" w:sz="2" w:space="0" w:color="auto"/>
              <w:left w:val="single" w:sz="2" w:space="0" w:color="auto"/>
              <w:right w:val="single" w:sz="2" w:space="0" w:color="auto"/>
            </w:tcBorders>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c>
          <w:tcPr>
            <w:tcW w:w="452" w:type="pct"/>
            <w:tcBorders>
              <w:left w:val="single" w:sz="2" w:space="0" w:color="auto"/>
              <w:right w:val="single" w:sz="2" w:space="0" w:color="auto"/>
            </w:tcBorders>
          </w:tcPr>
          <w:p w:rsidR="00A2222A" w:rsidRPr="009263D7" w:rsidRDefault="00A2222A" w:rsidP="008E2D8C">
            <w:pPr>
              <w:keepNext/>
              <w:widowControl/>
              <w:spacing w:line="320" w:lineRule="exact"/>
              <w:jc w:val="center"/>
              <w:outlineLvl w:val="0"/>
              <w:rPr>
                <w:rFonts w:ascii="宋体" w:hAnsi="宋体" w:cs="宋体"/>
                <w:color w:val="000000" w:themeColor="text1"/>
                <w:kern w:val="0"/>
                <w:sz w:val="18"/>
                <w:szCs w:val="18"/>
              </w:rPr>
            </w:pPr>
          </w:p>
        </w:tc>
        <w:tc>
          <w:tcPr>
            <w:tcW w:w="832" w:type="pct"/>
            <w:gridSpan w:val="3"/>
            <w:tcBorders>
              <w:top w:val="single" w:sz="2" w:space="0" w:color="auto"/>
              <w:left w:val="single" w:sz="2" w:space="0" w:color="auto"/>
              <w:right w:val="single" w:sz="2" w:space="0" w:color="auto"/>
            </w:tcBorders>
            <w:shd w:val="clear" w:color="auto" w:fill="auto"/>
            <w:vAlign w:val="center"/>
          </w:tcPr>
          <w:p w:rsidR="003E4EF1" w:rsidRPr="009263D7" w:rsidRDefault="00CB4B9E" w:rsidP="0034322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注销、调整或重新分类至其他报表统计的金额</w:t>
            </w:r>
          </w:p>
        </w:tc>
        <w:tc>
          <w:tcPr>
            <w:tcW w:w="413" w:type="pct"/>
            <w:gridSpan w:val="3"/>
            <w:tcBorders>
              <w:top w:val="single" w:sz="2" w:space="0" w:color="auto"/>
              <w:left w:val="single" w:sz="2" w:space="0" w:color="auto"/>
              <w:right w:val="single" w:sz="2" w:space="0" w:color="auto"/>
            </w:tcBorders>
            <w:shd w:val="clear" w:color="auto" w:fill="auto"/>
            <w:noWrap/>
            <w:vAlign w:val="center"/>
          </w:tcPr>
          <w:p w:rsidR="003E4EF1" w:rsidRPr="009263D7" w:rsidRDefault="00CB4B9E" w:rsidP="00F2779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价值重估因素</w:t>
            </w:r>
          </w:p>
        </w:tc>
        <w:tc>
          <w:tcPr>
            <w:tcW w:w="716" w:type="pct"/>
            <w:gridSpan w:val="3"/>
            <w:vMerge/>
            <w:tcBorders>
              <w:top w:val="single" w:sz="2" w:space="0" w:color="auto"/>
              <w:left w:val="single" w:sz="2" w:space="0" w:color="auto"/>
              <w:right w:val="single" w:sz="2" w:space="0" w:color="auto"/>
            </w:tcBorders>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c>
          <w:tcPr>
            <w:tcW w:w="367" w:type="pct"/>
            <w:gridSpan w:val="3"/>
            <w:vMerge/>
            <w:tcBorders>
              <w:top w:val="single" w:sz="2" w:space="0" w:color="auto"/>
              <w:left w:val="single" w:sz="2" w:space="0" w:color="auto"/>
              <w:right w:val="single" w:sz="2" w:space="0" w:color="auto"/>
            </w:tcBorders>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c>
          <w:tcPr>
            <w:tcW w:w="366" w:type="pct"/>
            <w:gridSpan w:val="2"/>
            <w:vMerge/>
            <w:tcBorders>
              <w:top w:val="single" w:sz="2" w:space="0" w:color="auto"/>
              <w:left w:val="single" w:sz="2" w:space="0" w:color="auto"/>
              <w:right w:val="single" w:sz="2" w:space="0" w:color="auto"/>
            </w:tcBorders>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c>
          <w:tcPr>
            <w:tcW w:w="367" w:type="pct"/>
            <w:gridSpan w:val="2"/>
            <w:vMerge/>
            <w:tcBorders>
              <w:top w:val="single" w:sz="2" w:space="0" w:color="auto"/>
              <w:left w:val="single" w:sz="2" w:space="0" w:color="auto"/>
              <w:right w:val="nil"/>
            </w:tcBorders>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r>
      <w:tr w:rsidR="00A2222A" w:rsidRPr="009263D7" w:rsidTr="00A2222A">
        <w:trPr>
          <w:gridAfter w:val="1"/>
          <w:wAfter w:w="11" w:type="pct"/>
          <w:trHeight w:val="285"/>
        </w:trPr>
        <w:tc>
          <w:tcPr>
            <w:tcW w:w="366" w:type="pct"/>
            <w:tcBorders>
              <w:top w:val="nil"/>
              <w:left w:val="nil"/>
              <w:bottom w:val="single" w:sz="2" w:space="0" w:color="auto"/>
              <w:right w:val="single" w:sz="2" w:space="0" w:color="auto"/>
            </w:tcBorders>
            <w:shd w:val="clear" w:color="auto" w:fill="auto"/>
            <w:noWrap/>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B0111</w:t>
            </w:r>
          </w:p>
        </w:tc>
        <w:tc>
          <w:tcPr>
            <w:tcW w:w="378" w:type="pct"/>
            <w:gridSpan w:val="2"/>
            <w:tcBorders>
              <w:top w:val="nil"/>
              <w:left w:val="single" w:sz="2" w:space="0" w:color="auto"/>
              <w:bottom w:val="single" w:sz="2" w:space="0" w:color="auto"/>
              <w:right w:val="single" w:sz="2" w:space="0" w:color="auto"/>
            </w:tcBorders>
            <w:shd w:val="clear" w:color="auto" w:fill="auto"/>
            <w:noWrap/>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B0112</w:t>
            </w:r>
          </w:p>
        </w:tc>
        <w:tc>
          <w:tcPr>
            <w:tcW w:w="366" w:type="pct"/>
            <w:tcBorders>
              <w:top w:val="nil"/>
              <w:left w:val="single" w:sz="2" w:space="0" w:color="auto"/>
              <w:bottom w:val="single" w:sz="2" w:space="0" w:color="auto"/>
              <w:right w:val="single" w:sz="2" w:space="0" w:color="auto"/>
            </w:tcBorders>
            <w:shd w:val="clear" w:color="auto" w:fill="auto"/>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B0113</w:t>
            </w:r>
          </w:p>
        </w:tc>
        <w:tc>
          <w:tcPr>
            <w:tcW w:w="366" w:type="pct"/>
            <w:tcBorders>
              <w:top w:val="nil"/>
              <w:left w:val="single" w:sz="2" w:space="0" w:color="auto"/>
              <w:bottom w:val="single" w:sz="2" w:space="0" w:color="auto"/>
              <w:right w:val="single" w:sz="2" w:space="0" w:color="auto"/>
            </w:tcBorders>
            <w:shd w:val="clear" w:color="auto" w:fill="auto"/>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B0114</w:t>
            </w:r>
          </w:p>
        </w:tc>
        <w:tc>
          <w:tcPr>
            <w:tcW w:w="452" w:type="pct"/>
            <w:tcBorders>
              <w:top w:val="nil"/>
              <w:left w:val="single" w:sz="2" w:space="0" w:color="auto"/>
              <w:bottom w:val="single" w:sz="2" w:space="0" w:color="auto"/>
              <w:right w:val="single" w:sz="2" w:space="0" w:color="auto"/>
            </w:tcBorders>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B0115</w:t>
            </w:r>
          </w:p>
        </w:tc>
        <w:tc>
          <w:tcPr>
            <w:tcW w:w="832" w:type="pct"/>
            <w:gridSpan w:val="3"/>
            <w:tcBorders>
              <w:top w:val="nil"/>
              <w:left w:val="single" w:sz="2" w:space="0" w:color="auto"/>
              <w:bottom w:val="single" w:sz="2" w:space="0" w:color="auto"/>
              <w:right w:val="single" w:sz="2" w:space="0" w:color="auto"/>
            </w:tcBorders>
            <w:shd w:val="clear" w:color="auto" w:fill="auto"/>
            <w:noWrap/>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B0116</w:t>
            </w:r>
          </w:p>
        </w:tc>
        <w:tc>
          <w:tcPr>
            <w:tcW w:w="413" w:type="pct"/>
            <w:gridSpan w:val="3"/>
            <w:tcBorders>
              <w:top w:val="nil"/>
              <w:left w:val="single" w:sz="2" w:space="0" w:color="auto"/>
              <w:bottom w:val="single" w:sz="2" w:space="0" w:color="auto"/>
              <w:right w:val="single" w:sz="2" w:space="0" w:color="auto"/>
            </w:tcBorders>
            <w:shd w:val="clear" w:color="auto" w:fill="auto"/>
            <w:noWrap/>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B0117</w:t>
            </w:r>
          </w:p>
        </w:tc>
        <w:tc>
          <w:tcPr>
            <w:tcW w:w="716" w:type="pct"/>
            <w:gridSpan w:val="3"/>
            <w:tcBorders>
              <w:top w:val="nil"/>
              <w:left w:val="single" w:sz="2" w:space="0" w:color="auto"/>
              <w:bottom w:val="single" w:sz="2" w:space="0" w:color="auto"/>
              <w:right w:val="single" w:sz="2" w:space="0" w:color="auto"/>
            </w:tcBorders>
            <w:shd w:val="clear" w:color="auto" w:fill="auto"/>
            <w:noWrap/>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B0118</w:t>
            </w:r>
          </w:p>
        </w:tc>
        <w:tc>
          <w:tcPr>
            <w:tcW w:w="367" w:type="pct"/>
            <w:gridSpan w:val="3"/>
            <w:tcBorders>
              <w:top w:val="nil"/>
              <w:left w:val="single" w:sz="2" w:space="0" w:color="auto"/>
              <w:bottom w:val="single" w:sz="2" w:space="0" w:color="auto"/>
              <w:right w:val="single" w:sz="2" w:space="0" w:color="auto"/>
            </w:tcBorders>
            <w:shd w:val="clear" w:color="auto" w:fill="auto"/>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B0119</w:t>
            </w:r>
          </w:p>
        </w:tc>
        <w:tc>
          <w:tcPr>
            <w:tcW w:w="366" w:type="pct"/>
            <w:gridSpan w:val="2"/>
            <w:tcBorders>
              <w:top w:val="nil"/>
              <w:left w:val="single" w:sz="2" w:space="0" w:color="auto"/>
              <w:bottom w:val="single" w:sz="2" w:space="0" w:color="auto"/>
              <w:right w:val="single" w:sz="2" w:space="0" w:color="auto"/>
            </w:tcBorders>
            <w:shd w:val="clear" w:color="auto" w:fill="auto"/>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B0120</w:t>
            </w:r>
          </w:p>
        </w:tc>
        <w:tc>
          <w:tcPr>
            <w:tcW w:w="367" w:type="pct"/>
            <w:gridSpan w:val="2"/>
            <w:tcBorders>
              <w:top w:val="nil"/>
              <w:left w:val="single" w:sz="2" w:space="0" w:color="auto"/>
              <w:bottom w:val="single" w:sz="2" w:space="0" w:color="auto"/>
              <w:right w:val="nil"/>
            </w:tcBorders>
            <w:shd w:val="clear" w:color="auto" w:fill="auto"/>
            <w:noWrap/>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B0121</w:t>
            </w:r>
          </w:p>
        </w:tc>
      </w:tr>
      <w:tr w:rsidR="00A2222A" w:rsidRPr="009263D7" w:rsidTr="00A2222A">
        <w:trPr>
          <w:gridAfter w:val="1"/>
          <w:wAfter w:w="11" w:type="pct"/>
          <w:trHeight w:val="285"/>
        </w:trPr>
        <w:tc>
          <w:tcPr>
            <w:tcW w:w="366" w:type="pct"/>
            <w:tcBorders>
              <w:top w:val="single" w:sz="2" w:space="0" w:color="auto"/>
              <w:left w:val="nil"/>
              <w:bottom w:val="single" w:sz="2" w:space="0" w:color="auto"/>
              <w:right w:val="single" w:sz="2" w:space="0" w:color="auto"/>
            </w:tcBorders>
            <w:shd w:val="clear" w:color="auto" w:fill="auto"/>
            <w:noWrap/>
            <w:vAlign w:val="center"/>
          </w:tcPr>
          <w:p w:rsidR="00DA25C1" w:rsidRPr="009263D7"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丑</w:t>
            </w:r>
          </w:p>
        </w:tc>
        <w:tc>
          <w:tcPr>
            <w:tcW w:w="378"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366" w:type="pct"/>
            <w:tcBorders>
              <w:top w:val="single" w:sz="2" w:space="0" w:color="auto"/>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366" w:type="pct"/>
            <w:tcBorders>
              <w:top w:val="single" w:sz="2" w:space="0" w:color="auto"/>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452" w:type="pct"/>
            <w:tcBorders>
              <w:top w:val="single" w:sz="2" w:space="0" w:color="auto"/>
              <w:left w:val="single" w:sz="2" w:space="0" w:color="auto"/>
              <w:bottom w:val="single" w:sz="2" w:space="0" w:color="auto"/>
              <w:right w:val="single" w:sz="2" w:space="0" w:color="auto"/>
            </w:tcBorders>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832" w:type="pct"/>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413" w:type="pct"/>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716" w:type="pct"/>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367" w:type="pct"/>
            <w:gridSpan w:val="3"/>
            <w:tcBorders>
              <w:top w:val="single" w:sz="2" w:space="0" w:color="auto"/>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366"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c>
          <w:tcPr>
            <w:tcW w:w="367" w:type="pct"/>
            <w:gridSpan w:val="2"/>
            <w:tcBorders>
              <w:top w:val="single" w:sz="2" w:space="0" w:color="auto"/>
              <w:left w:val="single" w:sz="2" w:space="0" w:color="auto"/>
              <w:bottom w:val="single" w:sz="2" w:space="0" w:color="auto"/>
              <w:right w:val="nil"/>
            </w:tcBorders>
            <w:shd w:val="clear" w:color="auto" w:fill="auto"/>
            <w:noWrap/>
            <w:vAlign w:val="center"/>
          </w:tcPr>
          <w:p w:rsidR="003E4EF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w:t>
            </w:r>
          </w:p>
        </w:tc>
      </w:tr>
      <w:tr w:rsidR="003E4EF1" w:rsidRPr="009263D7" w:rsidTr="00A2222A">
        <w:trPr>
          <w:trHeight w:val="270"/>
        </w:trPr>
        <w:tc>
          <w:tcPr>
            <w:tcW w:w="366" w:type="pct"/>
            <w:tcBorders>
              <w:top w:val="single" w:sz="2" w:space="0" w:color="auto"/>
              <w:left w:val="nil"/>
              <w:bottom w:val="nil"/>
              <w:right w:val="nil"/>
            </w:tcBorders>
            <w:shd w:val="clear" w:color="auto" w:fill="auto"/>
            <w:noWrap/>
            <w:vAlign w:val="center"/>
          </w:tcPr>
          <w:p w:rsidR="003E4EF1" w:rsidRPr="009263D7" w:rsidRDefault="003E4EF1" w:rsidP="008E2D8C">
            <w:pPr>
              <w:keepNext/>
              <w:widowControl/>
              <w:spacing w:line="320" w:lineRule="exact"/>
              <w:jc w:val="left"/>
              <w:outlineLvl w:val="0"/>
              <w:rPr>
                <w:rFonts w:ascii="宋体" w:hAnsi="宋体" w:cs="宋体"/>
                <w:color w:val="000000" w:themeColor="text1"/>
                <w:kern w:val="0"/>
                <w:sz w:val="18"/>
                <w:szCs w:val="18"/>
              </w:rPr>
            </w:pPr>
          </w:p>
        </w:tc>
        <w:tc>
          <w:tcPr>
            <w:tcW w:w="1110" w:type="pct"/>
            <w:gridSpan w:val="4"/>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63" w:type="pct"/>
            <w:gridSpan w:val="2"/>
            <w:tcBorders>
              <w:top w:val="single" w:sz="2" w:space="0" w:color="auto"/>
              <w:left w:val="nil"/>
              <w:bottom w:val="nil"/>
              <w:right w:val="nil"/>
            </w:tcBorders>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single" w:sz="2" w:space="0" w:color="auto"/>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89" w:type="pct"/>
            <w:gridSpan w:val="3"/>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12" w:type="pct"/>
            <w:gridSpan w:val="2"/>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16" w:type="pct"/>
            <w:gridSpan w:val="3"/>
            <w:tcBorders>
              <w:top w:val="single" w:sz="2" w:space="0" w:color="auto"/>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1080" w:type="pct"/>
            <w:gridSpan w:val="7"/>
            <w:tcBorders>
              <w:top w:val="single" w:sz="2" w:space="0" w:color="auto"/>
              <w:left w:val="nil"/>
              <w:bottom w:val="nil"/>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E4EF1" w:rsidRPr="009263D7" w:rsidTr="00A2222A">
        <w:trPr>
          <w:trHeight w:val="270"/>
        </w:trPr>
        <w:tc>
          <w:tcPr>
            <w:tcW w:w="366" w:type="pct"/>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1110" w:type="pct"/>
            <w:gridSpan w:val="4"/>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563" w:type="pct"/>
            <w:gridSpan w:val="2"/>
            <w:tcBorders>
              <w:top w:val="nil"/>
              <w:left w:val="nil"/>
              <w:bottom w:val="nil"/>
              <w:right w:val="nil"/>
            </w:tcBorders>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389" w:type="pct"/>
            <w:gridSpan w:val="3"/>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712" w:type="pct"/>
            <w:gridSpan w:val="2"/>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416" w:type="pct"/>
            <w:gridSpan w:val="3"/>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c>
          <w:tcPr>
            <w:tcW w:w="1080" w:type="pct"/>
            <w:gridSpan w:val="7"/>
            <w:tcBorders>
              <w:top w:val="nil"/>
              <w:left w:val="nil"/>
              <w:bottom w:val="nil"/>
              <w:right w:val="nil"/>
            </w:tcBorders>
            <w:shd w:val="clear" w:color="auto" w:fill="auto"/>
            <w:noWrap/>
            <w:vAlign w:val="center"/>
          </w:tcPr>
          <w:p w:rsidR="003E4EF1" w:rsidRPr="009263D7" w:rsidRDefault="003E4EF1" w:rsidP="008E2D8C">
            <w:pPr>
              <w:widowControl/>
              <w:jc w:val="left"/>
              <w:rPr>
                <w:rFonts w:ascii="宋体" w:hAnsi="宋体" w:cs="宋体"/>
                <w:color w:val="000000" w:themeColor="text1"/>
                <w:kern w:val="0"/>
                <w:sz w:val="18"/>
                <w:szCs w:val="18"/>
              </w:rPr>
            </w:pPr>
          </w:p>
        </w:tc>
      </w:tr>
      <w:tr w:rsidR="003E4EF1" w:rsidRPr="009263D7" w:rsidTr="00A2222A">
        <w:trPr>
          <w:trHeight w:val="285"/>
        </w:trPr>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10" w:type="pct"/>
            <w:gridSpan w:val="4"/>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63" w:type="pct"/>
            <w:gridSpan w:val="2"/>
            <w:tcBorders>
              <w:top w:val="nil"/>
              <w:left w:val="nil"/>
              <w:bottom w:val="single" w:sz="8" w:space="0" w:color="auto"/>
              <w:right w:val="nil"/>
            </w:tcBorders>
          </w:tcPr>
          <w:p w:rsidR="003E4EF1" w:rsidRPr="009263D7" w:rsidRDefault="003E4EF1" w:rsidP="008E2D8C">
            <w:pPr>
              <w:widowControl/>
              <w:jc w:val="left"/>
              <w:rPr>
                <w:rFonts w:ascii="宋体" w:hAnsi="宋体" w:cs="宋体"/>
                <w:color w:val="000000" w:themeColor="text1"/>
                <w:kern w:val="0"/>
                <w:sz w:val="18"/>
                <w:szCs w:val="18"/>
              </w:rPr>
            </w:pPr>
          </w:p>
        </w:tc>
        <w:tc>
          <w:tcPr>
            <w:tcW w:w="366" w:type="pct"/>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89" w:type="pct"/>
            <w:gridSpan w:val="3"/>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12" w:type="pct"/>
            <w:gridSpan w:val="2"/>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16" w:type="pct"/>
            <w:gridSpan w:val="3"/>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080" w:type="pct"/>
            <w:gridSpan w:val="7"/>
            <w:tcBorders>
              <w:top w:val="nil"/>
              <w:left w:val="nil"/>
              <w:bottom w:val="single" w:sz="8" w:space="0" w:color="auto"/>
              <w:right w:val="nil"/>
            </w:tcBorders>
            <w:shd w:val="clear" w:color="auto" w:fill="auto"/>
            <w:noWrap/>
            <w:vAlign w:val="center"/>
          </w:tcPr>
          <w:p w:rsidR="003E4EF1"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AE1822" w:rsidRPr="009263D7" w:rsidRDefault="00CB4B9E" w:rsidP="00AE1822">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0A6759" w:rsidRPr="009263D7" w:rsidRDefault="00CB4B9E" w:rsidP="00AE1822">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AE1822" w:rsidRPr="009263D7" w:rsidRDefault="00CB4B9E" w:rsidP="00AE1822">
      <w:pPr>
        <w:pStyle w:val="3"/>
        <w:jc w:val="center"/>
        <w:rPr>
          <w:rFonts w:ascii="宋体" w:hAnsi="宋体"/>
          <w:b w:val="0"/>
          <w:color w:val="000000" w:themeColor="text1"/>
          <w:kern w:val="0"/>
          <w:sz w:val="28"/>
          <w:szCs w:val="28"/>
        </w:rPr>
      </w:pPr>
      <w:r w:rsidRPr="00CB4B9E">
        <w:rPr>
          <w:rFonts w:ascii="宋体"/>
          <w:color w:val="000000" w:themeColor="text1"/>
          <w:sz w:val="18"/>
        </w:rPr>
        <w:br w:type="page"/>
      </w:r>
      <w:bookmarkStart w:id="21" w:name="_Toc452017131"/>
      <w:r w:rsidRPr="00CB4B9E">
        <w:rPr>
          <w:rFonts w:ascii="宋体" w:hAnsi="宋体" w:hint="eastAsia"/>
          <w:b w:val="0"/>
          <w:color w:val="000000" w:themeColor="text1"/>
          <w:kern w:val="0"/>
          <w:sz w:val="28"/>
          <w:szCs w:val="28"/>
        </w:rPr>
        <w:lastRenderedPageBreak/>
        <w:t>投资境外债务证券（资产）</w:t>
      </w:r>
      <w:bookmarkEnd w:id="21"/>
    </w:p>
    <w:p w:rsidR="00AE1822" w:rsidRPr="009263D7" w:rsidRDefault="00CB4B9E" w:rsidP="00AE1822">
      <w:pPr>
        <w:spacing w:line="240" w:lineRule="exact"/>
        <w:ind w:firstLineChars="3150" w:firstLine="5670"/>
        <w:rPr>
          <w:rFonts w:ascii="宋体" w:hAnsi="宋体"/>
          <w:color w:val="000000" w:themeColor="text1"/>
          <w:kern w:val="0"/>
          <w:sz w:val="32"/>
          <w:szCs w:val="32"/>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B02表</w:t>
      </w:r>
    </w:p>
    <w:p w:rsidR="00AE1822" w:rsidRPr="009263D7" w:rsidRDefault="00CB4B9E" w:rsidP="00AE1822">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AE1822" w:rsidRPr="009263D7" w:rsidRDefault="00CB4B9E" w:rsidP="00AE1822">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AE1822" w:rsidRPr="009263D7" w:rsidRDefault="00CB4B9E" w:rsidP="00AE182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AE1822" w:rsidRPr="009263D7" w:rsidRDefault="00CB4B9E" w:rsidP="00AE182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AE1822" w:rsidRPr="009263D7" w:rsidRDefault="00CB4B9E" w:rsidP="00AE1822">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AE1822" w:rsidRPr="009263D7" w:rsidRDefault="00CB4B9E" w:rsidP="00AE1822">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9400" w:type="dxa"/>
        <w:tblInd w:w="93" w:type="dxa"/>
        <w:tblLayout w:type="fixed"/>
        <w:tblLook w:val="04A0"/>
      </w:tblPr>
      <w:tblGrid>
        <w:gridCol w:w="788"/>
        <w:gridCol w:w="788"/>
        <w:gridCol w:w="140"/>
        <w:gridCol w:w="112"/>
        <w:gridCol w:w="881"/>
        <w:gridCol w:w="120"/>
        <w:gridCol w:w="730"/>
        <w:gridCol w:w="241"/>
        <w:gridCol w:w="691"/>
        <w:gridCol w:w="60"/>
        <w:gridCol w:w="993"/>
        <w:gridCol w:w="241"/>
        <w:gridCol w:w="751"/>
        <w:gridCol w:w="365"/>
        <w:gridCol w:w="735"/>
        <w:gridCol w:w="34"/>
        <w:gridCol w:w="942"/>
        <w:gridCol w:w="788"/>
      </w:tblGrid>
      <w:tr w:rsidR="00F96115" w:rsidRPr="009263D7" w:rsidTr="00371B78">
        <w:trPr>
          <w:trHeight w:val="312"/>
        </w:trPr>
        <w:tc>
          <w:tcPr>
            <w:tcW w:w="788" w:type="dxa"/>
            <w:vMerge w:val="restart"/>
            <w:tcBorders>
              <w:top w:val="single" w:sz="8" w:space="0" w:color="auto"/>
              <w:left w:val="nil"/>
              <w:bottom w:val="nil"/>
              <w:right w:val="single" w:sz="2" w:space="0" w:color="auto"/>
            </w:tcBorders>
            <w:shd w:val="clear" w:color="auto" w:fill="auto"/>
            <w:vAlign w:val="center"/>
          </w:tcPr>
          <w:p w:rsidR="00F96115" w:rsidRPr="009263D7" w:rsidRDefault="00CB4B9E" w:rsidP="00E456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填报机构身份</w:t>
            </w:r>
          </w:p>
        </w:tc>
        <w:tc>
          <w:tcPr>
            <w:tcW w:w="928" w:type="dxa"/>
            <w:gridSpan w:val="2"/>
            <w:vMerge w:val="restart"/>
            <w:tcBorders>
              <w:top w:val="single" w:sz="8" w:space="0" w:color="auto"/>
              <w:left w:val="single" w:sz="2" w:space="0" w:color="auto"/>
              <w:bottom w:val="nil"/>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被代理人</w:t>
            </w:r>
            <w:r w:rsidRPr="00CB4B9E">
              <w:rPr>
                <w:rFonts w:ascii="宋体" w:hAnsi="宋体" w:cs="宋体"/>
                <w:color w:val="000000" w:themeColor="text1"/>
                <w:kern w:val="0"/>
                <w:sz w:val="18"/>
                <w:szCs w:val="18"/>
              </w:rPr>
              <w:t>/委托人</w:t>
            </w:r>
            <w:r w:rsidRPr="00CB4B9E">
              <w:rPr>
                <w:rFonts w:ascii="宋体" w:hAnsi="宋体" w:cs="宋体" w:hint="eastAsia"/>
                <w:color w:val="000000" w:themeColor="text1"/>
                <w:kern w:val="0"/>
                <w:sz w:val="18"/>
                <w:szCs w:val="18"/>
              </w:rPr>
              <w:t>所属国家</w:t>
            </w:r>
            <w:r w:rsidRPr="00CB4B9E">
              <w:rPr>
                <w:rFonts w:ascii="宋体" w:hAnsi="宋体" w:cs="宋体"/>
                <w:color w:val="000000" w:themeColor="text1"/>
                <w:kern w:val="0"/>
                <w:sz w:val="18"/>
                <w:szCs w:val="18"/>
              </w:rPr>
              <w:t xml:space="preserve">/地区                   </w:t>
            </w:r>
          </w:p>
        </w:tc>
        <w:tc>
          <w:tcPr>
            <w:tcW w:w="993" w:type="dxa"/>
            <w:gridSpan w:val="2"/>
            <w:vMerge w:val="restart"/>
            <w:tcBorders>
              <w:top w:val="single" w:sz="8" w:space="0" w:color="auto"/>
              <w:left w:val="single" w:sz="2" w:space="0" w:color="auto"/>
              <w:bottom w:val="nil"/>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被代理人</w:t>
            </w:r>
            <w:r w:rsidRPr="00CB4B9E">
              <w:rPr>
                <w:rFonts w:ascii="宋体" w:hAnsi="宋体" w:cs="宋体"/>
                <w:color w:val="000000" w:themeColor="text1"/>
                <w:kern w:val="0"/>
                <w:sz w:val="18"/>
                <w:szCs w:val="18"/>
              </w:rPr>
              <w:t>/委托人</w:t>
            </w:r>
            <w:r w:rsidRPr="00CB4B9E">
              <w:rPr>
                <w:rFonts w:ascii="宋体" w:hAnsi="宋体" w:cs="宋体" w:hint="eastAsia"/>
                <w:color w:val="000000" w:themeColor="text1"/>
                <w:kern w:val="0"/>
                <w:sz w:val="18"/>
                <w:szCs w:val="18"/>
              </w:rPr>
              <w:t>所属部门</w:t>
            </w:r>
          </w:p>
        </w:tc>
        <w:tc>
          <w:tcPr>
            <w:tcW w:w="850" w:type="dxa"/>
            <w:gridSpan w:val="2"/>
            <w:vMerge w:val="restart"/>
            <w:tcBorders>
              <w:top w:val="single" w:sz="8" w:space="0" w:color="auto"/>
              <w:left w:val="single" w:sz="2" w:space="0" w:color="auto"/>
              <w:bottom w:val="nil"/>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发行地</w:t>
            </w:r>
          </w:p>
        </w:tc>
        <w:tc>
          <w:tcPr>
            <w:tcW w:w="992" w:type="dxa"/>
            <w:gridSpan w:val="3"/>
            <w:vMerge w:val="restart"/>
            <w:tcBorders>
              <w:top w:val="single" w:sz="8" w:space="0" w:color="auto"/>
              <w:left w:val="single" w:sz="2" w:space="0" w:color="auto"/>
              <w:bottom w:val="nil"/>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证券代码（逐支报送使用）</w:t>
            </w:r>
          </w:p>
        </w:tc>
        <w:tc>
          <w:tcPr>
            <w:tcW w:w="993" w:type="dxa"/>
            <w:vMerge w:val="restart"/>
            <w:tcBorders>
              <w:top w:val="single" w:sz="8" w:space="0" w:color="auto"/>
              <w:left w:val="single" w:sz="2" w:space="0" w:color="auto"/>
              <w:bottom w:val="nil"/>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证券发行主体名称（逐支报送使用）</w:t>
            </w:r>
          </w:p>
        </w:tc>
        <w:tc>
          <w:tcPr>
            <w:tcW w:w="992" w:type="dxa"/>
            <w:gridSpan w:val="2"/>
            <w:vMerge w:val="restart"/>
            <w:tcBorders>
              <w:top w:val="single" w:sz="8" w:space="0" w:color="auto"/>
              <w:left w:val="single" w:sz="2" w:space="0" w:color="auto"/>
              <w:bottom w:val="nil"/>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发行主体所属国家</w:t>
            </w:r>
            <w:r w:rsidRPr="00CB4B9E">
              <w:rPr>
                <w:rFonts w:ascii="宋体" w:hAnsi="宋体" w:cs="宋体"/>
                <w:color w:val="000000" w:themeColor="text1"/>
                <w:kern w:val="0"/>
                <w:sz w:val="18"/>
                <w:szCs w:val="18"/>
              </w:rPr>
              <w:t>/地区</w:t>
            </w:r>
          </w:p>
        </w:tc>
        <w:tc>
          <w:tcPr>
            <w:tcW w:w="1100" w:type="dxa"/>
            <w:gridSpan w:val="2"/>
            <w:vMerge w:val="restart"/>
            <w:tcBorders>
              <w:top w:val="single" w:sz="8" w:space="0" w:color="auto"/>
              <w:left w:val="single" w:sz="2" w:space="0" w:color="auto"/>
              <w:bottom w:val="nil"/>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发行主体所属部门</w:t>
            </w:r>
            <w:r w:rsidRPr="00CB4B9E">
              <w:rPr>
                <w:rFonts w:ascii="宋体" w:hAnsi="宋体" w:cs="宋体"/>
                <w:color w:val="000000" w:themeColor="text1"/>
                <w:kern w:val="0"/>
                <w:sz w:val="18"/>
                <w:szCs w:val="18"/>
              </w:rPr>
              <w:t xml:space="preserve">                          </w:t>
            </w:r>
          </w:p>
        </w:tc>
        <w:tc>
          <w:tcPr>
            <w:tcW w:w="976" w:type="dxa"/>
            <w:gridSpan w:val="2"/>
            <w:vMerge w:val="restart"/>
            <w:tcBorders>
              <w:top w:val="single" w:sz="8" w:space="0" w:color="auto"/>
              <w:left w:val="single" w:sz="2" w:space="0" w:color="auto"/>
              <w:bottom w:val="nil"/>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发行主体与本机构的关系</w:t>
            </w:r>
            <w:r w:rsidRPr="00CB4B9E">
              <w:rPr>
                <w:rFonts w:ascii="宋体" w:hAnsi="宋体" w:cs="宋体"/>
                <w:color w:val="000000" w:themeColor="text1"/>
                <w:kern w:val="0"/>
                <w:sz w:val="18"/>
                <w:szCs w:val="18"/>
              </w:rPr>
              <w:t xml:space="preserve">            </w:t>
            </w:r>
          </w:p>
        </w:tc>
        <w:tc>
          <w:tcPr>
            <w:tcW w:w="788" w:type="dxa"/>
            <w:vMerge w:val="restart"/>
            <w:tcBorders>
              <w:top w:val="single" w:sz="8" w:space="0" w:color="auto"/>
              <w:left w:val="single" w:sz="2" w:space="0" w:color="auto"/>
              <w:bottom w:val="nil"/>
              <w:right w:val="nil"/>
            </w:tcBorders>
            <w:shd w:val="clear" w:color="auto" w:fill="auto"/>
            <w:vAlign w:val="center"/>
          </w:tcPr>
          <w:p w:rsidR="00371B78"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w:t>
            </w:r>
          </w:p>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期限</w:t>
            </w:r>
          </w:p>
        </w:tc>
      </w:tr>
      <w:tr w:rsidR="00F96115" w:rsidRPr="009263D7" w:rsidTr="00371B78">
        <w:trPr>
          <w:trHeight w:val="320"/>
        </w:trPr>
        <w:tc>
          <w:tcPr>
            <w:tcW w:w="788" w:type="dxa"/>
            <w:vMerge/>
            <w:tcBorders>
              <w:top w:val="single" w:sz="8" w:space="0" w:color="auto"/>
              <w:left w:val="nil"/>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28"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93"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850"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92" w:type="dxa"/>
            <w:gridSpan w:val="3"/>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93" w:type="dxa"/>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92"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1100"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76"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788" w:type="dxa"/>
            <w:vMerge/>
            <w:tcBorders>
              <w:top w:val="single" w:sz="8" w:space="0" w:color="auto"/>
              <w:left w:val="single" w:sz="2" w:space="0" w:color="auto"/>
              <w:bottom w:val="nil"/>
              <w:right w:val="nil"/>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r>
      <w:tr w:rsidR="00F96115" w:rsidRPr="009263D7" w:rsidTr="00371B78">
        <w:trPr>
          <w:trHeight w:val="320"/>
        </w:trPr>
        <w:tc>
          <w:tcPr>
            <w:tcW w:w="788" w:type="dxa"/>
            <w:vMerge/>
            <w:tcBorders>
              <w:top w:val="single" w:sz="8" w:space="0" w:color="auto"/>
              <w:left w:val="nil"/>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28"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93"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850"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92" w:type="dxa"/>
            <w:gridSpan w:val="3"/>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93" w:type="dxa"/>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92"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1100"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976" w:type="dxa"/>
            <w:gridSpan w:val="2"/>
            <w:vMerge/>
            <w:tcBorders>
              <w:top w:val="single" w:sz="8" w:space="0" w:color="auto"/>
              <w:left w:val="single" w:sz="2" w:space="0" w:color="auto"/>
              <w:bottom w:val="nil"/>
              <w:right w:val="single" w:sz="2" w:space="0" w:color="auto"/>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c>
          <w:tcPr>
            <w:tcW w:w="788" w:type="dxa"/>
            <w:vMerge/>
            <w:tcBorders>
              <w:top w:val="single" w:sz="8" w:space="0" w:color="auto"/>
              <w:left w:val="single" w:sz="2" w:space="0" w:color="auto"/>
              <w:bottom w:val="nil"/>
              <w:right w:val="nil"/>
            </w:tcBorders>
            <w:vAlign w:val="center"/>
          </w:tcPr>
          <w:p w:rsidR="00F96115" w:rsidRPr="009263D7" w:rsidRDefault="00F96115" w:rsidP="00F96115">
            <w:pPr>
              <w:keepNext/>
              <w:widowControl/>
              <w:spacing w:line="320" w:lineRule="exact"/>
              <w:jc w:val="left"/>
              <w:outlineLvl w:val="0"/>
              <w:rPr>
                <w:rFonts w:ascii="宋体" w:hAnsi="宋体" w:cs="宋体"/>
                <w:color w:val="000000" w:themeColor="text1"/>
                <w:kern w:val="0"/>
                <w:sz w:val="18"/>
                <w:szCs w:val="18"/>
              </w:rPr>
            </w:pPr>
          </w:p>
        </w:tc>
      </w:tr>
      <w:tr w:rsidR="00F96115" w:rsidRPr="009263D7" w:rsidTr="00371B78">
        <w:trPr>
          <w:trHeight w:val="300"/>
        </w:trPr>
        <w:tc>
          <w:tcPr>
            <w:tcW w:w="788" w:type="dxa"/>
            <w:tcBorders>
              <w:top w:val="nil"/>
              <w:left w:val="nil"/>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B0201</w:t>
            </w:r>
          </w:p>
        </w:tc>
        <w:tc>
          <w:tcPr>
            <w:tcW w:w="928" w:type="dxa"/>
            <w:gridSpan w:val="2"/>
            <w:tcBorders>
              <w:top w:val="nil"/>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B0202</w:t>
            </w:r>
          </w:p>
        </w:tc>
        <w:tc>
          <w:tcPr>
            <w:tcW w:w="993" w:type="dxa"/>
            <w:gridSpan w:val="2"/>
            <w:tcBorders>
              <w:top w:val="nil"/>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B0203</w:t>
            </w:r>
          </w:p>
        </w:tc>
        <w:tc>
          <w:tcPr>
            <w:tcW w:w="850" w:type="dxa"/>
            <w:gridSpan w:val="2"/>
            <w:tcBorders>
              <w:top w:val="nil"/>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B0204</w:t>
            </w:r>
          </w:p>
        </w:tc>
        <w:tc>
          <w:tcPr>
            <w:tcW w:w="992" w:type="dxa"/>
            <w:gridSpan w:val="3"/>
            <w:tcBorders>
              <w:top w:val="nil"/>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B0205</w:t>
            </w:r>
          </w:p>
        </w:tc>
        <w:tc>
          <w:tcPr>
            <w:tcW w:w="993" w:type="dxa"/>
            <w:tcBorders>
              <w:top w:val="nil"/>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B0206</w:t>
            </w:r>
          </w:p>
        </w:tc>
        <w:tc>
          <w:tcPr>
            <w:tcW w:w="992" w:type="dxa"/>
            <w:gridSpan w:val="2"/>
            <w:tcBorders>
              <w:top w:val="nil"/>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B0207</w:t>
            </w:r>
          </w:p>
        </w:tc>
        <w:tc>
          <w:tcPr>
            <w:tcW w:w="1100" w:type="dxa"/>
            <w:gridSpan w:val="2"/>
            <w:tcBorders>
              <w:top w:val="nil"/>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B0208</w:t>
            </w:r>
          </w:p>
        </w:tc>
        <w:tc>
          <w:tcPr>
            <w:tcW w:w="976" w:type="dxa"/>
            <w:gridSpan w:val="2"/>
            <w:tcBorders>
              <w:top w:val="nil"/>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B0209</w:t>
            </w:r>
          </w:p>
        </w:tc>
        <w:tc>
          <w:tcPr>
            <w:tcW w:w="788" w:type="dxa"/>
            <w:tcBorders>
              <w:top w:val="nil"/>
              <w:left w:val="single" w:sz="2" w:space="0" w:color="auto"/>
              <w:bottom w:val="single" w:sz="2"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B0210</w:t>
            </w:r>
          </w:p>
        </w:tc>
      </w:tr>
      <w:tr w:rsidR="00F96115" w:rsidRPr="009263D7" w:rsidTr="00371B78">
        <w:trPr>
          <w:trHeight w:val="300"/>
        </w:trPr>
        <w:tc>
          <w:tcPr>
            <w:tcW w:w="788" w:type="dxa"/>
            <w:tcBorders>
              <w:top w:val="single" w:sz="2" w:space="0" w:color="auto"/>
              <w:left w:val="nil"/>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92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99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85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993" w:type="dxa"/>
            <w:tcBorders>
              <w:top w:val="single" w:sz="2" w:space="0" w:color="auto"/>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11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辛</w:t>
            </w:r>
          </w:p>
        </w:tc>
        <w:tc>
          <w:tcPr>
            <w:tcW w:w="97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壬</w:t>
            </w:r>
          </w:p>
        </w:tc>
        <w:tc>
          <w:tcPr>
            <w:tcW w:w="788" w:type="dxa"/>
            <w:tcBorders>
              <w:top w:val="single" w:sz="2" w:space="0" w:color="auto"/>
              <w:left w:val="single" w:sz="2" w:space="0" w:color="auto"/>
              <w:bottom w:val="single" w:sz="2"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癸</w:t>
            </w:r>
          </w:p>
        </w:tc>
      </w:tr>
      <w:tr w:rsidR="00F96115" w:rsidRPr="009263D7" w:rsidTr="00371B78">
        <w:trPr>
          <w:trHeight w:val="285"/>
        </w:trPr>
        <w:tc>
          <w:tcPr>
            <w:tcW w:w="788" w:type="dxa"/>
            <w:tcBorders>
              <w:top w:val="single" w:sz="2" w:space="0" w:color="auto"/>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928" w:type="dxa"/>
            <w:gridSpan w:val="2"/>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3" w:type="dxa"/>
            <w:gridSpan w:val="2"/>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50" w:type="dxa"/>
            <w:gridSpan w:val="2"/>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2" w:type="dxa"/>
            <w:gridSpan w:val="3"/>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3" w:type="dxa"/>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2" w:type="dxa"/>
            <w:gridSpan w:val="2"/>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00" w:type="dxa"/>
            <w:gridSpan w:val="2"/>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76" w:type="dxa"/>
            <w:gridSpan w:val="2"/>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88" w:type="dxa"/>
            <w:tcBorders>
              <w:top w:val="single" w:sz="2" w:space="0" w:color="auto"/>
              <w:left w:val="nil"/>
              <w:bottom w:val="nil"/>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F96115" w:rsidRPr="009263D7" w:rsidTr="00371B78">
        <w:trPr>
          <w:trHeight w:val="285"/>
        </w:trPr>
        <w:tc>
          <w:tcPr>
            <w:tcW w:w="788" w:type="dxa"/>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928" w:type="dxa"/>
            <w:gridSpan w:val="2"/>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993" w:type="dxa"/>
            <w:gridSpan w:val="2"/>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850" w:type="dxa"/>
            <w:gridSpan w:val="2"/>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992" w:type="dxa"/>
            <w:gridSpan w:val="3"/>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993" w:type="dxa"/>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992" w:type="dxa"/>
            <w:gridSpan w:val="2"/>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1100" w:type="dxa"/>
            <w:gridSpan w:val="2"/>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976" w:type="dxa"/>
            <w:gridSpan w:val="2"/>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c>
          <w:tcPr>
            <w:tcW w:w="788" w:type="dxa"/>
            <w:tcBorders>
              <w:top w:val="nil"/>
              <w:left w:val="nil"/>
              <w:bottom w:val="nil"/>
              <w:right w:val="nil"/>
            </w:tcBorders>
            <w:shd w:val="clear" w:color="auto" w:fill="auto"/>
            <w:vAlign w:val="center"/>
          </w:tcPr>
          <w:p w:rsidR="00F96115" w:rsidRPr="009263D7" w:rsidRDefault="00F96115" w:rsidP="00F96115">
            <w:pPr>
              <w:keepNext/>
              <w:widowControl/>
              <w:spacing w:line="320" w:lineRule="exact"/>
              <w:jc w:val="center"/>
              <w:outlineLvl w:val="0"/>
              <w:rPr>
                <w:rFonts w:ascii="Calibri" w:hAnsi="Calibri" w:cs="宋体"/>
                <w:color w:val="000000" w:themeColor="text1"/>
                <w:kern w:val="0"/>
                <w:szCs w:val="21"/>
              </w:rPr>
            </w:pPr>
          </w:p>
        </w:tc>
      </w:tr>
      <w:tr w:rsidR="00F96115" w:rsidRPr="009263D7" w:rsidTr="00371B78">
        <w:trPr>
          <w:trHeight w:val="300"/>
        </w:trPr>
        <w:tc>
          <w:tcPr>
            <w:tcW w:w="788" w:type="dxa"/>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28" w:type="dxa"/>
            <w:gridSpan w:val="2"/>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3" w:type="dxa"/>
            <w:gridSpan w:val="2"/>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50" w:type="dxa"/>
            <w:gridSpan w:val="2"/>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2" w:type="dxa"/>
            <w:gridSpan w:val="3"/>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3" w:type="dxa"/>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2" w:type="dxa"/>
            <w:gridSpan w:val="2"/>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00" w:type="dxa"/>
            <w:gridSpan w:val="2"/>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76" w:type="dxa"/>
            <w:gridSpan w:val="2"/>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88" w:type="dxa"/>
            <w:tcBorders>
              <w:top w:val="nil"/>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r w:rsidR="00F96115" w:rsidRPr="009263D7" w:rsidTr="00371B78">
        <w:trPr>
          <w:trHeight w:val="300"/>
        </w:trPr>
        <w:tc>
          <w:tcPr>
            <w:tcW w:w="788" w:type="dxa"/>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928" w:type="dxa"/>
            <w:gridSpan w:val="2"/>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93" w:type="dxa"/>
            <w:gridSpan w:val="2"/>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850" w:type="dxa"/>
            <w:gridSpan w:val="2"/>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92" w:type="dxa"/>
            <w:gridSpan w:val="3"/>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93" w:type="dxa"/>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92" w:type="dxa"/>
            <w:gridSpan w:val="2"/>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100" w:type="dxa"/>
            <w:gridSpan w:val="2"/>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76" w:type="dxa"/>
            <w:gridSpan w:val="2"/>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88" w:type="dxa"/>
            <w:tcBorders>
              <w:top w:val="single" w:sz="8" w:space="0" w:color="auto"/>
              <w:left w:val="nil"/>
              <w:bottom w:val="single" w:sz="8" w:space="0" w:color="auto"/>
              <w:right w:val="nil"/>
            </w:tcBorders>
            <w:shd w:val="clear" w:color="auto" w:fill="auto"/>
            <w:vAlign w:val="center"/>
          </w:tcPr>
          <w:p w:rsidR="00F96115" w:rsidRPr="009263D7" w:rsidRDefault="00CB4B9E" w:rsidP="00F96115">
            <w:pPr>
              <w:widowControl/>
              <w:jc w:val="center"/>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r w:rsidR="00C268D2" w:rsidRPr="009263D7" w:rsidTr="0039746E">
        <w:trPr>
          <w:trHeight w:val="375"/>
        </w:trPr>
        <w:tc>
          <w:tcPr>
            <w:tcW w:w="9400" w:type="dxa"/>
            <w:gridSpan w:val="18"/>
            <w:tcBorders>
              <w:top w:val="single" w:sz="8" w:space="0" w:color="auto"/>
              <w:left w:val="nil"/>
              <w:bottom w:val="single" w:sz="2" w:space="0" w:color="auto"/>
            </w:tcBorders>
            <w:shd w:val="clear" w:color="auto" w:fill="auto"/>
            <w:vAlign w:val="center"/>
          </w:tcPr>
          <w:p w:rsidR="00C268D2" w:rsidRPr="009263D7" w:rsidRDefault="00CB4B9E" w:rsidP="00F96115">
            <w:pPr>
              <w:widowControl/>
              <w:jc w:val="center"/>
              <w:rPr>
                <w:rFonts w:ascii="宋体" w:hAnsi="宋体" w:cs="宋体"/>
                <w:color w:val="000000" w:themeColor="text1"/>
                <w:kern w:val="0"/>
                <w:sz w:val="18"/>
                <w:szCs w:val="18"/>
              </w:rPr>
            </w:pPr>
            <w:r w:rsidRPr="00CB4B9E">
              <w:rPr>
                <w:rFonts w:ascii="Calibri" w:hAnsi="Calibri" w:cs="宋体" w:hint="eastAsia"/>
                <w:color w:val="000000" w:themeColor="text1"/>
                <w:kern w:val="0"/>
                <w:szCs w:val="21"/>
              </w:rPr>
              <w:t xml:space="preserve">　</w:t>
            </w:r>
            <w:r w:rsidRPr="00CB4B9E">
              <w:rPr>
                <w:rFonts w:ascii="宋体" w:hAnsi="宋体" w:cs="宋体" w:hint="eastAsia"/>
                <w:color w:val="000000" w:themeColor="text1"/>
                <w:kern w:val="0"/>
                <w:sz w:val="18"/>
                <w:szCs w:val="18"/>
              </w:rPr>
              <w:t>按证券的原始币种</w:t>
            </w:r>
          </w:p>
        </w:tc>
      </w:tr>
      <w:tr w:rsidR="00C96A73" w:rsidRPr="009263D7">
        <w:trPr>
          <w:trHeight w:val="300"/>
        </w:trPr>
        <w:tc>
          <w:tcPr>
            <w:tcW w:w="788" w:type="dxa"/>
            <w:vMerge w:val="restart"/>
            <w:tcBorders>
              <w:top w:val="single" w:sz="2" w:space="0" w:color="auto"/>
              <w:left w:val="nil"/>
              <w:right w:val="single" w:sz="2" w:space="0" w:color="auto"/>
            </w:tcBorders>
            <w:shd w:val="clear" w:color="auto" w:fill="auto"/>
            <w:vAlign w:val="center"/>
          </w:tcPr>
          <w:p w:rsidR="00C96A73"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r w:rsidRPr="00CB4B9E">
              <w:rPr>
                <w:rFonts w:ascii="宋体" w:hAnsi="宋体" w:cs="宋体"/>
                <w:color w:val="000000" w:themeColor="text1"/>
                <w:kern w:val="0"/>
                <w:sz w:val="18"/>
                <w:szCs w:val="18"/>
              </w:rPr>
              <w:t xml:space="preserve">              </w:t>
            </w:r>
          </w:p>
        </w:tc>
        <w:tc>
          <w:tcPr>
            <w:tcW w:w="1040" w:type="dxa"/>
            <w:gridSpan w:val="3"/>
            <w:vMerge w:val="restart"/>
            <w:tcBorders>
              <w:top w:val="single" w:sz="2" w:space="0" w:color="auto"/>
              <w:left w:val="single" w:sz="2" w:space="0" w:color="auto"/>
              <w:right w:val="single" w:sz="2" w:space="0" w:color="auto"/>
            </w:tcBorders>
            <w:shd w:val="clear" w:color="auto" w:fill="auto"/>
            <w:vAlign w:val="center"/>
          </w:tcPr>
          <w:p w:rsidR="0035038B"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w:t>
            </w:r>
          </w:p>
          <w:p w:rsidR="00C96A73"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市值</w:t>
            </w:r>
          </w:p>
        </w:tc>
        <w:tc>
          <w:tcPr>
            <w:tcW w:w="1001" w:type="dxa"/>
            <w:gridSpan w:val="2"/>
            <w:vMerge w:val="restart"/>
            <w:tcBorders>
              <w:top w:val="single" w:sz="2" w:space="0" w:color="auto"/>
              <w:left w:val="single" w:sz="2" w:space="0" w:color="auto"/>
              <w:right w:val="single" w:sz="2" w:space="0" w:color="auto"/>
            </w:tcBorders>
            <w:shd w:val="clear" w:color="auto" w:fill="auto"/>
            <w:vAlign w:val="center"/>
          </w:tcPr>
          <w:p w:rsidR="00C96A73"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本月买入金额</w:t>
            </w:r>
          </w:p>
        </w:tc>
        <w:tc>
          <w:tcPr>
            <w:tcW w:w="971" w:type="dxa"/>
            <w:gridSpan w:val="2"/>
            <w:vMerge w:val="restart"/>
            <w:tcBorders>
              <w:top w:val="single" w:sz="2" w:space="0" w:color="auto"/>
              <w:left w:val="single" w:sz="2" w:space="0" w:color="auto"/>
              <w:right w:val="single" w:sz="2" w:space="0" w:color="auto"/>
            </w:tcBorders>
            <w:shd w:val="clear" w:color="auto" w:fill="auto"/>
            <w:vAlign w:val="center"/>
          </w:tcPr>
          <w:p w:rsidR="00C96A73"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本月卖出金额</w:t>
            </w:r>
          </w:p>
        </w:tc>
        <w:tc>
          <w:tcPr>
            <w:tcW w:w="3101" w:type="dxa"/>
            <w:gridSpan w:val="6"/>
            <w:tcBorders>
              <w:top w:val="single" w:sz="2" w:space="0" w:color="auto"/>
              <w:left w:val="single" w:sz="2" w:space="0" w:color="auto"/>
              <w:bottom w:val="nil"/>
              <w:right w:val="single" w:sz="2" w:space="0" w:color="auto"/>
            </w:tcBorders>
            <w:shd w:val="clear" w:color="auto" w:fill="auto"/>
            <w:vAlign w:val="center"/>
          </w:tcPr>
          <w:p w:rsidR="00BD7877" w:rsidRPr="009263D7" w:rsidRDefault="00CB4B9E" w:rsidP="003A4DE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1711" w:type="dxa"/>
            <w:gridSpan w:val="3"/>
            <w:tcBorders>
              <w:top w:val="single" w:sz="2" w:space="0" w:color="auto"/>
              <w:left w:val="single" w:sz="2" w:space="0" w:color="auto"/>
              <w:right w:val="single" w:sz="2" w:space="0" w:color="auto"/>
            </w:tcBorders>
            <w:shd w:val="clear" w:color="auto" w:fill="auto"/>
            <w:vAlign w:val="center"/>
          </w:tcPr>
          <w:p w:rsidR="00C96A73" w:rsidRPr="009263D7" w:rsidRDefault="00CB4B9E" w:rsidP="00C96A7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本月末市值</w:t>
            </w:r>
          </w:p>
        </w:tc>
        <w:tc>
          <w:tcPr>
            <w:tcW w:w="788" w:type="dxa"/>
            <w:vMerge w:val="restart"/>
            <w:tcBorders>
              <w:top w:val="single" w:sz="2" w:space="0" w:color="auto"/>
              <w:left w:val="single" w:sz="2" w:space="0" w:color="auto"/>
              <w:right w:val="nil"/>
            </w:tcBorders>
            <w:shd w:val="clear" w:color="auto" w:fill="auto"/>
            <w:vAlign w:val="center"/>
          </w:tcPr>
          <w:p w:rsidR="00C96A73"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本月利息收入</w:t>
            </w:r>
          </w:p>
        </w:tc>
      </w:tr>
      <w:tr w:rsidR="003A4DE7" w:rsidRPr="009263D7" w:rsidTr="004E7BB4">
        <w:trPr>
          <w:trHeight w:val="1570"/>
        </w:trPr>
        <w:tc>
          <w:tcPr>
            <w:tcW w:w="788" w:type="dxa"/>
            <w:vMerge/>
            <w:tcBorders>
              <w:left w:val="nil"/>
              <w:right w:val="single" w:sz="2" w:space="0" w:color="auto"/>
            </w:tcBorders>
            <w:vAlign w:val="center"/>
          </w:tcPr>
          <w:p w:rsidR="003A4DE7" w:rsidRPr="009263D7" w:rsidRDefault="003A4DE7" w:rsidP="00F96115">
            <w:pPr>
              <w:keepNext/>
              <w:widowControl/>
              <w:spacing w:line="320" w:lineRule="exact"/>
              <w:jc w:val="left"/>
              <w:outlineLvl w:val="0"/>
              <w:rPr>
                <w:rFonts w:ascii="宋体" w:hAnsi="宋体" w:cs="宋体"/>
                <w:color w:val="000000" w:themeColor="text1"/>
                <w:kern w:val="0"/>
                <w:sz w:val="18"/>
                <w:szCs w:val="18"/>
              </w:rPr>
            </w:pPr>
          </w:p>
        </w:tc>
        <w:tc>
          <w:tcPr>
            <w:tcW w:w="1040" w:type="dxa"/>
            <w:gridSpan w:val="3"/>
            <w:vMerge/>
            <w:tcBorders>
              <w:left w:val="single" w:sz="2" w:space="0" w:color="auto"/>
              <w:right w:val="single" w:sz="2" w:space="0" w:color="auto"/>
            </w:tcBorders>
            <w:vAlign w:val="center"/>
          </w:tcPr>
          <w:p w:rsidR="003A4DE7" w:rsidRPr="009263D7" w:rsidRDefault="003A4DE7" w:rsidP="00F96115">
            <w:pPr>
              <w:keepNext/>
              <w:widowControl/>
              <w:spacing w:line="320" w:lineRule="exact"/>
              <w:jc w:val="left"/>
              <w:outlineLvl w:val="0"/>
              <w:rPr>
                <w:rFonts w:ascii="宋体" w:hAnsi="宋体" w:cs="宋体"/>
                <w:color w:val="000000" w:themeColor="text1"/>
                <w:kern w:val="0"/>
                <w:sz w:val="18"/>
                <w:szCs w:val="18"/>
              </w:rPr>
            </w:pPr>
          </w:p>
        </w:tc>
        <w:tc>
          <w:tcPr>
            <w:tcW w:w="1001" w:type="dxa"/>
            <w:gridSpan w:val="2"/>
            <w:vMerge/>
            <w:tcBorders>
              <w:left w:val="single" w:sz="2" w:space="0" w:color="auto"/>
              <w:right w:val="single" w:sz="2" w:space="0" w:color="auto"/>
            </w:tcBorders>
            <w:vAlign w:val="center"/>
          </w:tcPr>
          <w:p w:rsidR="003A4DE7" w:rsidRPr="009263D7" w:rsidRDefault="003A4DE7" w:rsidP="00F96115">
            <w:pPr>
              <w:keepNext/>
              <w:widowControl/>
              <w:spacing w:line="320" w:lineRule="exact"/>
              <w:jc w:val="left"/>
              <w:outlineLvl w:val="0"/>
              <w:rPr>
                <w:rFonts w:ascii="宋体" w:hAnsi="宋体" w:cs="宋体"/>
                <w:color w:val="000000" w:themeColor="text1"/>
                <w:kern w:val="0"/>
                <w:sz w:val="18"/>
                <w:szCs w:val="18"/>
              </w:rPr>
            </w:pPr>
          </w:p>
        </w:tc>
        <w:tc>
          <w:tcPr>
            <w:tcW w:w="971" w:type="dxa"/>
            <w:gridSpan w:val="2"/>
            <w:vMerge/>
            <w:tcBorders>
              <w:left w:val="single" w:sz="2" w:space="0" w:color="auto"/>
              <w:right w:val="single" w:sz="2" w:space="0" w:color="auto"/>
            </w:tcBorders>
            <w:vAlign w:val="center"/>
          </w:tcPr>
          <w:p w:rsidR="003A4DE7" w:rsidRPr="009263D7" w:rsidRDefault="003A4DE7" w:rsidP="00F96115">
            <w:pPr>
              <w:keepNext/>
              <w:widowControl/>
              <w:spacing w:line="320" w:lineRule="exact"/>
              <w:jc w:val="left"/>
              <w:outlineLvl w:val="0"/>
              <w:rPr>
                <w:rFonts w:ascii="宋体" w:hAnsi="宋体" w:cs="宋体"/>
                <w:color w:val="000000" w:themeColor="text1"/>
                <w:kern w:val="0"/>
                <w:sz w:val="18"/>
                <w:szCs w:val="18"/>
              </w:rPr>
            </w:pPr>
          </w:p>
        </w:tc>
        <w:tc>
          <w:tcPr>
            <w:tcW w:w="691" w:type="dxa"/>
            <w:tcBorders>
              <w:top w:val="nil"/>
              <w:left w:val="single" w:sz="2" w:space="0" w:color="auto"/>
              <w:right w:val="single" w:sz="2" w:space="0" w:color="auto"/>
            </w:tcBorders>
            <w:shd w:val="clear" w:color="auto" w:fill="auto"/>
            <w:vAlign w:val="center"/>
          </w:tcPr>
          <w:p w:rsidR="003A4DE7" w:rsidRPr="009263D7" w:rsidRDefault="003A4DE7" w:rsidP="00F96115">
            <w:pPr>
              <w:keepNext/>
              <w:widowControl/>
              <w:spacing w:line="320" w:lineRule="exact"/>
              <w:jc w:val="center"/>
              <w:outlineLvl w:val="0"/>
              <w:rPr>
                <w:rFonts w:ascii="宋体" w:hAnsi="宋体" w:cs="宋体"/>
                <w:color w:val="000000" w:themeColor="text1"/>
                <w:kern w:val="0"/>
                <w:sz w:val="18"/>
                <w:szCs w:val="18"/>
              </w:rPr>
            </w:pPr>
          </w:p>
        </w:tc>
        <w:tc>
          <w:tcPr>
            <w:tcW w:w="1294" w:type="dxa"/>
            <w:gridSpan w:val="3"/>
            <w:tcBorders>
              <w:top w:val="single" w:sz="2" w:space="0" w:color="auto"/>
              <w:left w:val="single" w:sz="2" w:space="0" w:color="auto"/>
              <w:right w:val="single" w:sz="2" w:space="0" w:color="auto"/>
            </w:tcBorders>
            <w:shd w:val="clear" w:color="auto" w:fill="auto"/>
            <w:vAlign w:val="center"/>
          </w:tcPr>
          <w:p w:rsidR="003A4DE7" w:rsidRPr="009263D7" w:rsidRDefault="00CB4B9E" w:rsidP="0034322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注销、调整或重新分类至其他报表统计的金额</w:t>
            </w:r>
          </w:p>
        </w:tc>
        <w:tc>
          <w:tcPr>
            <w:tcW w:w="1116" w:type="dxa"/>
            <w:gridSpan w:val="2"/>
            <w:tcBorders>
              <w:top w:val="single" w:sz="2" w:space="0" w:color="auto"/>
              <w:left w:val="single" w:sz="2" w:space="0" w:color="auto"/>
              <w:right w:val="single" w:sz="2" w:space="0" w:color="auto"/>
            </w:tcBorders>
            <w:shd w:val="clear" w:color="auto" w:fill="auto"/>
            <w:vAlign w:val="center"/>
          </w:tcPr>
          <w:p w:rsidR="0035038B" w:rsidRDefault="00CB4B9E" w:rsidP="00F2779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w:t>
            </w:r>
          </w:p>
          <w:p w:rsidR="003A4DE7" w:rsidRPr="009263D7" w:rsidRDefault="00CB4B9E" w:rsidP="00F2779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因素</w:t>
            </w:r>
          </w:p>
        </w:tc>
        <w:tc>
          <w:tcPr>
            <w:tcW w:w="769" w:type="dxa"/>
            <w:gridSpan w:val="2"/>
            <w:tcBorders>
              <w:left w:val="single" w:sz="2" w:space="0" w:color="auto"/>
              <w:right w:val="single" w:sz="2" w:space="0" w:color="auto"/>
            </w:tcBorders>
            <w:vAlign w:val="center"/>
          </w:tcPr>
          <w:p w:rsidR="003A4DE7" w:rsidRPr="009263D7" w:rsidRDefault="003A4DE7" w:rsidP="00112AB3">
            <w:pPr>
              <w:keepNext/>
              <w:spacing w:line="320" w:lineRule="exact"/>
              <w:jc w:val="center"/>
              <w:outlineLvl w:val="0"/>
              <w:rPr>
                <w:rFonts w:ascii="宋体" w:hAnsi="宋体" w:cs="宋体"/>
                <w:color w:val="000000" w:themeColor="text1"/>
                <w:kern w:val="0"/>
                <w:sz w:val="18"/>
                <w:szCs w:val="18"/>
              </w:rPr>
            </w:pPr>
          </w:p>
        </w:tc>
        <w:tc>
          <w:tcPr>
            <w:tcW w:w="942" w:type="dxa"/>
            <w:tcBorders>
              <w:top w:val="single" w:sz="2" w:space="0" w:color="auto"/>
              <w:left w:val="single" w:sz="2" w:space="0" w:color="auto"/>
              <w:right w:val="single" w:sz="2" w:space="0" w:color="auto"/>
            </w:tcBorders>
            <w:vAlign w:val="center"/>
          </w:tcPr>
          <w:p w:rsidR="003A4DE7" w:rsidRPr="009263D7" w:rsidRDefault="00CB4B9E" w:rsidP="00C96A73">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788" w:type="dxa"/>
            <w:vMerge/>
            <w:tcBorders>
              <w:left w:val="single" w:sz="2" w:space="0" w:color="auto"/>
              <w:right w:val="nil"/>
            </w:tcBorders>
            <w:vAlign w:val="center"/>
          </w:tcPr>
          <w:p w:rsidR="003A4DE7" w:rsidRPr="009263D7" w:rsidRDefault="003A4DE7" w:rsidP="00F96115">
            <w:pPr>
              <w:keepNext/>
              <w:widowControl/>
              <w:spacing w:line="320" w:lineRule="exact"/>
              <w:jc w:val="left"/>
              <w:outlineLvl w:val="0"/>
              <w:rPr>
                <w:rFonts w:ascii="宋体" w:hAnsi="宋体" w:cs="宋体"/>
                <w:color w:val="000000" w:themeColor="text1"/>
                <w:kern w:val="0"/>
                <w:sz w:val="18"/>
                <w:szCs w:val="18"/>
              </w:rPr>
            </w:pPr>
          </w:p>
        </w:tc>
      </w:tr>
      <w:tr w:rsidR="00C268D2" w:rsidRPr="009263D7" w:rsidTr="004E7BB4">
        <w:trPr>
          <w:trHeight w:val="300"/>
        </w:trPr>
        <w:tc>
          <w:tcPr>
            <w:tcW w:w="788" w:type="dxa"/>
            <w:tcBorders>
              <w:top w:val="nil"/>
              <w:left w:val="nil"/>
              <w:bottom w:val="single" w:sz="2" w:space="0" w:color="auto"/>
              <w:right w:val="single" w:sz="2" w:space="0" w:color="auto"/>
            </w:tcBorders>
            <w:shd w:val="clear" w:color="auto" w:fill="auto"/>
            <w:vAlign w:val="center"/>
          </w:tcPr>
          <w:p w:rsidR="00C268D2"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B0211</w:t>
            </w:r>
          </w:p>
        </w:tc>
        <w:tc>
          <w:tcPr>
            <w:tcW w:w="1040" w:type="dxa"/>
            <w:gridSpan w:val="3"/>
            <w:tcBorders>
              <w:top w:val="nil"/>
              <w:left w:val="single" w:sz="2" w:space="0" w:color="auto"/>
              <w:bottom w:val="single" w:sz="2" w:space="0" w:color="auto"/>
              <w:right w:val="single" w:sz="2" w:space="0" w:color="auto"/>
            </w:tcBorders>
            <w:shd w:val="clear" w:color="auto" w:fill="auto"/>
            <w:vAlign w:val="center"/>
          </w:tcPr>
          <w:p w:rsidR="00C268D2"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B0212</w:t>
            </w:r>
          </w:p>
        </w:tc>
        <w:tc>
          <w:tcPr>
            <w:tcW w:w="1001" w:type="dxa"/>
            <w:gridSpan w:val="2"/>
            <w:tcBorders>
              <w:top w:val="nil"/>
              <w:left w:val="single" w:sz="2" w:space="0" w:color="auto"/>
              <w:bottom w:val="single" w:sz="2" w:space="0" w:color="auto"/>
              <w:right w:val="single" w:sz="2" w:space="0" w:color="auto"/>
            </w:tcBorders>
            <w:shd w:val="clear" w:color="auto" w:fill="auto"/>
            <w:vAlign w:val="center"/>
          </w:tcPr>
          <w:p w:rsidR="00C268D2"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B0213</w:t>
            </w:r>
          </w:p>
        </w:tc>
        <w:tc>
          <w:tcPr>
            <w:tcW w:w="971" w:type="dxa"/>
            <w:gridSpan w:val="2"/>
            <w:tcBorders>
              <w:top w:val="nil"/>
              <w:left w:val="single" w:sz="2" w:space="0" w:color="auto"/>
              <w:bottom w:val="single" w:sz="2" w:space="0" w:color="auto"/>
              <w:right w:val="single" w:sz="2" w:space="0" w:color="auto"/>
            </w:tcBorders>
            <w:shd w:val="clear" w:color="auto" w:fill="auto"/>
            <w:vAlign w:val="center"/>
          </w:tcPr>
          <w:p w:rsidR="00C268D2"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B0214</w:t>
            </w:r>
          </w:p>
        </w:tc>
        <w:tc>
          <w:tcPr>
            <w:tcW w:w="691" w:type="dxa"/>
            <w:tcBorders>
              <w:top w:val="nil"/>
              <w:left w:val="single" w:sz="2" w:space="0" w:color="auto"/>
              <w:bottom w:val="single" w:sz="2" w:space="0" w:color="auto"/>
              <w:right w:val="single" w:sz="2" w:space="0" w:color="auto"/>
            </w:tcBorders>
            <w:shd w:val="clear" w:color="auto" w:fill="auto"/>
            <w:vAlign w:val="center"/>
          </w:tcPr>
          <w:p w:rsidR="00C268D2"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B0215</w:t>
            </w:r>
          </w:p>
        </w:tc>
        <w:tc>
          <w:tcPr>
            <w:tcW w:w="1294" w:type="dxa"/>
            <w:gridSpan w:val="3"/>
            <w:tcBorders>
              <w:top w:val="nil"/>
              <w:left w:val="single" w:sz="2" w:space="0" w:color="auto"/>
              <w:bottom w:val="single" w:sz="2" w:space="0" w:color="auto"/>
              <w:right w:val="single" w:sz="2" w:space="0" w:color="auto"/>
            </w:tcBorders>
            <w:shd w:val="clear" w:color="auto" w:fill="auto"/>
            <w:vAlign w:val="center"/>
          </w:tcPr>
          <w:p w:rsidR="00C268D2" w:rsidRPr="009263D7" w:rsidRDefault="00CB4B9E" w:rsidP="004A247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B0216</w:t>
            </w:r>
          </w:p>
        </w:tc>
        <w:tc>
          <w:tcPr>
            <w:tcW w:w="1116" w:type="dxa"/>
            <w:gridSpan w:val="2"/>
            <w:tcBorders>
              <w:top w:val="nil"/>
              <w:left w:val="single" w:sz="2" w:space="0" w:color="auto"/>
              <w:bottom w:val="single" w:sz="2" w:space="0" w:color="auto"/>
              <w:right w:val="single" w:sz="2" w:space="0" w:color="auto"/>
            </w:tcBorders>
            <w:shd w:val="clear" w:color="auto" w:fill="auto"/>
            <w:vAlign w:val="center"/>
          </w:tcPr>
          <w:p w:rsidR="00C268D2" w:rsidRPr="009263D7" w:rsidRDefault="00CB4B9E" w:rsidP="004A247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B0217</w:t>
            </w:r>
          </w:p>
        </w:tc>
        <w:tc>
          <w:tcPr>
            <w:tcW w:w="769" w:type="dxa"/>
            <w:gridSpan w:val="2"/>
            <w:tcBorders>
              <w:top w:val="nil"/>
              <w:left w:val="single" w:sz="2" w:space="0" w:color="auto"/>
              <w:bottom w:val="single" w:sz="2" w:space="0" w:color="auto"/>
              <w:right w:val="single" w:sz="2" w:space="0" w:color="auto"/>
            </w:tcBorders>
            <w:shd w:val="clear" w:color="auto" w:fill="auto"/>
            <w:vAlign w:val="center"/>
          </w:tcPr>
          <w:p w:rsidR="00C268D2" w:rsidRPr="009263D7" w:rsidRDefault="00CB4B9E" w:rsidP="004A247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B0218</w:t>
            </w:r>
          </w:p>
        </w:tc>
        <w:tc>
          <w:tcPr>
            <w:tcW w:w="942" w:type="dxa"/>
            <w:tcBorders>
              <w:top w:val="nil"/>
              <w:left w:val="single" w:sz="2" w:space="0" w:color="auto"/>
              <w:bottom w:val="single" w:sz="2" w:space="0" w:color="auto"/>
              <w:right w:val="single" w:sz="2" w:space="0" w:color="auto"/>
            </w:tcBorders>
            <w:shd w:val="clear" w:color="auto" w:fill="auto"/>
            <w:vAlign w:val="center"/>
          </w:tcPr>
          <w:p w:rsidR="00C268D2" w:rsidRPr="009263D7" w:rsidRDefault="00CB4B9E" w:rsidP="00C96A7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B0219</w:t>
            </w:r>
          </w:p>
        </w:tc>
        <w:tc>
          <w:tcPr>
            <w:tcW w:w="788" w:type="dxa"/>
            <w:tcBorders>
              <w:top w:val="nil"/>
              <w:left w:val="single" w:sz="2" w:space="0" w:color="auto"/>
              <w:bottom w:val="single" w:sz="2" w:space="0" w:color="auto"/>
              <w:right w:val="nil"/>
            </w:tcBorders>
            <w:shd w:val="clear" w:color="auto" w:fill="auto"/>
            <w:vAlign w:val="center"/>
          </w:tcPr>
          <w:p w:rsidR="00C268D2" w:rsidRPr="009263D7" w:rsidRDefault="00CB4B9E" w:rsidP="00F96115">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B0220</w:t>
            </w:r>
          </w:p>
        </w:tc>
      </w:tr>
      <w:tr w:rsidR="003608F4" w:rsidRPr="009263D7" w:rsidTr="004E7BB4">
        <w:trPr>
          <w:trHeight w:val="300"/>
        </w:trPr>
        <w:tc>
          <w:tcPr>
            <w:tcW w:w="788" w:type="dxa"/>
            <w:tcBorders>
              <w:top w:val="single" w:sz="2" w:space="0" w:color="auto"/>
              <w:left w:val="nil"/>
              <w:bottom w:val="single" w:sz="2" w:space="0" w:color="auto"/>
              <w:right w:val="single" w:sz="2" w:space="0" w:color="auto"/>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子</w:t>
            </w:r>
          </w:p>
        </w:tc>
        <w:tc>
          <w:tcPr>
            <w:tcW w:w="104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3608F4"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100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608F4"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9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608F4"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691" w:type="dxa"/>
            <w:tcBorders>
              <w:top w:val="single" w:sz="2" w:space="0" w:color="auto"/>
              <w:left w:val="single" w:sz="2" w:space="0" w:color="auto"/>
              <w:bottom w:val="single" w:sz="2" w:space="0" w:color="auto"/>
              <w:right w:val="single" w:sz="2" w:space="0" w:color="auto"/>
            </w:tcBorders>
            <w:shd w:val="clear" w:color="auto" w:fill="auto"/>
            <w:vAlign w:val="center"/>
          </w:tcPr>
          <w:p w:rsidR="003608F4"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1294"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3608F4"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111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608F4" w:rsidRPr="009263D7" w:rsidRDefault="00CB4B9E" w:rsidP="00C268D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76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942" w:type="dxa"/>
            <w:tcBorders>
              <w:top w:val="single" w:sz="2" w:space="0" w:color="auto"/>
              <w:left w:val="single" w:sz="2" w:space="0" w:color="auto"/>
              <w:bottom w:val="single" w:sz="2" w:space="0" w:color="auto"/>
              <w:right w:val="single" w:sz="2" w:space="0" w:color="auto"/>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788" w:type="dxa"/>
            <w:tcBorders>
              <w:top w:val="single" w:sz="2" w:space="0" w:color="auto"/>
              <w:left w:val="single" w:sz="2" w:space="0" w:color="auto"/>
              <w:bottom w:val="single" w:sz="2"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r>
      <w:tr w:rsidR="003608F4" w:rsidRPr="009263D7">
        <w:trPr>
          <w:trHeight w:val="285"/>
        </w:trPr>
        <w:tc>
          <w:tcPr>
            <w:tcW w:w="788" w:type="dxa"/>
            <w:tcBorders>
              <w:top w:val="single" w:sz="2" w:space="0" w:color="auto"/>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788" w:type="dxa"/>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52" w:type="dxa"/>
            <w:gridSpan w:val="2"/>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001" w:type="dxa"/>
            <w:gridSpan w:val="2"/>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71" w:type="dxa"/>
            <w:gridSpan w:val="2"/>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91" w:type="dxa"/>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94" w:type="dxa"/>
            <w:gridSpan w:val="3"/>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16" w:type="dxa"/>
            <w:gridSpan w:val="2"/>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711" w:type="dxa"/>
            <w:gridSpan w:val="3"/>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88" w:type="dxa"/>
            <w:tcBorders>
              <w:top w:val="single" w:sz="2" w:space="0" w:color="auto"/>
              <w:left w:val="nil"/>
              <w:bottom w:val="nil"/>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608F4" w:rsidRPr="009263D7">
        <w:trPr>
          <w:trHeight w:val="285"/>
        </w:trPr>
        <w:tc>
          <w:tcPr>
            <w:tcW w:w="788" w:type="dxa"/>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788" w:type="dxa"/>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252" w:type="dxa"/>
            <w:gridSpan w:val="2"/>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1001" w:type="dxa"/>
            <w:gridSpan w:val="2"/>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971" w:type="dxa"/>
            <w:gridSpan w:val="2"/>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691" w:type="dxa"/>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1294" w:type="dxa"/>
            <w:gridSpan w:val="3"/>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1116" w:type="dxa"/>
            <w:gridSpan w:val="2"/>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1711" w:type="dxa"/>
            <w:gridSpan w:val="3"/>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c>
          <w:tcPr>
            <w:tcW w:w="788" w:type="dxa"/>
            <w:tcBorders>
              <w:top w:val="nil"/>
              <w:left w:val="nil"/>
              <w:bottom w:val="nil"/>
              <w:right w:val="nil"/>
            </w:tcBorders>
            <w:shd w:val="clear" w:color="auto" w:fill="auto"/>
            <w:vAlign w:val="center"/>
          </w:tcPr>
          <w:p w:rsidR="003608F4" w:rsidRPr="009263D7" w:rsidRDefault="003608F4" w:rsidP="00F96115">
            <w:pPr>
              <w:keepNext/>
              <w:widowControl/>
              <w:spacing w:line="320" w:lineRule="exact"/>
              <w:jc w:val="center"/>
              <w:outlineLvl w:val="0"/>
              <w:rPr>
                <w:rFonts w:ascii="Calibri" w:hAnsi="Calibri" w:cs="宋体"/>
                <w:color w:val="000000" w:themeColor="text1"/>
                <w:kern w:val="0"/>
                <w:szCs w:val="21"/>
              </w:rPr>
            </w:pPr>
          </w:p>
        </w:tc>
      </w:tr>
      <w:tr w:rsidR="003608F4" w:rsidRPr="009263D7">
        <w:trPr>
          <w:trHeight w:val="300"/>
        </w:trPr>
        <w:tc>
          <w:tcPr>
            <w:tcW w:w="788" w:type="dxa"/>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88" w:type="dxa"/>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52" w:type="dxa"/>
            <w:gridSpan w:val="2"/>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001" w:type="dxa"/>
            <w:gridSpan w:val="2"/>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71" w:type="dxa"/>
            <w:gridSpan w:val="2"/>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91" w:type="dxa"/>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94" w:type="dxa"/>
            <w:gridSpan w:val="3"/>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16" w:type="dxa"/>
            <w:gridSpan w:val="2"/>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711" w:type="dxa"/>
            <w:gridSpan w:val="3"/>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88" w:type="dxa"/>
            <w:tcBorders>
              <w:top w:val="nil"/>
              <w:left w:val="nil"/>
              <w:bottom w:val="single" w:sz="8" w:space="0" w:color="auto"/>
              <w:right w:val="nil"/>
            </w:tcBorders>
            <w:shd w:val="clear" w:color="auto" w:fill="auto"/>
            <w:vAlign w:val="center"/>
          </w:tcPr>
          <w:p w:rsidR="003608F4" w:rsidRPr="009263D7" w:rsidRDefault="00CB4B9E" w:rsidP="00F9611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AE1822" w:rsidRPr="009263D7" w:rsidRDefault="00CB4B9E" w:rsidP="00AE1822">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0A6759" w:rsidRPr="009263D7" w:rsidRDefault="00CB4B9E" w:rsidP="000A6759">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0A6759" w:rsidRPr="009263D7" w:rsidRDefault="000A6759" w:rsidP="00AE1822">
      <w:pPr>
        <w:rPr>
          <w:rFonts w:ascii="宋体"/>
          <w:color w:val="000000" w:themeColor="text1"/>
          <w:sz w:val="18"/>
        </w:rPr>
      </w:pPr>
    </w:p>
    <w:p w:rsidR="006A3355" w:rsidRPr="009263D7" w:rsidRDefault="00CB4B9E" w:rsidP="006A3355">
      <w:pPr>
        <w:pStyle w:val="3"/>
        <w:jc w:val="center"/>
        <w:rPr>
          <w:rFonts w:ascii="宋体" w:hAnsi="宋体"/>
          <w:b w:val="0"/>
          <w:color w:val="000000" w:themeColor="text1"/>
          <w:kern w:val="0"/>
          <w:sz w:val="28"/>
          <w:szCs w:val="28"/>
        </w:rPr>
      </w:pPr>
      <w:r w:rsidRPr="00CB4B9E">
        <w:rPr>
          <w:rFonts w:ascii="宋体" w:hAnsi="宋体" w:cs="宋体"/>
          <w:color w:val="000000" w:themeColor="text1"/>
          <w:kern w:val="0"/>
          <w:sz w:val="18"/>
          <w:szCs w:val="18"/>
        </w:rPr>
        <w:br w:type="page"/>
      </w:r>
      <w:bookmarkStart w:id="22" w:name="_Toc452017132"/>
      <w:r w:rsidRPr="00CB4B9E">
        <w:rPr>
          <w:rFonts w:ascii="宋体" w:hAnsi="宋体" w:hint="eastAsia"/>
          <w:b w:val="0"/>
          <w:color w:val="000000" w:themeColor="text1"/>
          <w:kern w:val="0"/>
          <w:sz w:val="28"/>
          <w:szCs w:val="28"/>
        </w:rPr>
        <w:lastRenderedPageBreak/>
        <w:t>投资非居民境内发行股本证券和债务证券（资产）</w:t>
      </w:r>
      <w:bookmarkEnd w:id="22"/>
    </w:p>
    <w:p w:rsidR="006A3355" w:rsidRPr="009263D7" w:rsidRDefault="006A3355" w:rsidP="006A3355">
      <w:pPr>
        <w:rPr>
          <w:color w:val="000000" w:themeColor="text1"/>
        </w:rPr>
      </w:pPr>
    </w:p>
    <w:p w:rsidR="006A3355" w:rsidRPr="009263D7" w:rsidRDefault="00CB4B9E" w:rsidP="00F954D8">
      <w:pPr>
        <w:ind w:right="910"/>
        <w:jc w:val="right"/>
        <w:rPr>
          <w:rFonts w:ascii="宋体" w:hAnsi="宋体"/>
          <w:color w:val="000000" w:themeColor="text1"/>
          <w:kern w:val="0"/>
          <w:sz w:val="28"/>
          <w:szCs w:val="2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B03表</w:t>
      </w:r>
    </w:p>
    <w:p w:rsidR="006A3355" w:rsidRPr="009263D7" w:rsidRDefault="00CB4B9E" w:rsidP="006A3355">
      <w:pPr>
        <w:spacing w:line="240" w:lineRule="exact"/>
        <w:rPr>
          <w:color w:val="000000" w:themeColor="text1"/>
          <w:sz w:val="18"/>
        </w:rPr>
      </w:pPr>
      <w:r w:rsidRPr="00CB4B9E">
        <w:rPr>
          <w:rFonts w:ascii="宋体" w:hAnsi="宋体" w:cs="宋体" w:hint="eastAsia"/>
          <w:color w:val="000000" w:themeColor="text1"/>
          <w:kern w:val="0"/>
          <w:sz w:val="18"/>
          <w:szCs w:val="18"/>
        </w:rPr>
        <w:t>机构</w:t>
      </w:r>
      <w:r w:rsidRPr="00CB4B9E">
        <w:rPr>
          <w:rFonts w:ascii="宋体" w:hAnsi="宋体" w:cs="宋体"/>
          <w:color w:val="000000" w:themeColor="text1"/>
          <w:kern w:val="0"/>
          <w:sz w:val="18"/>
          <w:szCs w:val="18"/>
        </w:rPr>
        <w:t xml:space="preserve">(单位)名称：                                                          </w:t>
      </w:r>
      <w:r w:rsidRPr="00CB4B9E">
        <w:rPr>
          <w:rFonts w:hint="eastAsia"/>
          <w:color w:val="000000" w:themeColor="text1"/>
          <w:sz w:val="18"/>
        </w:rPr>
        <w:t>制定机关：国家外汇管理局</w:t>
      </w:r>
    </w:p>
    <w:p w:rsidR="006A3355" w:rsidRPr="009263D7" w:rsidRDefault="00CB4B9E" w:rsidP="006A3355">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6A3355" w:rsidRPr="009263D7" w:rsidRDefault="00CB4B9E" w:rsidP="006A3355">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6A3355" w:rsidRPr="009263D7" w:rsidRDefault="00CB4B9E" w:rsidP="006A3355">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9033CB" w:rsidRPr="009263D7" w:rsidRDefault="009033CB" w:rsidP="006A3355">
      <w:pPr>
        <w:spacing w:line="240" w:lineRule="exact"/>
        <w:rPr>
          <w:color w:val="000000" w:themeColor="text1"/>
          <w:sz w:val="18"/>
        </w:rPr>
      </w:pPr>
    </w:p>
    <w:p w:rsidR="006A3355" w:rsidRPr="009263D7" w:rsidRDefault="00CB4B9E" w:rsidP="006A3355">
      <w:pPr>
        <w:spacing w:line="240" w:lineRule="exact"/>
        <w:ind w:right="360"/>
        <w:jc w:val="right"/>
        <w:rPr>
          <w:color w:val="000000" w:themeColor="text1"/>
          <w:sz w:val="18"/>
        </w:rPr>
      </w:pPr>
      <w:r w:rsidRPr="00CB4B9E">
        <w:rPr>
          <w:rFonts w:ascii="宋体" w:hAnsi="宋体" w:cs="宋体"/>
          <w:color w:val="000000" w:themeColor="text1"/>
          <w:kern w:val="0"/>
          <w:sz w:val="22"/>
        </w:rPr>
        <w:t xml:space="preserve">                           </w:t>
      </w:r>
      <w:r w:rsidRPr="00CB4B9E">
        <w:rPr>
          <w:color w:val="000000" w:themeColor="text1"/>
          <w:sz w:val="18"/>
        </w:rPr>
        <w:t xml:space="preserve">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4963" w:type="pct"/>
        <w:tblLayout w:type="fixed"/>
        <w:tblLook w:val="04A0"/>
      </w:tblPr>
      <w:tblGrid>
        <w:gridCol w:w="810"/>
        <w:gridCol w:w="258"/>
        <w:gridCol w:w="872"/>
        <w:gridCol w:w="262"/>
        <w:gridCol w:w="874"/>
        <w:gridCol w:w="401"/>
        <w:gridCol w:w="97"/>
        <w:gridCol w:w="637"/>
        <w:gridCol w:w="94"/>
        <w:gridCol w:w="457"/>
        <w:gridCol w:w="149"/>
        <w:gridCol w:w="206"/>
        <w:gridCol w:w="728"/>
        <w:gridCol w:w="94"/>
        <w:gridCol w:w="99"/>
        <w:gridCol w:w="357"/>
        <w:gridCol w:w="236"/>
        <w:gridCol w:w="140"/>
        <w:gridCol w:w="413"/>
        <w:gridCol w:w="214"/>
        <w:gridCol w:w="82"/>
        <w:gridCol w:w="413"/>
        <w:gridCol w:w="436"/>
        <w:gridCol w:w="285"/>
        <w:gridCol w:w="707"/>
        <w:gridCol w:w="141"/>
        <w:gridCol w:w="96"/>
      </w:tblGrid>
      <w:tr w:rsidR="00371B78" w:rsidRPr="009263D7" w:rsidTr="00371B78">
        <w:trPr>
          <w:gridAfter w:val="2"/>
          <w:wAfter w:w="124" w:type="pct"/>
          <w:trHeight w:val="944"/>
        </w:trPr>
        <w:tc>
          <w:tcPr>
            <w:tcW w:w="559" w:type="pct"/>
            <w:gridSpan w:val="2"/>
            <w:tcBorders>
              <w:top w:val="single" w:sz="8" w:space="0" w:color="auto"/>
              <w:left w:val="nil"/>
              <w:bottom w:val="nil"/>
              <w:right w:val="single" w:sz="2" w:space="0" w:color="auto"/>
            </w:tcBorders>
            <w:shd w:val="clear" w:color="auto" w:fill="auto"/>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投资者所属国家</w:t>
            </w:r>
            <w:r w:rsidRPr="00CB4B9E">
              <w:rPr>
                <w:rFonts w:ascii="宋体" w:hAnsi="宋体" w:cs="宋体"/>
                <w:color w:val="000000" w:themeColor="text1"/>
                <w:kern w:val="0"/>
                <w:sz w:val="18"/>
                <w:szCs w:val="18"/>
              </w:rPr>
              <w:t>/地区</w:t>
            </w:r>
            <w:r w:rsidRPr="00CB4B9E">
              <w:rPr>
                <w:rFonts w:ascii="宋体" w:hAnsi="宋体" w:cs="宋体" w:hint="eastAsia"/>
                <w:color w:val="000000" w:themeColor="text1"/>
                <w:kern w:val="0"/>
                <w:sz w:val="18"/>
                <w:szCs w:val="18"/>
              </w:rPr>
              <w:t>（必须为中国）</w:t>
            </w:r>
          </w:p>
        </w:tc>
        <w:tc>
          <w:tcPr>
            <w:tcW w:w="593" w:type="pct"/>
            <w:gridSpan w:val="2"/>
            <w:tcBorders>
              <w:top w:val="single" w:sz="8" w:space="0" w:color="auto"/>
              <w:left w:val="single" w:sz="2" w:space="0" w:color="auto"/>
              <w:bottom w:val="nil"/>
              <w:right w:val="single" w:sz="2" w:space="0" w:color="auto"/>
            </w:tcBorders>
            <w:shd w:val="clear" w:color="auto" w:fill="auto"/>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投资者所属部门</w:t>
            </w:r>
          </w:p>
        </w:tc>
        <w:tc>
          <w:tcPr>
            <w:tcW w:w="667" w:type="pct"/>
            <w:gridSpan w:val="2"/>
            <w:tcBorders>
              <w:top w:val="single" w:sz="8" w:space="0" w:color="auto"/>
              <w:left w:val="single" w:sz="2" w:space="0" w:color="auto"/>
              <w:bottom w:val="nil"/>
              <w:right w:val="single" w:sz="2" w:space="0" w:color="auto"/>
            </w:tcBorders>
            <w:shd w:val="clear" w:color="auto" w:fill="auto"/>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所投资非居民发行产品类型</w:t>
            </w:r>
          </w:p>
        </w:tc>
        <w:tc>
          <w:tcPr>
            <w:tcW w:w="672" w:type="pct"/>
            <w:gridSpan w:val="4"/>
            <w:tcBorders>
              <w:top w:val="single" w:sz="8" w:space="0" w:color="auto"/>
              <w:left w:val="single" w:sz="2" w:space="0" w:color="auto"/>
              <w:bottom w:val="nil"/>
              <w:right w:val="single" w:sz="2" w:space="0" w:color="auto"/>
            </w:tcBorders>
            <w:shd w:val="clear" w:color="auto" w:fill="auto"/>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所投资产品代码（逐支报送使用）</w:t>
            </w:r>
          </w:p>
        </w:tc>
        <w:tc>
          <w:tcPr>
            <w:tcW w:w="668" w:type="pct"/>
            <w:gridSpan w:val="5"/>
            <w:tcBorders>
              <w:top w:val="single" w:sz="8" w:space="0" w:color="auto"/>
              <w:left w:val="single" w:sz="2" w:space="0" w:color="auto"/>
              <w:bottom w:val="nil"/>
              <w:right w:val="single" w:sz="2" w:space="0" w:color="auto"/>
            </w:tcBorders>
            <w:shd w:val="clear" w:color="auto" w:fill="auto"/>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非居民发行主体名称（逐支报送使用）</w:t>
            </w:r>
          </w:p>
        </w:tc>
        <w:tc>
          <w:tcPr>
            <w:tcW w:w="599" w:type="pct"/>
            <w:gridSpan w:val="4"/>
            <w:tcBorders>
              <w:top w:val="single" w:sz="8" w:space="0" w:color="auto"/>
              <w:left w:val="single" w:sz="2" w:space="0" w:color="auto"/>
              <w:right w:val="single" w:sz="2" w:space="0" w:color="auto"/>
            </w:tcBorders>
            <w:shd w:val="clear" w:color="auto" w:fill="auto"/>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非居民发行主体所属国家</w:t>
            </w:r>
            <w:r w:rsidRPr="00CB4B9E">
              <w:rPr>
                <w:rFonts w:ascii="宋体" w:hAnsi="宋体" w:cs="宋体"/>
                <w:color w:val="000000" w:themeColor="text1"/>
                <w:kern w:val="0"/>
                <w:sz w:val="18"/>
                <w:szCs w:val="18"/>
              </w:rPr>
              <w:t>/地区</w:t>
            </w:r>
          </w:p>
        </w:tc>
        <w:tc>
          <w:tcPr>
            <w:tcW w:w="599" w:type="pct"/>
            <w:gridSpan w:val="4"/>
            <w:tcBorders>
              <w:top w:val="single" w:sz="8" w:space="0" w:color="auto"/>
              <w:left w:val="single" w:sz="2" w:space="0" w:color="auto"/>
              <w:bottom w:val="nil"/>
              <w:right w:val="single" w:sz="2" w:space="0" w:color="auto"/>
            </w:tcBorders>
            <w:shd w:val="clear" w:color="auto" w:fill="auto"/>
            <w:vAlign w:val="center"/>
          </w:tcPr>
          <w:p w:rsidR="0035038B"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非居民发行主体所属</w:t>
            </w:r>
          </w:p>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部门</w:t>
            </w:r>
          </w:p>
        </w:tc>
        <w:tc>
          <w:tcPr>
            <w:tcW w:w="519" w:type="pct"/>
            <w:gridSpan w:val="2"/>
            <w:tcBorders>
              <w:top w:val="single" w:sz="8" w:space="0" w:color="auto"/>
              <w:left w:val="single" w:sz="2" w:space="0" w:color="auto"/>
              <w:bottom w:val="nil"/>
              <w:right w:val="single" w:sz="8" w:space="0" w:color="FFFFFF" w:themeColor="background1"/>
            </w:tcBorders>
            <w:shd w:val="clear" w:color="auto" w:fill="auto"/>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债务证券原始期限</w:t>
            </w:r>
          </w:p>
        </w:tc>
      </w:tr>
      <w:tr w:rsidR="00371B78" w:rsidRPr="009263D7" w:rsidTr="00371B78">
        <w:trPr>
          <w:gridAfter w:val="2"/>
          <w:wAfter w:w="124" w:type="pct"/>
          <w:trHeight w:val="288"/>
        </w:trPr>
        <w:tc>
          <w:tcPr>
            <w:tcW w:w="559" w:type="pct"/>
            <w:gridSpan w:val="2"/>
            <w:tcBorders>
              <w:top w:val="nil"/>
              <w:left w:val="nil"/>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B0301</w:t>
            </w:r>
          </w:p>
        </w:tc>
        <w:tc>
          <w:tcPr>
            <w:tcW w:w="593" w:type="pct"/>
            <w:gridSpan w:val="2"/>
            <w:tcBorders>
              <w:top w:val="nil"/>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B0302</w:t>
            </w:r>
          </w:p>
        </w:tc>
        <w:tc>
          <w:tcPr>
            <w:tcW w:w="667" w:type="pct"/>
            <w:gridSpan w:val="2"/>
            <w:tcBorders>
              <w:top w:val="nil"/>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B0303</w:t>
            </w:r>
          </w:p>
        </w:tc>
        <w:tc>
          <w:tcPr>
            <w:tcW w:w="672" w:type="pct"/>
            <w:gridSpan w:val="4"/>
            <w:tcBorders>
              <w:top w:val="nil"/>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B0304</w:t>
            </w:r>
          </w:p>
        </w:tc>
        <w:tc>
          <w:tcPr>
            <w:tcW w:w="668" w:type="pct"/>
            <w:gridSpan w:val="5"/>
            <w:tcBorders>
              <w:top w:val="nil"/>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B0305</w:t>
            </w:r>
          </w:p>
        </w:tc>
        <w:tc>
          <w:tcPr>
            <w:tcW w:w="599" w:type="pct"/>
            <w:gridSpan w:val="4"/>
            <w:tcBorders>
              <w:top w:val="nil"/>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B0306</w:t>
            </w:r>
          </w:p>
        </w:tc>
        <w:tc>
          <w:tcPr>
            <w:tcW w:w="599" w:type="pct"/>
            <w:gridSpan w:val="4"/>
            <w:tcBorders>
              <w:top w:val="nil"/>
              <w:left w:val="single" w:sz="2" w:space="0" w:color="auto"/>
              <w:bottom w:val="single" w:sz="2" w:space="0" w:color="auto"/>
              <w:right w:val="single" w:sz="2" w:space="0" w:color="auto"/>
            </w:tcBorders>
            <w:shd w:val="clear" w:color="auto" w:fill="auto"/>
            <w:noWrap/>
            <w:vAlign w:val="center"/>
          </w:tcPr>
          <w:p w:rsidR="00092E44" w:rsidRPr="009263D7" w:rsidRDefault="00CB4B9E" w:rsidP="002C42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B0307</w:t>
            </w:r>
          </w:p>
        </w:tc>
        <w:tc>
          <w:tcPr>
            <w:tcW w:w="519" w:type="pct"/>
            <w:gridSpan w:val="2"/>
            <w:tcBorders>
              <w:top w:val="nil"/>
              <w:left w:val="single" w:sz="2" w:space="0" w:color="auto"/>
              <w:bottom w:val="single" w:sz="2" w:space="0" w:color="auto"/>
              <w:right w:val="single" w:sz="8" w:space="0" w:color="FFFFFF" w:themeColor="background1"/>
            </w:tcBorders>
            <w:shd w:val="clear" w:color="auto" w:fill="auto"/>
            <w:noWrap/>
            <w:vAlign w:val="center"/>
          </w:tcPr>
          <w:p w:rsidR="00092E44"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B0308</w:t>
            </w:r>
          </w:p>
        </w:tc>
      </w:tr>
      <w:tr w:rsidR="00371B78" w:rsidRPr="009263D7" w:rsidTr="00371B78">
        <w:trPr>
          <w:gridAfter w:val="2"/>
          <w:wAfter w:w="124" w:type="pct"/>
          <w:trHeight w:val="288"/>
        </w:trPr>
        <w:tc>
          <w:tcPr>
            <w:tcW w:w="559" w:type="pct"/>
            <w:gridSpan w:val="2"/>
            <w:tcBorders>
              <w:top w:val="single" w:sz="2" w:space="0" w:color="auto"/>
              <w:left w:val="nil"/>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593"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667"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672" w:type="pct"/>
            <w:gridSpan w:val="4"/>
            <w:tcBorders>
              <w:top w:val="single" w:sz="2" w:space="0" w:color="auto"/>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668" w:type="pct"/>
            <w:gridSpan w:val="5"/>
            <w:tcBorders>
              <w:top w:val="single" w:sz="2" w:space="0" w:color="auto"/>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599" w:type="pct"/>
            <w:gridSpan w:val="4"/>
            <w:tcBorders>
              <w:top w:val="single" w:sz="2" w:space="0" w:color="auto"/>
              <w:left w:val="single" w:sz="2" w:space="0" w:color="auto"/>
              <w:bottom w:val="single" w:sz="2" w:space="0" w:color="auto"/>
              <w:right w:val="single" w:sz="2" w:space="0" w:color="auto"/>
            </w:tcBorders>
            <w:shd w:val="clear" w:color="auto" w:fill="auto"/>
            <w:noWrap/>
            <w:vAlign w:val="center"/>
          </w:tcPr>
          <w:p w:rsidR="00092E44"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599" w:type="pct"/>
            <w:gridSpan w:val="4"/>
            <w:tcBorders>
              <w:top w:val="single" w:sz="2" w:space="0" w:color="auto"/>
              <w:left w:val="single" w:sz="2" w:space="0" w:color="auto"/>
              <w:bottom w:val="single" w:sz="2" w:space="0" w:color="auto"/>
              <w:right w:val="single" w:sz="2" w:space="0" w:color="auto"/>
            </w:tcBorders>
            <w:shd w:val="clear" w:color="auto" w:fill="auto"/>
            <w:noWrap/>
            <w:vAlign w:val="center"/>
          </w:tcPr>
          <w:p w:rsidR="00092E44" w:rsidRPr="009263D7" w:rsidRDefault="00CB4B9E" w:rsidP="005F4CD2">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519" w:type="pct"/>
            <w:gridSpan w:val="2"/>
            <w:tcBorders>
              <w:top w:val="single" w:sz="2" w:space="0" w:color="auto"/>
              <w:left w:val="single" w:sz="2" w:space="0" w:color="auto"/>
              <w:bottom w:val="single" w:sz="2" w:space="0" w:color="auto"/>
              <w:right w:val="single" w:sz="8" w:space="0" w:color="FFFFFF" w:themeColor="background1"/>
            </w:tcBorders>
            <w:shd w:val="clear" w:color="auto" w:fill="auto"/>
            <w:noWrap/>
            <w:vAlign w:val="center"/>
          </w:tcPr>
          <w:p w:rsidR="00092E44"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r>
      <w:tr w:rsidR="00BD7319" w:rsidRPr="009263D7" w:rsidTr="00371B78">
        <w:trPr>
          <w:gridAfter w:val="2"/>
          <w:wAfter w:w="124" w:type="pct"/>
          <w:trHeight w:val="288"/>
        </w:trPr>
        <w:tc>
          <w:tcPr>
            <w:tcW w:w="559" w:type="pct"/>
            <w:gridSpan w:val="2"/>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593" w:type="pct"/>
            <w:gridSpan w:val="2"/>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667" w:type="pct"/>
            <w:gridSpan w:val="2"/>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672" w:type="pct"/>
            <w:gridSpan w:val="4"/>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668" w:type="pct"/>
            <w:gridSpan w:val="5"/>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187" w:type="pct"/>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123" w:type="pct"/>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401" w:type="pct"/>
            <w:gridSpan w:val="3"/>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487" w:type="pct"/>
            <w:gridSpan w:val="3"/>
            <w:tcBorders>
              <w:top w:val="single" w:sz="2" w:space="0" w:color="auto"/>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519" w:type="pct"/>
            <w:gridSpan w:val="2"/>
            <w:tcBorders>
              <w:top w:val="single" w:sz="2" w:space="0" w:color="auto"/>
              <w:left w:val="nil"/>
              <w:bottom w:val="nil"/>
              <w:right w:val="nil"/>
            </w:tcBorders>
            <w:shd w:val="clear" w:color="auto" w:fill="auto"/>
            <w:vAlign w:val="center"/>
          </w:tcPr>
          <w:p w:rsidR="006A3355" w:rsidRPr="009263D7" w:rsidRDefault="006A3355" w:rsidP="00675CD0">
            <w:pPr>
              <w:keepNext/>
              <w:widowControl/>
              <w:spacing w:line="320" w:lineRule="exact"/>
              <w:jc w:val="left"/>
              <w:outlineLvl w:val="0"/>
              <w:rPr>
                <w:rFonts w:ascii="Calibri" w:hAnsi="Calibri" w:cs="宋体"/>
                <w:color w:val="000000" w:themeColor="text1"/>
                <w:kern w:val="0"/>
                <w:szCs w:val="21"/>
              </w:rPr>
            </w:pPr>
          </w:p>
        </w:tc>
      </w:tr>
      <w:tr w:rsidR="00BD7319" w:rsidRPr="009263D7" w:rsidTr="00371B78">
        <w:trPr>
          <w:gridAfter w:val="2"/>
          <w:wAfter w:w="124" w:type="pct"/>
          <w:trHeight w:val="288"/>
        </w:trPr>
        <w:tc>
          <w:tcPr>
            <w:tcW w:w="559"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593"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667"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672" w:type="pct"/>
            <w:gridSpan w:val="4"/>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668" w:type="pct"/>
            <w:gridSpan w:val="5"/>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187" w:type="pct"/>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123" w:type="pct"/>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401" w:type="pct"/>
            <w:gridSpan w:val="3"/>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487" w:type="pct"/>
            <w:gridSpan w:val="3"/>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519" w:type="pct"/>
            <w:gridSpan w:val="2"/>
            <w:tcBorders>
              <w:top w:val="nil"/>
              <w:left w:val="nil"/>
              <w:bottom w:val="nil"/>
              <w:right w:val="nil"/>
            </w:tcBorders>
            <w:shd w:val="clear" w:color="auto" w:fill="auto"/>
            <w:vAlign w:val="center"/>
          </w:tcPr>
          <w:p w:rsidR="006A3355" w:rsidRPr="009263D7" w:rsidRDefault="006A3355" w:rsidP="00675CD0">
            <w:pPr>
              <w:keepNext/>
              <w:widowControl/>
              <w:spacing w:line="320" w:lineRule="exact"/>
              <w:jc w:val="left"/>
              <w:outlineLvl w:val="0"/>
              <w:rPr>
                <w:rFonts w:ascii="Calibri" w:hAnsi="Calibri" w:cs="宋体"/>
                <w:color w:val="000000" w:themeColor="text1"/>
                <w:kern w:val="0"/>
                <w:szCs w:val="21"/>
              </w:rPr>
            </w:pPr>
          </w:p>
        </w:tc>
      </w:tr>
      <w:tr w:rsidR="00BD7319" w:rsidRPr="009263D7" w:rsidTr="00371B78">
        <w:trPr>
          <w:gridAfter w:val="2"/>
          <w:wAfter w:w="124" w:type="pct"/>
          <w:trHeight w:val="303"/>
        </w:trPr>
        <w:tc>
          <w:tcPr>
            <w:tcW w:w="559" w:type="pct"/>
            <w:gridSpan w:val="2"/>
            <w:tcBorders>
              <w:top w:val="nil"/>
              <w:left w:val="nil"/>
              <w:bottom w:val="single" w:sz="8" w:space="0" w:color="auto"/>
              <w:right w:val="nil"/>
            </w:tcBorders>
            <w:shd w:val="clear" w:color="auto" w:fill="auto"/>
            <w:noWrap/>
            <w:vAlign w:val="center"/>
          </w:tcPr>
          <w:p w:rsidR="006A3355" w:rsidRPr="009263D7" w:rsidRDefault="00CB4B9E" w:rsidP="00675CD0">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93" w:type="pct"/>
            <w:gridSpan w:val="2"/>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67" w:type="pct"/>
            <w:gridSpan w:val="2"/>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72" w:type="pct"/>
            <w:gridSpan w:val="4"/>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68" w:type="pct"/>
            <w:gridSpan w:val="5"/>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87" w:type="pct"/>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3" w:type="pct"/>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01" w:type="pct"/>
            <w:gridSpan w:val="3"/>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87" w:type="pct"/>
            <w:gridSpan w:val="3"/>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19" w:type="pct"/>
            <w:gridSpan w:val="2"/>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BD7319" w:rsidRPr="009263D7" w:rsidTr="00371B78">
        <w:trPr>
          <w:gridAfter w:val="2"/>
          <w:wAfter w:w="124" w:type="pct"/>
          <w:trHeight w:val="303"/>
        </w:trPr>
        <w:tc>
          <w:tcPr>
            <w:tcW w:w="559" w:type="pct"/>
            <w:gridSpan w:val="2"/>
            <w:tcBorders>
              <w:top w:val="single" w:sz="8" w:space="0" w:color="auto"/>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593" w:type="pct"/>
            <w:gridSpan w:val="2"/>
            <w:tcBorders>
              <w:top w:val="single" w:sz="8" w:space="0" w:color="auto"/>
              <w:left w:val="nil"/>
              <w:bottom w:val="single" w:sz="8" w:space="0" w:color="auto"/>
              <w:right w:val="nil"/>
            </w:tcBorders>
            <w:shd w:val="clear" w:color="auto" w:fill="auto"/>
            <w:noWrap/>
            <w:vAlign w:val="center"/>
          </w:tcPr>
          <w:p w:rsidR="006A3355" w:rsidRPr="009263D7" w:rsidRDefault="006A3355" w:rsidP="00675CD0">
            <w:pPr>
              <w:widowControl/>
              <w:jc w:val="left"/>
              <w:rPr>
                <w:rFonts w:ascii="宋体" w:hAnsi="宋体" w:cs="宋体"/>
                <w:color w:val="000000" w:themeColor="text1"/>
                <w:kern w:val="0"/>
                <w:sz w:val="18"/>
                <w:szCs w:val="18"/>
              </w:rPr>
            </w:pPr>
          </w:p>
        </w:tc>
        <w:tc>
          <w:tcPr>
            <w:tcW w:w="667" w:type="pct"/>
            <w:gridSpan w:val="2"/>
            <w:tcBorders>
              <w:top w:val="single" w:sz="8" w:space="0" w:color="auto"/>
              <w:left w:val="nil"/>
              <w:bottom w:val="single" w:sz="8" w:space="0" w:color="auto"/>
              <w:right w:val="nil"/>
            </w:tcBorders>
            <w:shd w:val="clear" w:color="auto" w:fill="auto"/>
            <w:noWrap/>
            <w:vAlign w:val="center"/>
          </w:tcPr>
          <w:p w:rsidR="006A3355" w:rsidRPr="009263D7" w:rsidRDefault="006A3355" w:rsidP="00675CD0">
            <w:pPr>
              <w:widowControl/>
              <w:jc w:val="left"/>
              <w:rPr>
                <w:rFonts w:ascii="宋体" w:hAnsi="宋体" w:cs="宋体"/>
                <w:color w:val="000000" w:themeColor="text1"/>
                <w:kern w:val="0"/>
                <w:sz w:val="18"/>
                <w:szCs w:val="18"/>
              </w:rPr>
            </w:pPr>
          </w:p>
        </w:tc>
        <w:tc>
          <w:tcPr>
            <w:tcW w:w="672" w:type="pct"/>
            <w:gridSpan w:val="4"/>
            <w:tcBorders>
              <w:top w:val="single" w:sz="8" w:space="0" w:color="auto"/>
              <w:left w:val="nil"/>
              <w:bottom w:val="single" w:sz="8" w:space="0" w:color="auto"/>
              <w:right w:val="nil"/>
            </w:tcBorders>
            <w:shd w:val="clear" w:color="auto" w:fill="auto"/>
            <w:noWrap/>
            <w:vAlign w:val="center"/>
          </w:tcPr>
          <w:p w:rsidR="006A3355" w:rsidRPr="009263D7" w:rsidRDefault="006A3355" w:rsidP="00675CD0">
            <w:pPr>
              <w:widowControl/>
              <w:jc w:val="left"/>
              <w:rPr>
                <w:rFonts w:ascii="宋体" w:hAnsi="宋体" w:cs="宋体"/>
                <w:color w:val="000000" w:themeColor="text1"/>
                <w:kern w:val="0"/>
                <w:sz w:val="18"/>
                <w:szCs w:val="18"/>
              </w:rPr>
            </w:pPr>
          </w:p>
        </w:tc>
        <w:tc>
          <w:tcPr>
            <w:tcW w:w="668" w:type="pct"/>
            <w:gridSpan w:val="5"/>
            <w:tcBorders>
              <w:top w:val="single" w:sz="8" w:space="0" w:color="auto"/>
              <w:left w:val="nil"/>
              <w:bottom w:val="single" w:sz="8" w:space="0" w:color="auto"/>
              <w:right w:val="nil"/>
            </w:tcBorders>
            <w:shd w:val="clear" w:color="auto" w:fill="auto"/>
            <w:noWrap/>
            <w:vAlign w:val="center"/>
          </w:tcPr>
          <w:p w:rsidR="006A3355" w:rsidRPr="009263D7" w:rsidRDefault="006A3355" w:rsidP="00675CD0">
            <w:pPr>
              <w:widowControl/>
              <w:jc w:val="left"/>
              <w:rPr>
                <w:rFonts w:ascii="宋体" w:hAnsi="宋体" w:cs="宋体"/>
                <w:color w:val="000000" w:themeColor="text1"/>
                <w:kern w:val="0"/>
                <w:sz w:val="18"/>
                <w:szCs w:val="18"/>
              </w:rPr>
            </w:pPr>
          </w:p>
        </w:tc>
        <w:tc>
          <w:tcPr>
            <w:tcW w:w="187" w:type="pct"/>
            <w:tcBorders>
              <w:top w:val="single" w:sz="8" w:space="0" w:color="auto"/>
              <w:left w:val="nil"/>
              <w:bottom w:val="single" w:sz="8" w:space="0" w:color="auto"/>
              <w:right w:val="nil"/>
            </w:tcBorders>
            <w:shd w:val="clear" w:color="auto" w:fill="auto"/>
            <w:noWrap/>
            <w:vAlign w:val="center"/>
          </w:tcPr>
          <w:p w:rsidR="006A3355" w:rsidRPr="009263D7" w:rsidRDefault="006A3355" w:rsidP="00675CD0">
            <w:pPr>
              <w:widowControl/>
              <w:jc w:val="left"/>
              <w:rPr>
                <w:rFonts w:ascii="宋体" w:hAnsi="宋体" w:cs="宋体"/>
                <w:color w:val="000000" w:themeColor="text1"/>
                <w:kern w:val="0"/>
                <w:sz w:val="18"/>
                <w:szCs w:val="18"/>
              </w:rPr>
            </w:pPr>
          </w:p>
        </w:tc>
        <w:tc>
          <w:tcPr>
            <w:tcW w:w="123" w:type="pct"/>
            <w:tcBorders>
              <w:top w:val="single" w:sz="8" w:space="0" w:color="auto"/>
              <w:left w:val="nil"/>
              <w:bottom w:val="single" w:sz="8" w:space="0" w:color="auto"/>
              <w:right w:val="nil"/>
            </w:tcBorders>
            <w:shd w:val="clear" w:color="auto" w:fill="auto"/>
            <w:noWrap/>
            <w:vAlign w:val="center"/>
          </w:tcPr>
          <w:p w:rsidR="006A3355" w:rsidRPr="009263D7" w:rsidRDefault="006A3355" w:rsidP="00675CD0">
            <w:pPr>
              <w:widowControl/>
              <w:jc w:val="left"/>
              <w:rPr>
                <w:rFonts w:ascii="宋体" w:hAnsi="宋体" w:cs="宋体"/>
                <w:color w:val="000000" w:themeColor="text1"/>
                <w:kern w:val="0"/>
                <w:sz w:val="18"/>
                <w:szCs w:val="18"/>
              </w:rPr>
            </w:pPr>
          </w:p>
        </w:tc>
        <w:tc>
          <w:tcPr>
            <w:tcW w:w="401" w:type="pct"/>
            <w:gridSpan w:val="3"/>
            <w:tcBorders>
              <w:top w:val="single" w:sz="8" w:space="0" w:color="auto"/>
              <w:left w:val="nil"/>
              <w:bottom w:val="single" w:sz="8" w:space="0" w:color="auto"/>
              <w:right w:val="nil"/>
            </w:tcBorders>
            <w:shd w:val="clear" w:color="auto" w:fill="auto"/>
            <w:noWrap/>
            <w:vAlign w:val="center"/>
          </w:tcPr>
          <w:p w:rsidR="006A3355" w:rsidRPr="009263D7" w:rsidRDefault="006A3355" w:rsidP="00675CD0">
            <w:pPr>
              <w:widowControl/>
              <w:jc w:val="left"/>
              <w:rPr>
                <w:rFonts w:ascii="宋体" w:hAnsi="宋体" w:cs="宋体"/>
                <w:color w:val="000000" w:themeColor="text1"/>
                <w:kern w:val="0"/>
                <w:sz w:val="18"/>
                <w:szCs w:val="18"/>
              </w:rPr>
            </w:pPr>
          </w:p>
        </w:tc>
        <w:tc>
          <w:tcPr>
            <w:tcW w:w="487" w:type="pct"/>
            <w:gridSpan w:val="3"/>
            <w:tcBorders>
              <w:top w:val="single" w:sz="8" w:space="0" w:color="auto"/>
              <w:left w:val="nil"/>
              <w:bottom w:val="single" w:sz="8" w:space="0" w:color="auto"/>
              <w:right w:val="nil"/>
            </w:tcBorders>
            <w:shd w:val="clear" w:color="auto" w:fill="auto"/>
            <w:noWrap/>
            <w:vAlign w:val="center"/>
          </w:tcPr>
          <w:p w:rsidR="006A3355" w:rsidRPr="009263D7" w:rsidRDefault="006A3355" w:rsidP="00675CD0">
            <w:pPr>
              <w:widowControl/>
              <w:jc w:val="left"/>
              <w:rPr>
                <w:rFonts w:ascii="宋体" w:hAnsi="宋体" w:cs="宋体"/>
                <w:color w:val="000000" w:themeColor="text1"/>
                <w:kern w:val="0"/>
                <w:sz w:val="18"/>
                <w:szCs w:val="18"/>
              </w:rPr>
            </w:pPr>
          </w:p>
        </w:tc>
        <w:tc>
          <w:tcPr>
            <w:tcW w:w="519" w:type="pct"/>
            <w:gridSpan w:val="2"/>
            <w:tcBorders>
              <w:top w:val="single" w:sz="8" w:space="0" w:color="auto"/>
              <w:left w:val="nil"/>
              <w:bottom w:val="single" w:sz="8" w:space="0" w:color="auto"/>
              <w:right w:val="single" w:sz="8" w:space="0" w:color="FFFFFF" w:themeColor="background1"/>
            </w:tcBorders>
            <w:shd w:val="clear" w:color="auto" w:fill="auto"/>
            <w:vAlign w:val="center"/>
          </w:tcPr>
          <w:p w:rsidR="006A3355" w:rsidRPr="009263D7" w:rsidRDefault="006A3355" w:rsidP="00675CD0">
            <w:pPr>
              <w:widowControl/>
              <w:jc w:val="left"/>
              <w:rPr>
                <w:rFonts w:ascii="Calibri" w:hAnsi="Calibri" w:cs="宋体"/>
                <w:color w:val="000000" w:themeColor="text1"/>
                <w:kern w:val="0"/>
                <w:szCs w:val="21"/>
              </w:rPr>
            </w:pPr>
          </w:p>
        </w:tc>
      </w:tr>
      <w:tr w:rsidR="00BD7319" w:rsidRPr="009263D7" w:rsidTr="00371B78">
        <w:trPr>
          <w:gridAfter w:val="2"/>
          <w:wAfter w:w="124" w:type="pct"/>
          <w:trHeight w:val="303"/>
        </w:trPr>
        <w:tc>
          <w:tcPr>
            <w:tcW w:w="3870" w:type="pct"/>
            <w:gridSpan w:val="20"/>
            <w:tcBorders>
              <w:top w:val="single" w:sz="8" w:space="0" w:color="auto"/>
              <w:left w:val="nil"/>
              <w:bottom w:val="single" w:sz="2" w:space="0" w:color="auto"/>
              <w:right w:val="nil"/>
            </w:tcBorders>
            <w:shd w:val="clear" w:color="auto" w:fill="auto"/>
            <w:vAlign w:val="center"/>
          </w:tcPr>
          <w:p w:rsidR="006A335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按非居民发行产品的原始币种</w:t>
            </w:r>
          </w:p>
        </w:tc>
        <w:tc>
          <w:tcPr>
            <w:tcW w:w="487" w:type="pct"/>
            <w:gridSpan w:val="3"/>
            <w:tcBorders>
              <w:top w:val="single" w:sz="8" w:space="0" w:color="auto"/>
              <w:left w:val="nil"/>
              <w:bottom w:val="single" w:sz="2"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19" w:type="pct"/>
            <w:gridSpan w:val="2"/>
            <w:tcBorders>
              <w:top w:val="single" w:sz="8" w:space="0" w:color="auto"/>
              <w:left w:val="nil"/>
              <w:bottom w:val="single" w:sz="2" w:space="0" w:color="auto"/>
              <w:right w:val="single" w:sz="8" w:space="0" w:color="FFFFFF" w:themeColor="background1"/>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71B78" w:rsidRPr="009263D7" w:rsidTr="00371B78">
        <w:trPr>
          <w:gridAfter w:val="1"/>
          <w:wAfter w:w="49" w:type="pct"/>
          <w:trHeight w:val="393"/>
        </w:trPr>
        <w:tc>
          <w:tcPr>
            <w:tcW w:w="424" w:type="pct"/>
            <w:vMerge w:val="restart"/>
            <w:tcBorders>
              <w:top w:val="single" w:sz="2" w:space="0" w:color="auto"/>
              <w:left w:val="nil"/>
              <w:right w:val="single" w:sz="2" w:space="0" w:color="auto"/>
            </w:tcBorders>
            <w:shd w:val="clear" w:color="auto" w:fill="auto"/>
            <w:vAlign w:val="center"/>
          </w:tcPr>
          <w:p w:rsidR="00371B78"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w:t>
            </w:r>
          </w:p>
          <w:p w:rsidR="00B80590"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币种</w:t>
            </w:r>
          </w:p>
        </w:tc>
        <w:tc>
          <w:tcPr>
            <w:tcW w:w="591" w:type="pct"/>
            <w:gridSpan w:val="2"/>
            <w:vMerge w:val="restart"/>
            <w:tcBorders>
              <w:top w:val="single" w:sz="2" w:space="0" w:color="auto"/>
              <w:left w:val="single" w:sz="2" w:space="0" w:color="auto"/>
              <w:right w:val="single" w:sz="2" w:space="0" w:color="auto"/>
            </w:tcBorders>
            <w:shd w:val="clear" w:color="auto" w:fill="auto"/>
            <w:vAlign w:val="center"/>
          </w:tcPr>
          <w:p w:rsidR="00B80590"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上月末市值</w:t>
            </w:r>
          </w:p>
        </w:tc>
        <w:tc>
          <w:tcPr>
            <w:tcW w:w="594" w:type="pct"/>
            <w:gridSpan w:val="2"/>
            <w:vMerge w:val="restart"/>
            <w:tcBorders>
              <w:top w:val="single" w:sz="2" w:space="0" w:color="auto"/>
              <w:left w:val="single" w:sz="2" w:space="0" w:color="auto"/>
              <w:right w:val="single" w:sz="2" w:space="0" w:color="auto"/>
            </w:tcBorders>
            <w:shd w:val="clear" w:color="auto" w:fill="auto"/>
            <w:vAlign w:val="center"/>
          </w:tcPr>
          <w:p w:rsidR="0035038B"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本月买入（申购）</w:t>
            </w:r>
          </w:p>
          <w:p w:rsidR="00B80590"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金额</w:t>
            </w:r>
          </w:p>
        </w:tc>
        <w:tc>
          <w:tcPr>
            <w:tcW w:w="594" w:type="pct"/>
            <w:gridSpan w:val="3"/>
            <w:vMerge w:val="restart"/>
            <w:tcBorders>
              <w:top w:val="single" w:sz="2" w:space="0" w:color="auto"/>
              <w:left w:val="single" w:sz="2" w:space="0" w:color="auto"/>
              <w:right w:val="single" w:sz="2" w:space="0" w:color="auto"/>
            </w:tcBorders>
            <w:shd w:val="clear" w:color="auto" w:fill="auto"/>
            <w:vAlign w:val="center"/>
          </w:tcPr>
          <w:p w:rsidR="0035038B"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本月卖出（赎回）</w:t>
            </w:r>
          </w:p>
          <w:p w:rsidR="00B80590"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金额</w:t>
            </w:r>
          </w:p>
        </w:tc>
        <w:tc>
          <w:tcPr>
            <w:tcW w:w="1339" w:type="pct"/>
            <w:gridSpan w:val="10"/>
            <w:tcBorders>
              <w:top w:val="single" w:sz="2" w:space="0" w:color="auto"/>
              <w:left w:val="single" w:sz="2" w:space="0" w:color="auto"/>
              <w:bottom w:val="nil"/>
              <w:right w:val="single" w:sz="2" w:space="0" w:color="auto"/>
            </w:tcBorders>
            <w:shd w:val="clear" w:color="auto" w:fill="auto"/>
            <w:vAlign w:val="center"/>
          </w:tcPr>
          <w:p w:rsidR="00D30632" w:rsidRPr="009263D7" w:rsidRDefault="00CB4B9E" w:rsidP="00361BC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964" w:type="pct"/>
            <w:gridSpan w:val="6"/>
            <w:tcBorders>
              <w:top w:val="single" w:sz="2" w:space="0" w:color="auto"/>
              <w:left w:val="single" w:sz="2" w:space="0" w:color="auto"/>
              <w:right w:val="single" w:sz="2" w:space="0" w:color="auto"/>
            </w:tcBorders>
            <w:shd w:val="clear" w:color="auto" w:fill="auto"/>
            <w:vAlign w:val="center"/>
          </w:tcPr>
          <w:p w:rsidR="00B80590" w:rsidRPr="009263D7" w:rsidRDefault="00CB4B9E" w:rsidP="0025084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本月末市值</w:t>
            </w:r>
          </w:p>
        </w:tc>
        <w:tc>
          <w:tcPr>
            <w:tcW w:w="444" w:type="pct"/>
            <w:gridSpan w:val="2"/>
            <w:vMerge w:val="restart"/>
            <w:tcBorders>
              <w:top w:val="single" w:sz="2" w:space="0" w:color="auto"/>
              <w:left w:val="single" w:sz="2" w:space="0" w:color="auto"/>
              <w:right w:val="single" w:sz="8" w:space="0" w:color="FFFFFF" w:themeColor="background1"/>
            </w:tcBorders>
            <w:shd w:val="clear" w:color="auto" w:fill="auto"/>
            <w:vAlign w:val="center"/>
          </w:tcPr>
          <w:p w:rsidR="00B80590"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本月投资者红利或利息收入</w:t>
            </w:r>
          </w:p>
        </w:tc>
      </w:tr>
      <w:tr w:rsidR="00371B78" w:rsidRPr="009263D7" w:rsidTr="00371B78">
        <w:trPr>
          <w:gridAfter w:val="1"/>
          <w:wAfter w:w="49" w:type="pct"/>
          <w:trHeight w:val="1248"/>
        </w:trPr>
        <w:tc>
          <w:tcPr>
            <w:tcW w:w="424" w:type="pct"/>
            <w:vMerge/>
            <w:tcBorders>
              <w:left w:val="nil"/>
              <w:right w:val="single" w:sz="2" w:space="0" w:color="auto"/>
            </w:tcBorders>
            <w:shd w:val="clear" w:color="auto" w:fill="auto"/>
            <w:vAlign w:val="center"/>
          </w:tcPr>
          <w:p w:rsidR="00361BC1" w:rsidRPr="009263D7" w:rsidRDefault="00361BC1" w:rsidP="00675CD0">
            <w:pPr>
              <w:keepNext/>
              <w:widowControl/>
              <w:spacing w:line="320" w:lineRule="exact"/>
              <w:jc w:val="center"/>
              <w:outlineLvl w:val="0"/>
              <w:rPr>
                <w:rFonts w:ascii="宋体" w:hAnsi="宋体" w:cs="宋体"/>
                <w:color w:val="000000" w:themeColor="text1"/>
                <w:kern w:val="0"/>
                <w:sz w:val="18"/>
                <w:szCs w:val="18"/>
              </w:rPr>
            </w:pPr>
          </w:p>
        </w:tc>
        <w:tc>
          <w:tcPr>
            <w:tcW w:w="591" w:type="pct"/>
            <w:gridSpan w:val="2"/>
            <w:vMerge/>
            <w:tcBorders>
              <w:left w:val="single" w:sz="2" w:space="0" w:color="auto"/>
              <w:right w:val="single" w:sz="2" w:space="0" w:color="auto"/>
            </w:tcBorders>
            <w:vAlign w:val="center"/>
          </w:tcPr>
          <w:p w:rsidR="00361BC1" w:rsidRPr="009263D7" w:rsidRDefault="00361BC1" w:rsidP="00675CD0">
            <w:pPr>
              <w:keepNext/>
              <w:widowControl/>
              <w:spacing w:line="320" w:lineRule="exact"/>
              <w:jc w:val="left"/>
              <w:outlineLvl w:val="0"/>
              <w:rPr>
                <w:rFonts w:ascii="宋体" w:hAnsi="宋体" w:cs="宋体"/>
                <w:color w:val="000000" w:themeColor="text1"/>
                <w:kern w:val="0"/>
                <w:sz w:val="18"/>
                <w:szCs w:val="18"/>
              </w:rPr>
            </w:pPr>
          </w:p>
        </w:tc>
        <w:tc>
          <w:tcPr>
            <w:tcW w:w="594" w:type="pct"/>
            <w:gridSpan w:val="2"/>
            <w:vMerge/>
            <w:tcBorders>
              <w:left w:val="single" w:sz="2" w:space="0" w:color="auto"/>
              <w:right w:val="single" w:sz="2" w:space="0" w:color="auto"/>
            </w:tcBorders>
            <w:vAlign w:val="center"/>
          </w:tcPr>
          <w:p w:rsidR="00361BC1" w:rsidRPr="009263D7" w:rsidRDefault="00361BC1" w:rsidP="00675CD0">
            <w:pPr>
              <w:keepNext/>
              <w:widowControl/>
              <w:spacing w:line="320" w:lineRule="exact"/>
              <w:jc w:val="left"/>
              <w:outlineLvl w:val="0"/>
              <w:rPr>
                <w:rFonts w:ascii="宋体" w:hAnsi="宋体" w:cs="宋体"/>
                <w:color w:val="000000" w:themeColor="text1"/>
                <w:kern w:val="0"/>
                <w:sz w:val="18"/>
                <w:szCs w:val="18"/>
              </w:rPr>
            </w:pPr>
          </w:p>
        </w:tc>
        <w:tc>
          <w:tcPr>
            <w:tcW w:w="594" w:type="pct"/>
            <w:gridSpan w:val="3"/>
            <w:vMerge/>
            <w:tcBorders>
              <w:left w:val="single" w:sz="2" w:space="0" w:color="auto"/>
              <w:right w:val="single" w:sz="2" w:space="0" w:color="auto"/>
            </w:tcBorders>
            <w:vAlign w:val="center"/>
          </w:tcPr>
          <w:p w:rsidR="00361BC1" w:rsidRPr="009263D7" w:rsidRDefault="00361BC1" w:rsidP="00675CD0">
            <w:pPr>
              <w:keepNext/>
              <w:widowControl/>
              <w:spacing w:line="320" w:lineRule="exact"/>
              <w:jc w:val="left"/>
              <w:outlineLvl w:val="0"/>
              <w:rPr>
                <w:rFonts w:ascii="宋体" w:hAnsi="宋体" w:cs="宋体"/>
                <w:color w:val="000000" w:themeColor="text1"/>
                <w:kern w:val="0"/>
                <w:sz w:val="18"/>
                <w:szCs w:val="18"/>
              </w:rPr>
            </w:pPr>
          </w:p>
        </w:tc>
        <w:tc>
          <w:tcPr>
            <w:tcW w:w="366" w:type="pct"/>
            <w:gridSpan w:val="3"/>
            <w:tcBorders>
              <w:top w:val="nil"/>
              <w:left w:val="single" w:sz="2" w:space="0" w:color="auto"/>
              <w:right w:val="single" w:sz="2" w:space="0" w:color="auto"/>
            </w:tcBorders>
            <w:shd w:val="clear" w:color="auto" w:fill="auto"/>
            <w:vAlign w:val="center"/>
          </w:tcPr>
          <w:p w:rsidR="00361BC1" w:rsidRPr="009263D7" w:rsidRDefault="00361BC1" w:rsidP="00675CD0">
            <w:pPr>
              <w:keepNext/>
              <w:widowControl/>
              <w:spacing w:line="320" w:lineRule="exact"/>
              <w:jc w:val="center"/>
              <w:outlineLvl w:val="0"/>
              <w:rPr>
                <w:rFonts w:ascii="宋体" w:hAnsi="宋体" w:cs="宋体"/>
                <w:color w:val="000000" w:themeColor="text1"/>
                <w:kern w:val="0"/>
                <w:sz w:val="18"/>
                <w:szCs w:val="18"/>
              </w:rPr>
            </w:pPr>
          </w:p>
        </w:tc>
        <w:tc>
          <w:tcPr>
            <w:tcW w:w="489" w:type="pct"/>
            <w:gridSpan w:val="2"/>
            <w:tcBorders>
              <w:top w:val="single" w:sz="2" w:space="0" w:color="auto"/>
              <w:left w:val="single" w:sz="2" w:space="0" w:color="auto"/>
              <w:right w:val="single" w:sz="2" w:space="0" w:color="auto"/>
            </w:tcBorders>
            <w:shd w:val="clear" w:color="auto" w:fill="auto"/>
            <w:noWrap/>
            <w:vAlign w:val="center"/>
          </w:tcPr>
          <w:p w:rsidR="00361BC1" w:rsidRPr="009263D7"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债权注销金额</w:t>
            </w:r>
          </w:p>
        </w:tc>
        <w:tc>
          <w:tcPr>
            <w:tcW w:w="484" w:type="pct"/>
            <w:gridSpan w:val="5"/>
            <w:tcBorders>
              <w:top w:val="single" w:sz="2" w:space="0" w:color="auto"/>
              <w:left w:val="single" w:sz="2" w:space="0" w:color="auto"/>
              <w:right w:val="single" w:sz="2" w:space="0" w:color="auto"/>
            </w:tcBorders>
            <w:shd w:val="clear" w:color="auto" w:fill="auto"/>
            <w:noWrap/>
            <w:vAlign w:val="center"/>
          </w:tcPr>
          <w:p w:rsidR="00361BC1" w:rsidRPr="009263D7" w:rsidRDefault="00CB4B9E" w:rsidP="00F2779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价值重估因素</w:t>
            </w:r>
          </w:p>
        </w:tc>
        <w:tc>
          <w:tcPr>
            <w:tcW w:w="371" w:type="pct"/>
            <w:gridSpan w:val="3"/>
            <w:tcBorders>
              <w:left w:val="single" w:sz="2" w:space="0" w:color="auto"/>
              <w:right w:val="single" w:sz="2" w:space="0" w:color="auto"/>
            </w:tcBorders>
            <w:vAlign w:val="center"/>
          </w:tcPr>
          <w:p w:rsidR="00361BC1" w:rsidRPr="009263D7" w:rsidRDefault="00361BC1" w:rsidP="00112AB3">
            <w:pPr>
              <w:keepNext/>
              <w:spacing w:line="320" w:lineRule="exact"/>
              <w:jc w:val="center"/>
              <w:outlineLvl w:val="0"/>
              <w:rPr>
                <w:rFonts w:ascii="宋体" w:hAnsi="宋体" w:cs="宋体"/>
                <w:color w:val="000000" w:themeColor="text1"/>
                <w:kern w:val="0"/>
                <w:sz w:val="18"/>
                <w:szCs w:val="18"/>
              </w:rPr>
            </w:pPr>
          </w:p>
        </w:tc>
        <w:tc>
          <w:tcPr>
            <w:tcW w:w="593" w:type="pct"/>
            <w:gridSpan w:val="3"/>
            <w:tcBorders>
              <w:top w:val="single" w:sz="2" w:space="0" w:color="auto"/>
              <w:left w:val="single" w:sz="2" w:space="0" w:color="auto"/>
              <w:right w:val="single" w:sz="2" w:space="0" w:color="auto"/>
            </w:tcBorders>
            <w:vAlign w:val="center"/>
          </w:tcPr>
          <w:p w:rsidR="00361BC1" w:rsidRPr="009263D7" w:rsidRDefault="00CB4B9E" w:rsidP="0025084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444" w:type="pct"/>
            <w:gridSpan w:val="2"/>
            <w:vMerge/>
            <w:tcBorders>
              <w:left w:val="single" w:sz="2" w:space="0" w:color="auto"/>
              <w:right w:val="single" w:sz="8" w:space="0" w:color="FFFFFF" w:themeColor="background1"/>
            </w:tcBorders>
            <w:vAlign w:val="center"/>
          </w:tcPr>
          <w:p w:rsidR="00361BC1" w:rsidRPr="009263D7" w:rsidRDefault="00361BC1" w:rsidP="00675CD0">
            <w:pPr>
              <w:keepNext/>
              <w:widowControl/>
              <w:spacing w:line="320" w:lineRule="exact"/>
              <w:jc w:val="left"/>
              <w:outlineLvl w:val="0"/>
              <w:rPr>
                <w:rFonts w:ascii="宋体" w:hAnsi="宋体" w:cs="宋体"/>
                <w:color w:val="000000" w:themeColor="text1"/>
                <w:kern w:val="0"/>
                <w:sz w:val="18"/>
                <w:szCs w:val="18"/>
              </w:rPr>
            </w:pPr>
          </w:p>
        </w:tc>
      </w:tr>
      <w:tr w:rsidR="00371B78" w:rsidRPr="009263D7" w:rsidTr="00371B78">
        <w:trPr>
          <w:gridAfter w:val="1"/>
          <w:wAfter w:w="49" w:type="pct"/>
          <w:trHeight w:val="288"/>
        </w:trPr>
        <w:tc>
          <w:tcPr>
            <w:tcW w:w="424" w:type="pct"/>
            <w:tcBorders>
              <w:top w:val="nil"/>
              <w:left w:val="nil"/>
              <w:bottom w:val="nil"/>
              <w:right w:val="single" w:sz="2" w:space="0" w:color="auto"/>
            </w:tcBorders>
            <w:shd w:val="clear" w:color="auto" w:fill="auto"/>
            <w:noWrap/>
            <w:vAlign w:val="center"/>
          </w:tcPr>
          <w:p w:rsidR="00834762"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B0309</w:t>
            </w:r>
          </w:p>
        </w:tc>
        <w:tc>
          <w:tcPr>
            <w:tcW w:w="591" w:type="pct"/>
            <w:gridSpan w:val="2"/>
            <w:tcBorders>
              <w:top w:val="nil"/>
              <w:left w:val="single" w:sz="2" w:space="0" w:color="auto"/>
              <w:bottom w:val="nil"/>
              <w:right w:val="single" w:sz="2" w:space="0" w:color="auto"/>
            </w:tcBorders>
            <w:shd w:val="clear" w:color="auto" w:fill="auto"/>
            <w:noWrap/>
            <w:vAlign w:val="center"/>
          </w:tcPr>
          <w:p w:rsidR="00834762"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B0310</w:t>
            </w:r>
          </w:p>
        </w:tc>
        <w:tc>
          <w:tcPr>
            <w:tcW w:w="594" w:type="pct"/>
            <w:gridSpan w:val="2"/>
            <w:tcBorders>
              <w:top w:val="nil"/>
              <w:left w:val="single" w:sz="2" w:space="0" w:color="auto"/>
              <w:bottom w:val="nil"/>
              <w:right w:val="single" w:sz="2" w:space="0" w:color="auto"/>
            </w:tcBorders>
            <w:shd w:val="clear" w:color="auto" w:fill="auto"/>
            <w:noWrap/>
            <w:vAlign w:val="center"/>
          </w:tcPr>
          <w:p w:rsidR="00834762"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B0311</w:t>
            </w:r>
          </w:p>
        </w:tc>
        <w:tc>
          <w:tcPr>
            <w:tcW w:w="594" w:type="pct"/>
            <w:gridSpan w:val="3"/>
            <w:tcBorders>
              <w:top w:val="nil"/>
              <w:left w:val="single" w:sz="2" w:space="0" w:color="auto"/>
              <w:bottom w:val="nil"/>
              <w:right w:val="single" w:sz="2" w:space="0" w:color="auto"/>
            </w:tcBorders>
            <w:shd w:val="clear" w:color="auto" w:fill="auto"/>
            <w:vAlign w:val="center"/>
          </w:tcPr>
          <w:p w:rsidR="00834762"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B0312</w:t>
            </w:r>
          </w:p>
        </w:tc>
        <w:tc>
          <w:tcPr>
            <w:tcW w:w="366" w:type="pct"/>
            <w:gridSpan w:val="3"/>
            <w:tcBorders>
              <w:top w:val="nil"/>
              <w:left w:val="single" w:sz="2" w:space="0" w:color="auto"/>
              <w:bottom w:val="single" w:sz="4" w:space="0" w:color="auto"/>
              <w:right w:val="single" w:sz="2" w:space="0" w:color="auto"/>
            </w:tcBorders>
            <w:shd w:val="clear" w:color="auto" w:fill="auto"/>
            <w:noWrap/>
            <w:vAlign w:val="center"/>
          </w:tcPr>
          <w:p w:rsidR="00834762"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B0313</w:t>
            </w:r>
          </w:p>
        </w:tc>
        <w:tc>
          <w:tcPr>
            <w:tcW w:w="489" w:type="pct"/>
            <w:gridSpan w:val="2"/>
            <w:tcBorders>
              <w:top w:val="nil"/>
              <w:left w:val="single" w:sz="2" w:space="0" w:color="auto"/>
              <w:bottom w:val="single" w:sz="4" w:space="0" w:color="auto"/>
              <w:right w:val="single" w:sz="2" w:space="0" w:color="auto"/>
            </w:tcBorders>
            <w:shd w:val="clear" w:color="auto" w:fill="auto"/>
            <w:noWrap/>
            <w:vAlign w:val="center"/>
          </w:tcPr>
          <w:p w:rsidR="00834762"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B0314</w:t>
            </w:r>
          </w:p>
        </w:tc>
        <w:tc>
          <w:tcPr>
            <w:tcW w:w="484" w:type="pct"/>
            <w:gridSpan w:val="5"/>
            <w:tcBorders>
              <w:top w:val="nil"/>
              <w:left w:val="single" w:sz="2" w:space="0" w:color="auto"/>
              <w:bottom w:val="single" w:sz="4" w:space="0" w:color="auto"/>
              <w:right w:val="single" w:sz="2" w:space="0" w:color="auto"/>
            </w:tcBorders>
            <w:shd w:val="clear" w:color="auto" w:fill="auto"/>
            <w:noWrap/>
            <w:vAlign w:val="center"/>
          </w:tcPr>
          <w:p w:rsidR="00834762"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B0315</w:t>
            </w:r>
          </w:p>
        </w:tc>
        <w:tc>
          <w:tcPr>
            <w:tcW w:w="371" w:type="pct"/>
            <w:gridSpan w:val="3"/>
            <w:tcBorders>
              <w:top w:val="nil"/>
              <w:left w:val="single" w:sz="2" w:space="0" w:color="auto"/>
              <w:bottom w:val="single" w:sz="4" w:space="0" w:color="auto"/>
              <w:right w:val="single" w:sz="4" w:space="0" w:color="auto"/>
            </w:tcBorders>
            <w:shd w:val="clear" w:color="auto" w:fill="auto"/>
            <w:noWrap/>
            <w:vAlign w:val="center"/>
          </w:tcPr>
          <w:p w:rsidR="00834762" w:rsidRPr="009263D7" w:rsidRDefault="00CB4B9E" w:rsidP="00092E4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B0316</w:t>
            </w:r>
          </w:p>
        </w:tc>
        <w:tc>
          <w:tcPr>
            <w:tcW w:w="593" w:type="pct"/>
            <w:gridSpan w:val="3"/>
            <w:tcBorders>
              <w:top w:val="nil"/>
              <w:left w:val="single" w:sz="4" w:space="0" w:color="auto"/>
              <w:bottom w:val="single" w:sz="2" w:space="0" w:color="auto"/>
              <w:right w:val="single" w:sz="2" w:space="0" w:color="auto"/>
            </w:tcBorders>
            <w:shd w:val="clear" w:color="auto" w:fill="auto"/>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B0317</w:t>
            </w:r>
          </w:p>
        </w:tc>
        <w:tc>
          <w:tcPr>
            <w:tcW w:w="444" w:type="pct"/>
            <w:gridSpan w:val="2"/>
            <w:tcBorders>
              <w:top w:val="nil"/>
              <w:left w:val="single" w:sz="2" w:space="0" w:color="auto"/>
              <w:bottom w:val="single" w:sz="4" w:space="0" w:color="auto"/>
              <w:right w:val="single" w:sz="8" w:space="0" w:color="FFFFFF" w:themeColor="background1"/>
            </w:tcBorders>
            <w:shd w:val="clear" w:color="auto" w:fill="auto"/>
            <w:noWrap/>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B0318</w:t>
            </w:r>
          </w:p>
        </w:tc>
      </w:tr>
      <w:tr w:rsidR="00371B78" w:rsidRPr="009263D7" w:rsidTr="00371B78">
        <w:trPr>
          <w:gridAfter w:val="1"/>
          <w:wAfter w:w="49" w:type="pct"/>
          <w:trHeight w:val="288"/>
        </w:trPr>
        <w:tc>
          <w:tcPr>
            <w:tcW w:w="424" w:type="pct"/>
            <w:tcBorders>
              <w:top w:val="single" w:sz="4" w:space="0" w:color="auto"/>
              <w:left w:val="nil"/>
              <w:bottom w:val="single" w:sz="4" w:space="0" w:color="auto"/>
              <w:right w:val="single" w:sz="2" w:space="0" w:color="auto"/>
            </w:tcBorders>
            <w:shd w:val="clear" w:color="auto" w:fill="auto"/>
            <w:noWrap/>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壬</w:t>
            </w:r>
          </w:p>
        </w:tc>
        <w:tc>
          <w:tcPr>
            <w:tcW w:w="591" w:type="pct"/>
            <w:gridSpan w:val="2"/>
            <w:tcBorders>
              <w:top w:val="single" w:sz="4" w:space="0" w:color="auto"/>
              <w:left w:val="single" w:sz="2" w:space="0" w:color="auto"/>
              <w:bottom w:val="single" w:sz="4" w:space="0" w:color="auto"/>
              <w:right w:val="single" w:sz="2" w:space="0" w:color="auto"/>
            </w:tcBorders>
            <w:shd w:val="clear" w:color="auto" w:fill="auto"/>
            <w:noWrap/>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594" w:type="pct"/>
            <w:gridSpan w:val="2"/>
            <w:tcBorders>
              <w:top w:val="single" w:sz="4" w:space="0" w:color="auto"/>
              <w:left w:val="single" w:sz="2" w:space="0" w:color="auto"/>
              <w:bottom w:val="single" w:sz="4" w:space="0" w:color="auto"/>
              <w:right w:val="single" w:sz="2" w:space="0" w:color="auto"/>
            </w:tcBorders>
            <w:shd w:val="clear" w:color="auto" w:fill="auto"/>
            <w:noWrap/>
            <w:vAlign w:val="center"/>
          </w:tcPr>
          <w:p w:rsidR="00834762" w:rsidRPr="009263D7" w:rsidRDefault="00CB4B9E" w:rsidP="00675CD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594" w:type="pct"/>
            <w:gridSpan w:val="3"/>
            <w:tcBorders>
              <w:top w:val="single" w:sz="4" w:space="0" w:color="auto"/>
              <w:left w:val="single" w:sz="2" w:space="0" w:color="auto"/>
              <w:bottom w:val="single" w:sz="4" w:space="0" w:color="auto"/>
              <w:right w:val="single" w:sz="2" w:space="0" w:color="auto"/>
            </w:tcBorders>
            <w:shd w:val="clear" w:color="auto" w:fill="auto"/>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366" w:type="pct"/>
            <w:gridSpan w:val="3"/>
            <w:tcBorders>
              <w:top w:val="nil"/>
              <w:left w:val="single" w:sz="2" w:space="0" w:color="auto"/>
              <w:bottom w:val="single" w:sz="4" w:space="0" w:color="auto"/>
              <w:right w:val="single" w:sz="2" w:space="0" w:color="auto"/>
            </w:tcBorders>
            <w:shd w:val="clear" w:color="auto" w:fill="auto"/>
            <w:noWrap/>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489" w:type="pct"/>
            <w:gridSpan w:val="2"/>
            <w:tcBorders>
              <w:top w:val="nil"/>
              <w:left w:val="single" w:sz="2" w:space="0" w:color="auto"/>
              <w:bottom w:val="single" w:sz="4" w:space="0" w:color="auto"/>
              <w:right w:val="single" w:sz="2" w:space="0" w:color="auto"/>
            </w:tcBorders>
            <w:shd w:val="clear" w:color="auto" w:fill="auto"/>
            <w:noWrap/>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484" w:type="pct"/>
            <w:gridSpan w:val="5"/>
            <w:tcBorders>
              <w:top w:val="nil"/>
              <w:left w:val="single" w:sz="2" w:space="0" w:color="auto"/>
              <w:bottom w:val="single" w:sz="4" w:space="0" w:color="auto"/>
              <w:right w:val="single" w:sz="2" w:space="0" w:color="auto"/>
            </w:tcBorders>
            <w:shd w:val="clear" w:color="auto" w:fill="auto"/>
            <w:noWrap/>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371" w:type="pct"/>
            <w:gridSpan w:val="3"/>
            <w:tcBorders>
              <w:top w:val="nil"/>
              <w:left w:val="single" w:sz="2" w:space="0" w:color="auto"/>
              <w:bottom w:val="single" w:sz="4" w:space="0" w:color="auto"/>
              <w:right w:val="single" w:sz="4" w:space="0" w:color="auto"/>
            </w:tcBorders>
            <w:shd w:val="clear" w:color="auto" w:fill="auto"/>
            <w:noWrap/>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593" w:type="pct"/>
            <w:gridSpan w:val="3"/>
            <w:tcBorders>
              <w:top w:val="single" w:sz="2" w:space="0" w:color="auto"/>
              <w:left w:val="single" w:sz="4" w:space="0" w:color="auto"/>
              <w:bottom w:val="single" w:sz="4" w:space="0" w:color="auto"/>
              <w:right w:val="single" w:sz="2" w:space="0" w:color="auto"/>
            </w:tcBorders>
            <w:shd w:val="clear" w:color="auto" w:fill="auto"/>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444" w:type="pct"/>
            <w:gridSpan w:val="2"/>
            <w:tcBorders>
              <w:top w:val="nil"/>
              <w:left w:val="single" w:sz="2" w:space="0" w:color="auto"/>
              <w:bottom w:val="single" w:sz="4" w:space="0" w:color="auto"/>
              <w:right w:val="single" w:sz="8" w:space="0" w:color="FFFFFF" w:themeColor="background1"/>
            </w:tcBorders>
            <w:shd w:val="clear" w:color="auto" w:fill="auto"/>
            <w:noWrap/>
            <w:vAlign w:val="center"/>
          </w:tcPr>
          <w:p w:rsidR="00834762"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r>
      <w:tr w:rsidR="00371B78" w:rsidRPr="009263D7" w:rsidTr="00371B78">
        <w:trPr>
          <w:trHeight w:val="288"/>
        </w:trPr>
        <w:tc>
          <w:tcPr>
            <w:tcW w:w="424" w:type="pct"/>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591"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855" w:type="pct"/>
            <w:gridSpan w:val="4"/>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382"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425" w:type="pct"/>
            <w:gridSpan w:val="3"/>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430"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1022" w:type="pct"/>
            <w:gridSpan w:val="8"/>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228" w:type="pct"/>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519"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124" w:type="pct"/>
            <w:gridSpan w:val="2"/>
            <w:tcBorders>
              <w:top w:val="nil"/>
              <w:left w:val="nil"/>
              <w:bottom w:val="nil"/>
              <w:right w:val="nil"/>
            </w:tcBorders>
            <w:shd w:val="clear" w:color="auto" w:fill="auto"/>
            <w:vAlign w:val="center"/>
          </w:tcPr>
          <w:p w:rsidR="006A3355" w:rsidRPr="009263D7" w:rsidRDefault="006A3355" w:rsidP="00675CD0">
            <w:pPr>
              <w:keepNext/>
              <w:widowControl/>
              <w:spacing w:line="320" w:lineRule="exact"/>
              <w:jc w:val="left"/>
              <w:outlineLvl w:val="0"/>
              <w:rPr>
                <w:rFonts w:ascii="Calibri" w:hAnsi="Calibri" w:cs="宋体"/>
                <w:color w:val="000000" w:themeColor="text1"/>
                <w:kern w:val="0"/>
                <w:szCs w:val="21"/>
              </w:rPr>
            </w:pPr>
          </w:p>
        </w:tc>
      </w:tr>
      <w:tr w:rsidR="00371B78" w:rsidRPr="009263D7" w:rsidTr="00371B78">
        <w:trPr>
          <w:trHeight w:val="288"/>
        </w:trPr>
        <w:tc>
          <w:tcPr>
            <w:tcW w:w="424" w:type="pct"/>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591"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855" w:type="pct"/>
            <w:gridSpan w:val="4"/>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382"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425" w:type="pct"/>
            <w:gridSpan w:val="3"/>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430"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1022" w:type="pct"/>
            <w:gridSpan w:val="8"/>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228" w:type="pct"/>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519" w:type="pct"/>
            <w:gridSpan w:val="2"/>
            <w:tcBorders>
              <w:top w:val="nil"/>
              <w:left w:val="nil"/>
              <w:bottom w:val="nil"/>
              <w:right w:val="nil"/>
            </w:tcBorders>
            <w:shd w:val="clear" w:color="auto" w:fill="auto"/>
            <w:noWrap/>
            <w:vAlign w:val="center"/>
          </w:tcPr>
          <w:p w:rsidR="006A3355" w:rsidRPr="009263D7" w:rsidRDefault="006A3355" w:rsidP="00675CD0">
            <w:pPr>
              <w:keepNext/>
              <w:widowControl/>
              <w:spacing w:line="320" w:lineRule="exact"/>
              <w:jc w:val="left"/>
              <w:outlineLvl w:val="0"/>
              <w:rPr>
                <w:rFonts w:ascii="宋体" w:hAnsi="宋体" w:cs="宋体"/>
                <w:color w:val="000000" w:themeColor="text1"/>
                <w:kern w:val="0"/>
                <w:sz w:val="18"/>
                <w:szCs w:val="18"/>
              </w:rPr>
            </w:pPr>
          </w:p>
        </w:tc>
        <w:tc>
          <w:tcPr>
            <w:tcW w:w="124" w:type="pct"/>
            <w:gridSpan w:val="2"/>
            <w:tcBorders>
              <w:top w:val="nil"/>
              <w:left w:val="nil"/>
              <w:bottom w:val="nil"/>
              <w:right w:val="nil"/>
            </w:tcBorders>
            <w:shd w:val="clear" w:color="auto" w:fill="auto"/>
            <w:vAlign w:val="center"/>
          </w:tcPr>
          <w:p w:rsidR="006A3355" w:rsidRPr="009263D7" w:rsidRDefault="006A3355" w:rsidP="00675CD0">
            <w:pPr>
              <w:keepNext/>
              <w:widowControl/>
              <w:spacing w:line="320" w:lineRule="exact"/>
              <w:jc w:val="left"/>
              <w:outlineLvl w:val="0"/>
              <w:rPr>
                <w:rFonts w:ascii="Calibri" w:hAnsi="Calibri" w:cs="宋体"/>
                <w:color w:val="000000" w:themeColor="text1"/>
                <w:kern w:val="0"/>
                <w:szCs w:val="21"/>
              </w:rPr>
            </w:pPr>
          </w:p>
        </w:tc>
      </w:tr>
      <w:tr w:rsidR="00371B78" w:rsidRPr="009263D7" w:rsidTr="00371B78">
        <w:trPr>
          <w:trHeight w:val="303"/>
        </w:trPr>
        <w:tc>
          <w:tcPr>
            <w:tcW w:w="424" w:type="pct"/>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91" w:type="pct"/>
            <w:gridSpan w:val="2"/>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55" w:type="pct"/>
            <w:gridSpan w:val="4"/>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82" w:type="pct"/>
            <w:gridSpan w:val="2"/>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25" w:type="pct"/>
            <w:gridSpan w:val="3"/>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30" w:type="pct"/>
            <w:gridSpan w:val="2"/>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022" w:type="pct"/>
            <w:gridSpan w:val="8"/>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28" w:type="pct"/>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19" w:type="pct"/>
            <w:gridSpan w:val="2"/>
            <w:tcBorders>
              <w:top w:val="nil"/>
              <w:left w:val="nil"/>
              <w:bottom w:val="single" w:sz="8" w:space="0" w:color="auto"/>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4" w:type="pct"/>
            <w:gridSpan w:val="2"/>
            <w:tcBorders>
              <w:top w:val="nil"/>
              <w:left w:val="nil"/>
              <w:bottom w:val="nil"/>
              <w:right w:val="nil"/>
            </w:tcBorders>
            <w:shd w:val="clear" w:color="auto" w:fill="auto"/>
            <w:noWrap/>
            <w:vAlign w:val="center"/>
          </w:tcPr>
          <w:p w:rsidR="006A335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6A3355" w:rsidRPr="009263D7" w:rsidRDefault="00CB4B9E" w:rsidP="006A3355">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0A6759" w:rsidRPr="009263D7" w:rsidRDefault="00CB4B9E" w:rsidP="000A6759">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6A3355" w:rsidRPr="009263D7" w:rsidRDefault="006A3355" w:rsidP="006A3355">
      <w:pPr>
        <w:spacing w:line="280" w:lineRule="exact"/>
        <w:jc w:val="left"/>
        <w:rPr>
          <w:rFonts w:ascii="宋体" w:hAnsi="宋体" w:cs="宋体"/>
          <w:color w:val="000000" w:themeColor="text1"/>
          <w:kern w:val="0"/>
          <w:sz w:val="18"/>
          <w:szCs w:val="18"/>
        </w:rPr>
      </w:pPr>
    </w:p>
    <w:p w:rsidR="00E16ECB" w:rsidRPr="009263D7" w:rsidRDefault="00E16ECB" w:rsidP="00AE1822">
      <w:pPr>
        <w:spacing w:line="280" w:lineRule="exact"/>
        <w:ind w:leftChars="179" w:left="376"/>
        <w:rPr>
          <w:rFonts w:ascii="宋体" w:hAnsi="宋体" w:cs="宋体"/>
          <w:color w:val="000000" w:themeColor="text1"/>
          <w:kern w:val="0"/>
          <w:sz w:val="18"/>
          <w:szCs w:val="18"/>
        </w:rPr>
      </w:pPr>
    </w:p>
    <w:p w:rsidR="00AE1822" w:rsidRPr="009263D7" w:rsidRDefault="00CB4B9E" w:rsidP="00AE1822">
      <w:pPr>
        <w:pStyle w:val="3"/>
        <w:jc w:val="center"/>
        <w:rPr>
          <w:rFonts w:ascii="宋体" w:hAnsi="宋体"/>
          <w:b w:val="0"/>
          <w:color w:val="000000" w:themeColor="text1"/>
          <w:kern w:val="0"/>
          <w:sz w:val="28"/>
          <w:szCs w:val="28"/>
        </w:rPr>
      </w:pPr>
      <w:r w:rsidRPr="00CB4B9E">
        <w:rPr>
          <w:rFonts w:ascii="宋体" w:hAnsi="宋体" w:cs="宋体"/>
          <w:color w:val="000000" w:themeColor="text1"/>
          <w:kern w:val="0"/>
          <w:sz w:val="18"/>
          <w:szCs w:val="18"/>
        </w:rPr>
        <w:br w:type="page"/>
      </w:r>
      <w:bookmarkStart w:id="23" w:name="_Toc452017133"/>
      <w:r w:rsidRPr="00CB4B9E">
        <w:rPr>
          <w:rFonts w:ascii="宋体" w:hAnsi="宋体" w:hint="eastAsia"/>
          <w:b w:val="0"/>
          <w:color w:val="000000" w:themeColor="text1"/>
          <w:kern w:val="0"/>
          <w:sz w:val="28"/>
          <w:szCs w:val="28"/>
        </w:rPr>
        <w:lastRenderedPageBreak/>
        <w:t>吸收境外股权和基金份额投资（负债）</w:t>
      </w:r>
      <w:bookmarkEnd w:id="23"/>
    </w:p>
    <w:p w:rsidR="00AE1822" w:rsidRPr="009263D7" w:rsidRDefault="00CB4B9E" w:rsidP="00AE1822">
      <w:pPr>
        <w:spacing w:line="240" w:lineRule="exact"/>
        <w:rPr>
          <w:rFonts w:ascii="宋体" w:hAnsi="宋体"/>
          <w:color w:val="000000" w:themeColor="text1"/>
          <w:kern w:val="0"/>
          <w:sz w:val="32"/>
          <w:szCs w:val="32"/>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B04</w:t>
      </w:r>
      <w:r w:rsidRPr="00CB4B9E">
        <w:rPr>
          <w:rFonts w:ascii="宋体" w:hAnsi="宋体" w:cs="宋体" w:hint="eastAsia"/>
          <w:color w:val="000000" w:themeColor="text1"/>
          <w:kern w:val="0"/>
          <w:sz w:val="18"/>
          <w:szCs w:val="18"/>
        </w:rPr>
        <w:t>表</w:t>
      </w:r>
    </w:p>
    <w:p w:rsidR="00AE1822" w:rsidRPr="009263D7" w:rsidRDefault="00CB4B9E" w:rsidP="00AE1822">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AE1822" w:rsidRPr="009263D7" w:rsidRDefault="00CB4B9E" w:rsidP="00AE1822">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AE1822" w:rsidRPr="009263D7" w:rsidRDefault="00CB4B9E" w:rsidP="00AE182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AE1822" w:rsidRPr="009263D7" w:rsidRDefault="00CB4B9E" w:rsidP="00AE182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AE1822" w:rsidRPr="009263D7" w:rsidRDefault="00CB4B9E" w:rsidP="00AE1822">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AE1822" w:rsidRPr="009263D7" w:rsidRDefault="00CB4B9E" w:rsidP="00AE1822">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r w:rsidRPr="00CB4B9E">
        <w:rPr>
          <w:color w:val="000000" w:themeColor="text1"/>
          <w:sz w:val="18"/>
        </w:rPr>
        <w:t>1</w:t>
      </w:r>
      <w:r w:rsidRPr="00CB4B9E">
        <w:rPr>
          <w:rFonts w:hint="eastAsia"/>
          <w:color w:val="000000" w:themeColor="text1"/>
          <w:sz w:val="18"/>
        </w:rPr>
        <w:t>股，</w:t>
      </w:r>
      <w:r w:rsidRPr="00CB4B9E">
        <w:rPr>
          <w:color w:val="000000" w:themeColor="text1"/>
          <w:sz w:val="18"/>
        </w:rPr>
        <w:t>1</w:t>
      </w:r>
      <w:r w:rsidRPr="00CB4B9E">
        <w:rPr>
          <w:rFonts w:hint="eastAsia"/>
          <w:color w:val="000000" w:themeColor="text1"/>
          <w:sz w:val="18"/>
        </w:rPr>
        <w:t>份，</w:t>
      </w:r>
      <w:r w:rsidRPr="00CB4B9E">
        <w:rPr>
          <w:color w:val="000000" w:themeColor="text1"/>
          <w:sz w:val="18"/>
        </w:rPr>
        <w:t xml:space="preserve"> %</w:t>
      </w:r>
    </w:p>
    <w:tbl>
      <w:tblPr>
        <w:tblW w:w="10042" w:type="dxa"/>
        <w:tblInd w:w="95" w:type="dxa"/>
        <w:tblLayout w:type="fixed"/>
        <w:tblLook w:val="0000"/>
      </w:tblPr>
      <w:tblGrid>
        <w:gridCol w:w="719"/>
        <w:gridCol w:w="77"/>
        <w:gridCol w:w="62"/>
        <w:gridCol w:w="190"/>
        <w:gridCol w:w="379"/>
        <w:gridCol w:w="140"/>
        <w:gridCol w:w="507"/>
        <w:gridCol w:w="201"/>
        <w:gridCol w:w="35"/>
        <w:gridCol w:w="107"/>
        <w:gridCol w:w="154"/>
        <w:gridCol w:w="236"/>
        <w:gridCol w:w="319"/>
        <w:gridCol w:w="142"/>
        <w:gridCol w:w="1134"/>
        <w:gridCol w:w="141"/>
        <w:gridCol w:w="993"/>
        <w:gridCol w:w="283"/>
        <w:gridCol w:w="567"/>
        <w:gridCol w:w="567"/>
        <w:gridCol w:w="425"/>
        <w:gridCol w:w="567"/>
        <w:gridCol w:w="142"/>
        <w:gridCol w:w="709"/>
        <w:gridCol w:w="996"/>
        <w:gridCol w:w="236"/>
        <w:gridCol w:w="14"/>
      </w:tblGrid>
      <w:tr w:rsidR="00326DF2" w:rsidRPr="009263D7" w:rsidTr="00124CBF">
        <w:trPr>
          <w:trHeight w:val="312"/>
        </w:trPr>
        <w:tc>
          <w:tcPr>
            <w:tcW w:w="858" w:type="dxa"/>
            <w:gridSpan w:val="3"/>
            <w:vMerge w:val="restart"/>
            <w:tcBorders>
              <w:top w:val="single" w:sz="8" w:space="0" w:color="auto"/>
              <w:left w:val="nil"/>
              <w:bottom w:val="single" w:sz="4" w:space="0" w:color="auto"/>
              <w:right w:val="single" w:sz="2" w:space="0" w:color="auto"/>
            </w:tcBorders>
            <w:shd w:val="clear" w:color="auto" w:fill="auto"/>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工具</w:t>
            </w:r>
          </w:p>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类型</w:t>
            </w:r>
          </w:p>
        </w:tc>
        <w:tc>
          <w:tcPr>
            <w:tcW w:w="709" w:type="dxa"/>
            <w:gridSpan w:val="3"/>
            <w:vMerge w:val="restart"/>
            <w:tcBorders>
              <w:top w:val="single" w:sz="8" w:space="0" w:color="auto"/>
              <w:left w:val="single" w:sz="2" w:space="0" w:color="auto"/>
              <w:right w:val="single" w:sz="2" w:space="0" w:color="auto"/>
            </w:tcBorders>
          </w:tcPr>
          <w:p w:rsidR="00C272D5" w:rsidRPr="009263D7" w:rsidRDefault="00C272D5" w:rsidP="008E2D8C">
            <w:pPr>
              <w:keepNext/>
              <w:widowControl/>
              <w:spacing w:line="320" w:lineRule="exact"/>
              <w:jc w:val="center"/>
              <w:outlineLvl w:val="0"/>
              <w:rPr>
                <w:rFonts w:ascii="宋体" w:hAnsi="宋体" w:cs="宋体"/>
                <w:color w:val="000000" w:themeColor="text1"/>
                <w:kern w:val="0"/>
                <w:sz w:val="18"/>
                <w:szCs w:val="18"/>
              </w:rPr>
            </w:pPr>
          </w:p>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业务类型</w:t>
            </w:r>
          </w:p>
        </w:tc>
        <w:tc>
          <w:tcPr>
            <w:tcW w:w="850" w:type="dxa"/>
            <w:gridSpan w:val="4"/>
            <w:vMerge w:val="restart"/>
            <w:tcBorders>
              <w:top w:val="single" w:sz="8" w:space="0" w:color="auto"/>
              <w:left w:val="single" w:sz="2" w:space="0" w:color="auto"/>
              <w:bottom w:val="single" w:sz="4" w:space="0" w:color="auto"/>
              <w:right w:val="single" w:sz="2" w:space="0" w:color="auto"/>
            </w:tcBorders>
            <w:shd w:val="clear" w:color="auto" w:fill="auto"/>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证券</w:t>
            </w:r>
          </w:p>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代码</w:t>
            </w:r>
          </w:p>
        </w:tc>
        <w:tc>
          <w:tcPr>
            <w:tcW w:w="851" w:type="dxa"/>
            <w:gridSpan w:val="4"/>
            <w:vMerge w:val="restart"/>
            <w:tcBorders>
              <w:top w:val="single" w:sz="8" w:space="0" w:color="auto"/>
              <w:left w:val="single" w:sz="2" w:space="0" w:color="auto"/>
              <w:bottom w:val="single" w:sz="4" w:space="0" w:color="auto"/>
              <w:right w:val="single" w:sz="2" w:space="0" w:color="auto"/>
            </w:tcBorders>
            <w:shd w:val="clear" w:color="auto" w:fill="auto"/>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发行地</w:t>
            </w:r>
          </w:p>
        </w:tc>
        <w:tc>
          <w:tcPr>
            <w:tcW w:w="1275" w:type="dxa"/>
            <w:gridSpan w:val="2"/>
            <w:vMerge w:val="restart"/>
            <w:tcBorders>
              <w:top w:val="single" w:sz="8" w:space="0" w:color="auto"/>
              <w:left w:val="single" w:sz="2" w:space="0" w:color="auto"/>
              <w:bottom w:val="single" w:sz="4" w:space="0" w:color="auto"/>
              <w:right w:val="single" w:sz="2" w:space="0" w:color="auto"/>
            </w:tcBorders>
            <w:shd w:val="clear" w:color="auto" w:fill="auto"/>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投资者名称</w:t>
            </w:r>
          </w:p>
        </w:tc>
        <w:tc>
          <w:tcPr>
            <w:tcW w:w="993" w:type="dxa"/>
            <w:vMerge w:val="restart"/>
            <w:tcBorders>
              <w:top w:val="single" w:sz="8" w:space="0" w:color="auto"/>
              <w:left w:val="single" w:sz="2" w:space="0" w:color="auto"/>
              <w:bottom w:val="single" w:sz="4" w:space="0" w:color="auto"/>
              <w:right w:val="single" w:sz="2" w:space="0" w:color="auto"/>
            </w:tcBorders>
            <w:shd w:val="clear" w:color="auto" w:fill="auto"/>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投资者所属国家</w:t>
            </w:r>
            <w:r w:rsidRPr="00CB4B9E">
              <w:rPr>
                <w:rFonts w:ascii="宋体" w:hAnsi="宋体" w:cs="宋体"/>
                <w:color w:val="000000" w:themeColor="text1"/>
                <w:kern w:val="0"/>
                <w:sz w:val="18"/>
                <w:szCs w:val="18"/>
              </w:rPr>
              <w:t>/地区</w:t>
            </w:r>
          </w:p>
        </w:tc>
        <w:tc>
          <w:tcPr>
            <w:tcW w:w="850" w:type="dxa"/>
            <w:gridSpan w:val="2"/>
            <w:vMerge w:val="restart"/>
            <w:tcBorders>
              <w:top w:val="single" w:sz="8" w:space="0" w:color="auto"/>
              <w:left w:val="single" w:sz="2" w:space="0" w:color="auto"/>
              <w:bottom w:val="single" w:sz="4" w:space="0" w:color="auto"/>
              <w:right w:val="single" w:sz="2" w:space="0" w:color="auto"/>
            </w:tcBorders>
            <w:shd w:val="clear" w:color="auto" w:fill="auto"/>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投资者所属部门</w:t>
            </w:r>
          </w:p>
        </w:tc>
        <w:tc>
          <w:tcPr>
            <w:tcW w:w="992" w:type="dxa"/>
            <w:gridSpan w:val="2"/>
            <w:vMerge w:val="restart"/>
            <w:tcBorders>
              <w:top w:val="single" w:sz="8" w:space="0" w:color="auto"/>
              <w:left w:val="single" w:sz="2" w:space="0" w:color="auto"/>
              <w:bottom w:val="single" w:sz="4" w:space="0" w:color="auto"/>
              <w:right w:val="single" w:sz="2" w:space="0" w:color="auto"/>
            </w:tcBorders>
            <w:shd w:val="clear" w:color="auto" w:fill="auto"/>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投资者与本机构的关系</w:t>
            </w:r>
          </w:p>
        </w:tc>
        <w:tc>
          <w:tcPr>
            <w:tcW w:w="2414" w:type="dxa"/>
            <w:gridSpan w:val="4"/>
            <w:tcBorders>
              <w:top w:val="single" w:sz="8" w:space="0" w:color="auto"/>
              <w:left w:val="single" w:sz="2" w:space="0" w:color="auto"/>
              <w:bottom w:val="single" w:sz="4" w:space="0" w:color="000000"/>
            </w:tcBorders>
            <w:shd w:val="clear" w:color="auto" w:fill="auto"/>
            <w:vAlign w:val="center"/>
          </w:tcPr>
          <w:p w:rsidR="00000000" w:rsidRDefault="00CB4B9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按证券的原始币种</w:t>
            </w:r>
          </w:p>
        </w:tc>
        <w:tc>
          <w:tcPr>
            <w:tcW w:w="250" w:type="dxa"/>
            <w:gridSpan w:val="2"/>
            <w:vMerge w:val="restart"/>
            <w:tcBorders>
              <w:top w:val="nil"/>
              <w:left w:val="nil"/>
            </w:tcBorders>
            <w:shd w:val="clear" w:color="auto" w:fill="auto"/>
            <w:vAlign w:val="center"/>
          </w:tcPr>
          <w:p w:rsidR="00F15EF3" w:rsidRPr="009263D7" w:rsidRDefault="00F15EF3" w:rsidP="00F15EF3">
            <w:pPr>
              <w:keepNext/>
              <w:keepLines/>
              <w:widowControl/>
              <w:tabs>
                <w:tab w:val="num" w:pos="1440"/>
              </w:tabs>
              <w:spacing w:before="260" w:after="260" w:line="415" w:lineRule="auto"/>
              <w:ind w:left="1080" w:hanging="720"/>
              <w:outlineLvl w:val="2"/>
              <w:rPr>
                <w:rFonts w:ascii="宋体" w:hAnsi="宋体" w:cs="宋体"/>
                <w:color w:val="000000" w:themeColor="text1"/>
                <w:kern w:val="0"/>
                <w:sz w:val="18"/>
                <w:szCs w:val="18"/>
              </w:rPr>
            </w:pPr>
          </w:p>
        </w:tc>
      </w:tr>
      <w:tr w:rsidR="00326DF2" w:rsidRPr="009263D7" w:rsidTr="00124CBF">
        <w:trPr>
          <w:trHeight w:val="634"/>
        </w:trPr>
        <w:tc>
          <w:tcPr>
            <w:tcW w:w="858" w:type="dxa"/>
            <w:gridSpan w:val="3"/>
            <w:vMerge/>
            <w:tcBorders>
              <w:top w:val="single" w:sz="2" w:space="0" w:color="auto"/>
              <w:left w:val="nil"/>
              <w:bottom w:val="nil"/>
              <w:right w:val="single" w:sz="2" w:space="0" w:color="auto"/>
            </w:tcBorders>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709" w:type="dxa"/>
            <w:gridSpan w:val="3"/>
            <w:vMerge/>
            <w:tcBorders>
              <w:left w:val="single" w:sz="2" w:space="0" w:color="auto"/>
              <w:bottom w:val="nil"/>
              <w:right w:val="single" w:sz="2" w:space="0" w:color="auto"/>
            </w:tcBorders>
          </w:tcPr>
          <w:p w:rsidR="00F15EF3" w:rsidRPr="009263D7" w:rsidRDefault="00F15EF3" w:rsidP="008E2D8C">
            <w:pPr>
              <w:widowControl/>
              <w:jc w:val="left"/>
              <w:rPr>
                <w:rFonts w:ascii="宋体" w:hAnsi="宋体" w:cs="宋体"/>
                <w:color w:val="000000" w:themeColor="text1"/>
                <w:kern w:val="0"/>
                <w:sz w:val="18"/>
                <w:szCs w:val="18"/>
              </w:rPr>
            </w:pPr>
          </w:p>
        </w:tc>
        <w:tc>
          <w:tcPr>
            <w:tcW w:w="850" w:type="dxa"/>
            <w:gridSpan w:val="4"/>
            <w:vMerge/>
            <w:tcBorders>
              <w:top w:val="single" w:sz="2" w:space="0" w:color="auto"/>
              <w:left w:val="single" w:sz="2" w:space="0" w:color="auto"/>
              <w:bottom w:val="nil"/>
              <w:right w:val="single" w:sz="2" w:space="0" w:color="auto"/>
            </w:tcBorders>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851" w:type="dxa"/>
            <w:gridSpan w:val="4"/>
            <w:vMerge/>
            <w:tcBorders>
              <w:top w:val="single" w:sz="2" w:space="0" w:color="auto"/>
              <w:left w:val="single" w:sz="2" w:space="0" w:color="auto"/>
              <w:bottom w:val="nil"/>
              <w:right w:val="single" w:sz="2" w:space="0" w:color="auto"/>
            </w:tcBorders>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1275" w:type="dxa"/>
            <w:gridSpan w:val="2"/>
            <w:vMerge/>
            <w:tcBorders>
              <w:top w:val="single" w:sz="2" w:space="0" w:color="auto"/>
              <w:left w:val="single" w:sz="2" w:space="0" w:color="auto"/>
              <w:bottom w:val="nil"/>
              <w:right w:val="single" w:sz="2" w:space="0" w:color="auto"/>
            </w:tcBorders>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993" w:type="dxa"/>
            <w:vMerge/>
            <w:tcBorders>
              <w:top w:val="single" w:sz="2" w:space="0" w:color="auto"/>
              <w:left w:val="single" w:sz="2" w:space="0" w:color="auto"/>
              <w:bottom w:val="nil"/>
              <w:right w:val="single" w:sz="2" w:space="0" w:color="auto"/>
            </w:tcBorders>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850" w:type="dxa"/>
            <w:gridSpan w:val="2"/>
            <w:vMerge/>
            <w:tcBorders>
              <w:top w:val="single" w:sz="2" w:space="0" w:color="auto"/>
              <w:left w:val="single" w:sz="2" w:space="0" w:color="auto"/>
              <w:bottom w:val="nil"/>
              <w:right w:val="single" w:sz="2" w:space="0" w:color="auto"/>
            </w:tcBorders>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992" w:type="dxa"/>
            <w:gridSpan w:val="2"/>
            <w:vMerge/>
            <w:tcBorders>
              <w:top w:val="single" w:sz="2" w:space="0" w:color="auto"/>
              <w:left w:val="single" w:sz="2" w:space="0" w:color="auto"/>
              <w:bottom w:val="nil"/>
              <w:right w:val="single" w:sz="2" w:space="0" w:color="auto"/>
            </w:tcBorders>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709" w:type="dxa"/>
            <w:gridSpan w:val="2"/>
            <w:tcBorders>
              <w:top w:val="single" w:sz="4" w:space="0" w:color="000000"/>
              <w:left w:val="single" w:sz="2" w:space="0" w:color="auto"/>
              <w:bottom w:val="nil"/>
              <w:right w:val="single" w:sz="2" w:space="0" w:color="auto"/>
            </w:tcBorders>
            <w:vAlign w:val="center"/>
          </w:tcPr>
          <w:p w:rsidR="00F15EF3" w:rsidRPr="009263D7" w:rsidRDefault="00CB4B9E" w:rsidP="008E2D8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709" w:type="dxa"/>
            <w:tcBorders>
              <w:top w:val="single" w:sz="4" w:space="0" w:color="000000"/>
              <w:left w:val="single" w:sz="2" w:space="0" w:color="auto"/>
              <w:bottom w:val="nil"/>
              <w:right w:val="single" w:sz="2" w:space="0" w:color="auto"/>
            </w:tcBorders>
            <w:vAlign w:val="center"/>
          </w:tcPr>
          <w:p w:rsidR="00F15EF3" w:rsidRPr="009263D7" w:rsidRDefault="00CB4B9E" w:rsidP="0070760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上月末市值</w:t>
            </w:r>
          </w:p>
        </w:tc>
        <w:tc>
          <w:tcPr>
            <w:tcW w:w="996" w:type="dxa"/>
            <w:tcBorders>
              <w:top w:val="single" w:sz="4" w:space="0" w:color="000000"/>
              <w:left w:val="single" w:sz="2" w:space="0" w:color="auto"/>
              <w:bottom w:val="nil"/>
            </w:tcBorders>
            <w:vAlign w:val="center"/>
          </w:tcPr>
          <w:p w:rsidR="00F15EF3" w:rsidRPr="009263D7" w:rsidRDefault="00CB4B9E" w:rsidP="00F15EF3">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本月发行金额</w:t>
            </w:r>
          </w:p>
          <w:p w:rsidR="00F15EF3" w:rsidRPr="009263D7" w:rsidRDefault="00F15EF3" w:rsidP="00F15EF3">
            <w:pPr>
              <w:keepNext/>
              <w:spacing w:line="320" w:lineRule="exact"/>
              <w:ind w:rightChars="818" w:right="1718"/>
              <w:jc w:val="center"/>
              <w:outlineLvl w:val="0"/>
              <w:rPr>
                <w:rFonts w:ascii="宋体" w:hAnsi="宋体" w:cs="宋体"/>
                <w:color w:val="000000" w:themeColor="text1"/>
                <w:kern w:val="0"/>
                <w:sz w:val="18"/>
                <w:szCs w:val="18"/>
              </w:rPr>
            </w:pPr>
          </w:p>
        </w:tc>
        <w:tc>
          <w:tcPr>
            <w:tcW w:w="250" w:type="dxa"/>
            <w:gridSpan w:val="2"/>
            <w:vMerge/>
            <w:tcBorders>
              <w:left w:val="nil"/>
              <w:bottom w:val="nil"/>
            </w:tcBorders>
            <w:vAlign w:val="center"/>
          </w:tcPr>
          <w:p w:rsidR="00F15EF3" w:rsidRPr="009263D7" w:rsidRDefault="00F15EF3" w:rsidP="00F15EF3">
            <w:pPr>
              <w:keepNext/>
              <w:spacing w:line="320" w:lineRule="exact"/>
              <w:ind w:rightChars="818" w:right="1718"/>
              <w:jc w:val="center"/>
              <w:outlineLvl w:val="0"/>
              <w:rPr>
                <w:rFonts w:ascii="宋体" w:hAnsi="宋体" w:cs="宋体"/>
                <w:color w:val="000000" w:themeColor="text1"/>
                <w:kern w:val="0"/>
                <w:sz w:val="18"/>
                <w:szCs w:val="18"/>
              </w:rPr>
            </w:pPr>
          </w:p>
        </w:tc>
      </w:tr>
      <w:tr w:rsidR="00326DF2" w:rsidRPr="009263D7" w:rsidTr="00124CBF">
        <w:trPr>
          <w:trHeight w:val="312"/>
        </w:trPr>
        <w:tc>
          <w:tcPr>
            <w:tcW w:w="858" w:type="dxa"/>
            <w:gridSpan w:val="3"/>
            <w:tcBorders>
              <w:left w:val="nil"/>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B0401</w:t>
            </w:r>
          </w:p>
        </w:tc>
        <w:tc>
          <w:tcPr>
            <w:tcW w:w="709" w:type="dxa"/>
            <w:gridSpan w:val="3"/>
            <w:tcBorders>
              <w:left w:val="single" w:sz="2" w:space="0" w:color="auto"/>
              <w:bottom w:val="single" w:sz="2" w:space="0" w:color="auto"/>
              <w:right w:val="single" w:sz="2" w:space="0" w:color="auto"/>
            </w:tcBorders>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B0401CODE</w:t>
            </w:r>
          </w:p>
        </w:tc>
        <w:tc>
          <w:tcPr>
            <w:tcW w:w="850" w:type="dxa"/>
            <w:gridSpan w:val="4"/>
            <w:tcBorders>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B0402</w:t>
            </w:r>
          </w:p>
        </w:tc>
        <w:tc>
          <w:tcPr>
            <w:tcW w:w="851" w:type="dxa"/>
            <w:gridSpan w:val="4"/>
            <w:tcBorders>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B0403</w:t>
            </w:r>
          </w:p>
        </w:tc>
        <w:tc>
          <w:tcPr>
            <w:tcW w:w="1275" w:type="dxa"/>
            <w:gridSpan w:val="2"/>
            <w:tcBorders>
              <w:left w:val="single" w:sz="2" w:space="0" w:color="auto"/>
              <w:bottom w:val="single" w:sz="2" w:space="0" w:color="auto"/>
              <w:right w:val="single" w:sz="2" w:space="0" w:color="auto"/>
            </w:tcBorders>
            <w:shd w:val="clear" w:color="auto" w:fill="auto"/>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B0404</w:t>
            </w:r>
          </w:p>
        </w:tc>
        <w:tc>
          <w:tcPr>
            <w:tcW w:w="993" w:type="dxa"/>
            <w:tcBorders>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B0405</w:t>
            </w:r>
          </w:p>
        </w:tc>
        <w:tc>
          <w:tcPr>
            <w:tcW w:w="850" w:type="dxa"/>
            <w:gridSpan w:val="2"/>
            <w:tcBorders>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B0406</w:t>
            </w:r>
          </w:p>
        </w:tc>
        <w:tc>
          <w:tcPr>
            <w:tcW w:w="992" w:type="dxa"/>
            <w:gridSpan w:val="2"/>
            <w:tcBorders>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B0407</w:t>
            </w:r>
          </w:p>
        </w:tc>
        <w:tc>
          <w:tcPr>
            <w:tcW w:w="709" w:type="dxa"/>
            <w:gridSpan w:val="2"/>
            <w:tcBorders>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B0408</w:t>
            </w:r>
          </w:p>
        </w:tc>
        <w:tc>
          <w:tcPr>
            <w:tcW w:w="709" w:type="dxa"/>
            <w:tcBorders>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B0409</w:t>
            </w:r>
          </w:p>
        </w:tc>
        <w:tc>
          <w:tcPr>
            <w:tcW w:w="996" w:type="dxa"/>
            <w:tcBorders>
              <w:left w:val="single" w:sz="2" w:space="0" w:color="auto"/>
              <w:bottom w:val="single" w:sz="2" w:space="0" w:color="auto"/>
            </w:tcBorders>
            <w:shd w:val="clear" w:color="auto" w:fill="auto"/>
            <w:noWrap/>
            <w:vAlign w:val="center"/>
          </w:tcPr>
          <w:p w:rsidR="008F1B1B" w:rsidRPr="009263D7" w:rsidRDefault="00CB4B9E">
            <w:pPr>
              <w:widowControl/>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B0410</w:t>
            </w:r>
          </w:p>
        </w:tc>
        <w:tc>
          <w:tcPr>
            <w:tcW w:w="250" w:type="dxa"/>
            <w:gridSpan w:val="2"/>
            <w:vMerge w:val="restart"/>
            <w:tcBorders>
              <w:left w:val="nil"/>
            </w:tcBorders>
            <w:shd w:val="clear" w:color="auto" w:fill="auto"/>
            <w:vAlign w:val="center"/>
          </w:tcPr>
          <w:p w:rsidR="00F15EF3" w:rsidRPr="009263D7" w:rsidRDefault="00F15EF3" w:rsidP="00F15EF3">
            <w:pPr>
              <w:keepNext/>
              <w:keepLines/>
              <w:widowControl/>
              <w:tabs>
                <w:tab w:val="num" w:pos="1440"/>
              </w:tabs>
              <w:spacing w:before="260" w:after="260" w:line="415" w:lineRule="auto"/>
              <w:ind w:left="1080" w:hanging="720"/>
              <w:outlineLvl w:val="2"/>
              <w:rPr>
                <w:rFonts w:ascii="宋体" w:hAnsi="宋体" w:cs="宋体"/>
                <w:color w:val="000000" w:themeColor="text1"/>
                <w:kern w:val="0"/>
                <w:sz w:val="18"/>
                <w:szCs w:val="18"/>
              </w:rPr>
            </w:pPr>
          </w:p>
        </w:tc>
      </w:tr>
      <w:tr w:rsidR="00326DF2" w:rsidRPr="009263D7" w:rsidTr="00124CBF">
        <w:trPr>
          <w:trHeight w:val="312"/>
        </w:trPr>
        <w:tc>
          <w:tcPr>
            <w:tcW w:w="858" w:type="dxa"/>
            <w:gridSpan w:val="3"/>
            <w:tcBorders>
              <w:top w:val="single" w:sz="2" w:space="0" w:color="auto"/>
              <w:left w:val="nil"/>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850" w:type="dxa"/>
            <w:gridSpan w:val="4"/>
            <w:tcBorders>
              <w:top w:val="single" w:sz="2" w:space="0" w:color="auto"/>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851" w:type="dxa"/>
            <w:gridSpan w:val="4"/>
            <w:tcBorders>
              <w:top w:val="single" w:sz="2" w:space="0" w:color="auto"/>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15EF3" w:rsidRPr="009263D7" w:rsidRDefault="00CB4B9E" w:rsidP="008E2D8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993" w:type="dxa"/>
            <w:tcBorders>
              <w:top w:val="single" w:sz="2" w:space="0" w:color="auto"/>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85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壬</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F15EF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996" w:type="dxa"/>
            <w:tcBorders>
              <w:top w:val="single" w:sz="2" w:space="0" w:color="auto"/>
              <w:left w:val="single" w:sz="2" w:space="0" w:color="auto"/>
              <w:bottom w:val="single" w:sz="2" w:space="0" w:color="auto"/>
            </w:tcBorders>
            <w:shd w:val="clear" w:color="auto" w:fill="auto"/>
            <w:noWrap/>
            <w:vAlign w:val="center"/>
          </w:tcPr>
          <w:p w:rsidR="00000000" w:rsidRDefault="00CB4B9E">
            <w:pPr>
              <w:widowControl/>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2</w:t>
            </w:r>
          </w:p>
        </w:tc>
        <w:tc>
          <w:tcPr>
            <w:tcW w:w="250" w:type="dxa"/>
            <w:gridSpan w:val="2"/>
            <w:vMerge/>
            <w:tcBorders>
              <w:left w:val="nil"/>
            </w:tcBorders>
            <w:shd w:val="clear" w:color="auto" w:fill="auto"/>
            <w:vAlign w:val="center"/>
          </w:tcPr>
          <w:p w:rsidR="00F15EF3" w:rsidRPr="009263D7" w:rsidRDefault="00F15EF3" w:rsidP="00F15EF3">
            <w:pPr>
              <w:keepNext/>
              <w:keepLines/>
              <w:widowControl/>
              <w:tabs>
                <w:tab w:val="num" w:pos="1440"/>
              </w:tabs>
              <w:spacing w:before="260" w:after="260" w:line="415" w:lineRule="auto"/>
              <w:ind w:left="1080" w:hanging="720"/>
              <w:outlineLvl w:val="2"/>
              <w:rPr>
                <w:rFonts w:ascii="宋体" w:hAnsi="宋体" w:cs="宋体"/>
                <w:color w:val="000000" w:themeColor="text1"/>
                <w:kern w:val="0"/>
                <w:sz w:val="18"/>
                <w:szCs w:val="18"/>
              </w:rPr>
            </w:pPr>
          </w:p>
        </w:tc>
      </w:tr>
      <w:tr w:rsidR="00F15EF3" w:rsidRPr="009263D7" w:rsidTr="00124CBF">
        <w:trPr>
          <w:gridAfter w:val="3"/>
          <w:wAfter w:w="1246" w:type="dxa"/>
          <w:trHeight w:val="312"/>
        </w:trPr>
        <w:tc>
          <w:tcPr>
            <w:tcW w:w="858" w:type="dxa"/>
            <w:gridSpan w:val="3"/>
            <w:tcBorders>
              <w:top w:val="single" w:sz="2" w:space="0" w:color="auto"/>
              <w:left w:val="nil"/>
              <w:bottom w:val="nil"/>
              <w:right w:val="nil"/>
            </w:tcBorders>
            <w:shd w:val="clear" w:color="auto" w:fill="auto"/>
            <w:noWrap/>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709" w:type="dxa"/>
            <w:gridSpan w:val="3"/>
            <w:tcBorders>
              <w:top w:val="single" w:sz="2" w:space="0" w:color="auto"/>
              <w:left w:val="nil"/>
              <w:bottom w:val="nil"/>
              <w:right w:val="nil"/>
            </w:tcBorders>
          </w:tcPr>
          <w:p w:rsidR="00F15EF3" w:rsidRPr="009263D7" w:rsidRDefault="00F15EF3" w:rsidP="008E2D8C">
            <w:pPr>
              <w:widowControl/>
              <w:jc w:val="left"/>
              <w:rPr>
                <w:rFonts w:ascii="宋体" w:hAnsi="宋体" w:cs="宋体"/>
                <w:color w:val="000000" w:themeColor="text1"/>
                <w:kern w:val="0"/>
                <w:sz w:val="18"/>
                <w:szCs w:val="18"/>
              </w:rPr>
            </w:pPr>
          </w:p>
        </w:tc>
        <w:tc>
          <w:tcPr>
            <w:tcW w:w="850" w:type="dxa"/>
            <w:gridSpan w:val="4"/>
            <w:tcBorders>
              <w:top w:val="single" w:sz="2" w:space="0" w:color="auto"/>
              <w:left w:val="nil"/>
              <w:bottom w:val="nil"/>
              <w:right w:val="nil"/>
            </w:tcBorders>
            <w:shd w:val="clear" w:color="auto" w:fill="auto"/>
            <w:noWrap/>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2126" w:type="dxa"/>
            <w:gridSpan w:val="6"/>
            <w:tcBorders>
              <w:top w:val="single" w:sz="2" w:space="0" w:color="auto"/>
              <w:left w:val="nil"/>
              <w:bottom w:val="nil"/>
              <w:right w:val="nil"/>
            </w:tcBorders>
            <w:shd w:val="clear" w:color="auto" w:fill="auto"/>
            <w:noWrap/>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993" w:type="dxa"/>
            <w:tcBorders>
              <w:top w:val="single" w:sz="2" w:space="0" w:color="auto"/>
              <w:left w:val="nil"/>
              <w:bottom w:val="nil"/>
              <w:right w:val="nil"/>
            </w:tcBorders>
            <w:shd w:val="clear" w:color="auto" w:fill="auto"/>
            <w:noWrap/>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850" w:type="dxa"/>
            <w:gridSpan w:val="2"/>
            <w:tcBorders>
              <w:top w:val="single" w:sz="2" w:space="0" w:color="auto"/>
              <w:left w:val="nil"/>
              <w:bottom w:val="nil"/>
              <w:right w:val="nil"/>
            </w:tcBorders>
            <w:shd w:val="clear" w:color="auto" w:fill="auto"/>
            <w:noWrap/>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992" w:type="dxa"/>
            <w:gridSpan w:val="2"/>
            <w:tcBorders>
              <w:top w:val="single" w:sz="2" w:space="0" w:color="auto"/>
              <w:left w:val="nil"/>
              <w:bottom w:val="nil"/>
              <w:right w:val="nil"/>
            </w:tcBorders>
            <w:shd w:val="clear" w:color="auto" w:fill="auto"/>
            <w:noWrap/>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709" w:type="dxa"/>
            <w:gridSpan w:val="2"/>
            <w:tcBorders>
              <w:top w:val="single" w:sz="2" w:space="0" w:color="auto"/>
              <w:left w:val="nil"/>
              <w:bottom w:val="nil"/>
              <w:right w:val="nil"/>
            </w:tcBorders>
            <w:shd w:val="clear" w:color="auto" w:fill="auto"/>
            <w:noWrap/>
            <w:vAlign w:val="center"/>
          </w:tcPr>
          <w:p w:rsidR="00F15EF3" w:rsidRPr="009263D7" w:rsidRDefault="00F15EF3" w:rsidP="008E2D8C">
            <w:pPr>
              <w:widowControl/>
              <w:jc w:val="left"/>
              <w:rPr>
                <w:rFonts w:ascii="宋体" w:hAnsi="宋体" w:cs="宋体"/>
                <w:color w:val="000000" w:themeColor="text1"/>
                <w:kern w:val="0"/>
                <w:sz w:val="18"/>
                <w:szCs w:val="18"/>
              </w:rPr>
            </w:pPr>
          </w:p>
        </w:tc>
        <w:tc>
          <w:tcPr>
            <w:tcW w:w="709" w:type="dxa"/>
            <w:tcBorders>
              <w:top w:val="single" w:sz="2" w:space="0" w:color="auto"/>
              <w:left w:val="nil"/>
              <w:bottom w:val="nil"/>
              <w:right w:val="nil"/>
            </w:tcBorders>
            <w:shd w:val="clear" w:color="auto" w:fill="auto"/>
            <w:noWrap/>
            <w:vAlign w:val="center"/>
          </w:tcPr>
          <w:p w:rsidR="00F15EF3" w:rsidRPr="009263D7" w:rsidRDefault="00F15EF3" w:rsidP="008E2D8C">
            <w:pPr>
              <w:widowControl/>
              <w:jc w:val="left"/>
              <w:rPr>
                <w:rFonts w:ascii="宋体" w:hAnsi="宋体" w:cs="宋体"/>
                <w:color w:val="000000" w:themeColor="text1"/>
                <w:kern w:val="0"/>
                <w:sz w:val="18"/>
                <w:szCs w:val="18"/>
              </w:rPr>
            </w:pPr>
          </w:p>
        </w:tc>
      </w:tr>
      <w:tr w:rsidR="00F15EF3" w:rsidRPr="009263D7" w:rsidTr="00124CBF">
        <w:trPr>
          <w:gridAfter w:val="2"/>
          <w:wAfter w:w="250" w:type="dxa"/>
          <w:trHeight w:val="312"/>
        </w:trPr>
        <w:tc>
          <w:tcPr>
            <w:tcW w:w="858" w:type="dxa"/>
            <w:gridSpan w:val="3"/>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709" w:type="dxa"/>
            <w:gridSpan w:val="3"/>
            <w:tcBorders>
              <w:top w:val="nil"/>
              <w:left w:val="nil"/>
              <w:bottom w:val="nil"/>
              <w:right w:val="nil"/>
            </w:tcBorders>
          </w:tcPr>
          <w:p w:rsidR="002C3755" w:rsidRPr="009263D7" w:rsidRDefault="002C3755" w:rsidP="008E2D8C">
            <w:pPr>
              <w:widowControl/>
              <w:jc w:val="left"/>
              <w:rPr>
                <w:rFonts w:ascii="宋体" w:hAnsi="宋体" w:cs="宋体"/>
                <w:color w:val="000000" w:themeColor="text1"/>
                <w:kern w:val="0"/>
                <w:sz w:val="18"/>
                <w:szCs w:val="18"/>
              </w:rPr>
            </w:pPr>
          </w:p>
        </w:tc>
        <w:tc>
          <w:tcPr>
            <w:tcW w:w="850" w:type="dxa"/>
            <w:gridSpan w:val="4"/>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2126" w:type="dxa"/>
            <w:gridSpan w:val="6"/>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993" w:type="dxa"/>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850" w:type="dxa"/>
            <w:gridSpan w:val="2"/>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992" w:type="dxa"/>
            <w:gridSpan w:val="2"/>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709" w:type="dxa"/>
            <w:gridSpan w:val="2"/>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709" w:type="dxa"/>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996" w:type="dxa"/>
            <w:tcBorders>
              <w:top w:val="nil"/>
              <w:left w:val="nil"/>
              <w:bottom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r>
      <w:tr w:rsidR="00D358B1" w:rsidRPr="009263D7" w:rsidTr="00124CBF">
        <w:trPr>
          <w:gridAfter w:val="2"/>
          <w:wAfter w:w="250" w:type="dxa"/>
          <w:trHeight w:val="221"/>
        </w:trPr>
        <w:tc>
          <w:tcPr>
            <w:tcW w:w="796" w:type="dxa"/>
            <w:gridSpan w:val="2"/>
            <w:tcBorders>
              <w:top w:val="single" w:sz="8" w:space="0" w:color="auto"/>
              <w:left w:val="nil"/>
              <w:bottom w:val="single" w:sz="8" w:space="0" w:color="000000" w:themeColor="text1"/>
              <w:right w:val="nil"/>
            </w:tcBorders>
          </w:tcPr>
          <w:p w:rsidR="00D358B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7291" w:type="dxa"/>
            <w:gridSpan w:val="21"/>
            <w:tcBorders>
              <w:top w:val="single" w:sz="8" w:space="0" w:color="auto"/>
              <w:left w:val="nil"/>
              <w:bottom w:val="single" w:sz="8" w:space="0" w:color="000000" w:themeColor="text1"/>
              <w:right w:val="nil"/>
            </w:tcBorders>
            <w:shd w:val="clear" w:color="auto" w:fill="auto"/>
            <w:vAlign w:val="center"/>
          </w:tcPr>
          <w:p w:rsidR="00D358B1" w:rsidRPr="009263D7" w:rsidRDefault="00D358B1" w:rsidP="008E2D8C">
            <w:pPr>
              <w:widowControl/>
              <w:jc w:val="center"/>
              <w:rPr>
                <w:rFonts w:ascii="宋体" w:hAnsi="宋体" w:cs="宋体"/>
                <w:color w:val="000000" w:themeColor="text1"/>
                <w:kern w:val="0"/>
                <w:sz w:val="18"/>
                <w:szCs w:val="18"/>
              </w:rPr>
            </w:pPr>
          </w:p>
        </w:tc>
        <w:tc>
          <w:tcPr>
            <w:tcW w:w="1705" w:type="dxa"/>
            <w:gridSpan w:val="2"/>
            <w:tcBorders>
              <w:top w:val="single" w:sz="8" w:space="0" w:color="auto"/>
              <w:left w:val="nil"/>
              <w:bottom w:val="single" w:sz="8" w:space="0" w:color="000000" w:themeColor="text1"/>
            </w:tcBorders>
            <w:shd w:val="clear" w:color="auto" w:fill="auto"/>
            <w:noWrap/>
            <w:vAlign w:val="center"/>
          </w:tcPr>
          <w:p w:rsidR="00D358B1" w:rsidRPr="009263D7" w:rsidRDefault="00CB4B9E" w:rsidP="00D358B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26DF2" w:rsidRPr="009263D7" w:rsidTr="00124CBF">
        <w:trPr>
          <w:gridAfter w:val="2"/>
          <w:wAfter w:w="250" w:type="dxa"/>
          <w:trHeight w:val="373"/>
        </w:trPr>
        <w:tc>
          <w:tcPr>
            <w:tcW w:w="796" w:type="dxa"/>
            <w:gridSpan w:val="2"/>
            <w:tcBorders>
              <w:top w:val="single" w:sz="8" w:space="0" w:color="000000" w:themeColor="text1"/>
              <w:left w:val="nil"/>
              <w:bottom w:val="single" w:sz="4" w:space="0" w:color="auto"/>
              <w:right w:val="nil"/>
            </w:tcBorders>
          </w:tcPr>
          <w:p w:rsidR="00326DF2" w:rsidRPr="009263D7" w:rsidRDefault="00326DF2" w:rsidP="008E2D8C">
            <w:pPr>
              <w:jc w:val="center"/>
              <w:rPr>
                <w:rFonts w:ascii="宋体" w:hAnsi="宋体" w:cs="宋体"/>
                <w:color w:val="000000" w:themeColor="text1"/>
                <w:kern w:val="0"/>
                <w:sz w:val="18"/>
                <w:szCs w:val="18"/>
              </w:rPr>
            </w:pPr>
          </w:p>
        </w:tc>
        <w:tc>
          <w:tcPr>
            <w:tcW w:w="7291" w:type="dxa"/>
            <w:gridSpan w:val="21"/>
            <w:tcBorders>
              <w:top w:val="single" w:sz="8" w:space="0" w:color="000000" w:themeColor="text1"/>
              <w:left w:val="nil"/>
              <w:bottom w:val="single" w:sz="4" w:space="0" w:color="auto"/>
              <w:right w:val="nil"/>
            </w:tcBorders>
            <w:shd w:val="clear" w:color="auto" w:fill="auto"/>
            <w:vAlign w:val="center"/>
          </w:tcPr>
          <w:p w:rsidR="00326DF2" w:rsidRPr="009263D7" w:rsidRDefault="00CB4B9E" w:rsidP="008E2D8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按证券的原始币种</w:t>
            </w:r>
          </w:p>
        </w:tc>
        <w:tc>
          <w:tcPr>
            <w:tcW w:w="1705" w:type="dxa"/>
            <w:gridSpan w:val="2"/>
            <w:tcBorders>
              <w:top w:val="single" w:sz="8" w:space="0" w:color="000000" w:themeColor="text1"/>
              <w:left w:val="nil"/>
              <w:bottom w:val="single" w:sz="4" w:space="0" w:color="auto"/>
            </w:tcBorders>
            <w:shd w:val="clear" w:color="auto" w:fill="auto"/>
            <w:noWrap/>
            <w:vAlign w:val="center"/>
          </w:tcPr>
          <w:p w:rsidR="00326DF2" w:rsidRPr="009263D7" w:rsidRDefault="00326DF2" w:rsidP="00D358B1">
            <w:pPr>
              <w:keepNext/>
              <w:spacing w:line="320" w:lineRule="exact"/>
              <w:jc w:val="left"/>
              <w:outlineLvl w:val="0"/>
              <w:rPr>
                <w:rFonts w:ascii="宋体" w:hAnsi="宋体" w:cs="宋体"/>
                <w:color w:val="000000" w:themeColor="text1"/>
                <w:kern w:val="0"/>
                <w:sz w:val="18"/>
                <w:szCs w:val="18"/>
              </w:rPr>
            </w:pPr>
          </w:p>
        </w:tc>
      </w:tr>
      <w:tr w:rsidR="00D358B1" w:rsidRPr="009263D7" w:rsidTr="00124CBF">
        <w:trPr>
          <w:gridAfter w:val="1"/>
          <w:wAfter w:w="14" w:type="dxa"/>
          <w:trHeight w:val="312"/>
        </w:trPr>
        <w:tc>
          <w:tcPr>
            <w:tcW w:w="719" w:type="dxa"/>
            <w:vMerge w:val="restart"/>
            <w:tcBorders>
              <w:top w:val="single" w:sz="4" w:space="0" w:color="auto"/>
              <w:left w:val="nil"/>
              <w:right w:val="single" w:sz="2" w:space="0" w:color="auto"/>
            </w:tcBorders>
            <w:shd w:val="clear" w:color="auto" w:fill="auto"/>
            <w:vAlign w:val="center"/>
          </w:tcPr>
          <w:p w:rsidR="00D358B1" w:rsidRPr="009263D7" w:rsidRDefault="00CB4B9E" w:rsidP="009924F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本月回购（赎回）金额</w:t>
            </w:r>
          </w:p>
        </w:tc>
        <w:tc>
          <w:tcPr>
            <w:tcW w:w="2407" w:type="dxa"/>
            <w:gridSpan w:val="12"/>
            <w:tcBorders>
              <w:top w:val="single" w:sz="4" w:space="0" w:color="auto"/>
              <w:left w:val="single" w:sz="2" w:space="0" w:color="auto"/>
              <w:right w:val="single" w:sz="2" w:space="0" w:color="auto"/>
            </w:tcBorders>
          </w:tcPr>
          <w:p w:rsidR="00D358B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1276" w:type="dxa"/>
            <w:gridSpan w:val="2"/>
            <w:vMerge w:val="restart"/>
            <w:tcBorders>
              <w:top w:val="single" w:sz="2" w:space="0" w:color="auto"/>
              <w:left w:val="single" w:sz="2" w:space="0" w:color="auto"/>
              <w:bottom w:val="nil"/>
              <w:right w:val="single" w:sz="2" w:space="0" w:color="auto"/>
            </w:tcBorders>
            <w:shd w:val="clear" w:color="auto" w:fill="auto"/>
            <w:vAlign w:val="center"/>
          </w:tcPr>
          <w:p w:rsidR="00D358B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本月末市值</w:t>
            </w:r>
          </w:p>
        </w:tc>
        <w:tc>
          <w:tcPr>
            <w:tcW w:w="1417" w:type="dxa"/>
            <w:gridSpan w:val="3"/>
            <w:vMerge w:val="restart"/>
            <w:tcBorders>
              <w:top w:val="single" w:sz="2" w:space="0" w:color="auto"/>
              <w:left w:val="single" w:sz="2" w:space="0" w:color="auto"/>
              <w:bottom w:val="nil"/>
              <w:right w:val="single" w:sz="2" w:space="0" w:color="auto"/>
            </w:tcBorders>
            <w:shd w:val="clear" w:color="auto" w:fill="auto"/>
            <w:vAlign w:val="center"/>
          </w:tcPr>
          <w:p w:rsidR="00D358B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本月宣告分配投资者的股息</w:t>
            </w:r>
            <w:r w:rsidRPr="00CB4B9E">
              <w:rPr>
                <w:rFonts w:ascii="宋体" w:hAnsi="宋体" w:cs="宋体"/>
                <w:color w:val="000000" w:themeColor="text1"/>
                <w:kern w:val="0"/>
                <w:sz w:val="18"/>
                <w:szCs w:val="18"/>
              </w:rPr>
              <w:t>/红利</w:t>
            </w:r>
          </w:p>
        </w:tc>
        <w:tc>
          <w:tcPr>
            <w:tcW w:w="1134" w:type="dxa"/>
            <w:gridSpan w:val="2"/>
            <w:vMerge w:val="restart"/>
            <w:tcBorders>
              <w:top w:val="single" w:sz="2" w:space="0" w:color="auto"/>
              <w:left w:val="single" w:sz="2" w:space="0" w:color="auto"/>
              <w:bottom w:val="nil"/>
              <w:right w:val="single" w:sz="2" w:space="0" w:color="auto"/>
            </w:tcBorders>
            <w:shd w:val="clear" w:color="auto" w:fill="auto"/>
            <w:vAlign w:val="center"/>
          </w:tcPr>
          <w:p w:rsidR="00D358B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本月末未实现收益（仅限发行产品为货币市场投资基金份额</w:t>
            </w:r>
            <w:r w:rsidRPr="00CB4B9E">
              <w:rPr>
                <w:rFonts w:ascii="宋体" w:hAnsi="宋体" w:cs="宋体"/>
                <w:color w:val="000000" w:themeColor="text1"/>
                <w:kern w:val="0"/>
                <w:sz w:val="18"/>
                <w:szCs w:val="18"/>
              </w:rPr>
              <w:t>/单位）</w:t>
            </w:r>
          </w:p>
        </w:tc>
        <w:tc>
          <w:tcPr>
            <w:tcW w:w="992" w:type="dxa"/>
            <w:gridSpan w:val="2"/>
            <w:vMerge w:val="restart"/>
            <w:tcBorders>
              <w:top w:val="single" w:sz="2" w:space="0" w:color="auto"/>
              <w:left w:val="single" w:sz="2" w:space="0" w:color="auto"/>
              <w:bottom w:val="nil"/>
              <w:right w:val="single" w:sz="2" w:space="0" w:color="auto"/>
            </w:tcBorders>
            <w:shd w:val="clear" w:color="auto" w:fill="auto"/>
            <w:vAlign w:val="center"/>
          </w:tcPr>
          <w:p w:rsidR="00D358B1"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本月末投资者持股（份额）数量</w:t>
            </w:r>
          </w:p>
        </w:tc>
        <w:tc>
          <w:tcPr>
            <w:tcW w:w="851" w:type="dxa"/>
            <w:gridSpan w:val="2"/>
            <w:vMerge w:val="restart"/>
            <w:tcBorders>
              <w:top w:val="single" w:sz="2" w:space="0" w:color="auto"/>
              <w:left w:val="single" w:sz="2" w:space="0" w:color="auto"/>
              <w:bottom w:val="nil"/>
              <w:right w:val="single" w:sz="4" w:space="0" w:color="auto"/>
            </w:tcBorders>
            <w:shd w:val="clear" w:color="auto" w:fill="auto"/>
            <w:vAlign w:val="center"/>
          </w:tcPr>
          <w:p w:rsidR="00000000" w:rsidRDefault="00CB4B9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本月末每股（每份）市价</w:t>
            </w:r>
          </w:p>
        </w:tc>
        <w:tc>
          <w:tcPr>
            <w:tcW w:w="996" w:type="dxa"/>
            <w:vMerge w:val="restart"/>
            <w:tcBorders>
              <w:left w:val="single" w:sz="4" w:space="0" w:color="auto"/>
              <w:right w:val="single" w:sz="4" w:space="0" w:color="FFFFFF" w:themeColor="background1"/>
            </w:tcBorders>
            <w:shd w:val="clear" w:color="auto" w:fill="auto"/>
            <w:vAlign w:val="center"/>
          </w:tcPr>
          <w:p w:rsidR="00D358B1" w:rsidRPr="009263D7" w:rsidRDefault="00CB4B9E" w:rsidP="008E2D8C">
            <w:pPr>
              <w:widowControl/>
              <w:jc w:val="center"/>
              <w:rPr>
                <w:rFonts w:ascii="宋体" w:hAnsi="宋体" w:cs="宋体"/>
                <w:color w:val="000000" w:themeColor="text1"/>
                <w:kern w:val="0"/>
                <w:sz w:val="18"/>
                <w:szCs w:val="18"/>
              </w:rPr>
            </w:pPr>
            <w:r w:rsidRPr="00CB4B9E">
              <w:rPr>
                <w:color w:val="000000" w:themeColor="text1"/>
                <w:kern w:val="0"/>
                <w:sz w:val="16"/>
                <w:szCs w:val="16"/>
              </w:rPr>
              <w:t> </w:t>
            </w:r>
            <w:r w:rsidRPr="00CB4B9E">
              <w:rPr>
                <w:rFonts w:ascii="宋体" w:hAnsi="宋体" w:cs="宋体" w:hint="eastAsia"/>
                <w:color w:val="000000" w:themeColor="text1"/>
                <w:kern w:val="0"/>
                <w:sz w:val="18"/>
                <w:szCs w:val="18"/>
              </w:rPr>
              <w:t>本月末投资者持股（份额）比例</w:t>
            </w:r>
          </w:p>
          <w:p w:rsidR="00D358B1" w:rsidRPr="009263D7" w:rsidRDefault="00D358B1" w:rsidP="008E2D8C">
            <w:pPr>
              <w:keepNext/>
              <w:widowControl/>
              <w:spacing w:line="320" w:lineRule="exact"/>
              <w:jc w:val="center"/>
              <w:outlineLvl w:val="0"/>
              <w:rPr>
                <w:rFonts w:ascii="宋体" w:hAnsi="宋体" w:cs="宋体"/>
                <w:color w:val="000000" w:themeColor="text1"/>
                <w:kern w:val="0"/>
                <w:sz w:val="18"/>
                <w:szCs w:val="18"/>
              </w:rPr>
            </w:pPr>
          </w:p>
        </w:tc>
        <w:tc>
          <w:tcPr>
            <w:tcW w:w="236" w:type="dxa"/>
            <w:vMerge w:val="restart"/>
            <w:tcBorders>
              <w:left w:val="single" w:sz="4" w:space="0" w:color="FFFFFF" w:themeColor="background1"/>
            </w:tcBorders>
            <w:shd w:val="clear" w:color="auto" w:fill="auto"/>
            <w:vAlign w:val="center"/>
          </w:tcPr>
          <w:p w:rsidR="00D358B1" w:rsidRPr="009263D7" w:rsidRDefault="00D358B1" w:rsidP="008E2D8C">
            <w:pPr>
              <w:keepNext/>
              <w:widowControl/>
              <w:spacing w:line="320" w:lineRule="exact"/>
              <w:jc w:val="center"/>
              <w:outlineLvl w:val="0"/>
              <w:rPr>
                <w:rFonts w:ascii="宋体" w:hAnsi="宋体" w:cs="宋体"/>
                <w:color w:val="000000" w:themeColor="text1"/>
                <w:kern w:val="0"/>
                <w:sz w:val="18"/>
                <w:szCs w:val="18"/>
              </w:rPr>
            </w:pPr>
          </w:p>
        </w:tc>
      </w:tr>
      <w:tr w:rsidR="00D358B1" w:rsidRPr="009263D7" w:rsidTr="00124CBF">
        <w:trPr>
          <w:gridAfter w:val="1"/>
          <w:wAfter w:w="14" w:type="dxa"/>
          <w:trHeight w:val="312"/>
        </w:trPr>
        <w:tc>
          <w:tcPr>
            <w:tcW w:w="719" w:type="dxa"/>
            <w:vMerge/>
            <w:tcBorders>
              <w:left w:val="nil"/>
              <w:bottom w:val="nil"/>
              <w:right w:val="single" w:sz="2" w:space="0" w:color="auto"/>
            </w:tcBorders>
            <w:vAlign w:val="center"/>
          </w:tcPr>
          <w:p w:rsidR="00D358B1" w:rsidRPr="009263D7" w:rsidRDefault="00D358B1" w:rsidP="008E2D8C">
            <w:pPr>
              <w:widowControl/>
              <w:jc w:val="left"/>
              <w:rPr>
                <w:rFonts w:ascii="宋体" w:hAnsi="宋体" w:cs="宋体"/>
                <w:color w:val="000000" w:themeColor="text1"/>
                <w:kern w:val="0"/>
                <w:sz w:val="18"/>
                <w:szCs w:val="18"/>
              </w:rPr>
            </w:pPr>
          </w:p>
        </w:tc>
        <w:tc>
          <w:tcPr>
            <w:tcW w:w="708" w:type="dxa"/>
            <w:gridSpan w:val="4"/>
            <w:tcBorders>
              <w:left w:val="single" w:sz="2" w:space="0" w:color="auto"/>
              <w:bottom w:val="nil"/>
              <w:right w:val="single" w:sz="2" w:space="0" w:color="auto"/>
            </w:tcBorders>
          </w:tcPr>
          <w:p w:rsidR="00D358B1" w:rsidRPr="009263D7" w:rsidRDefault="00D358B1" w:rsidP="008E2D8C">
            <w:pPr>
              <w:widowControl/>
              <w:jc w:val="center"/>
              <w:rPr>
                <w:rFonts w:ascii="宋体" w:hAnsi="宋体" w:cs="宋体"/>
                <w:color w:val="000000" w:themeColor="text1"/>
                <w:kern w:val="0"/>
                <w:sz w:val="18"/>
                <w:szCs w:val="18"/>
              </w:rPr>
            </w:pPr>
          </w:p>
        </w:tc>
        <w:tc>
          <w:tcPr>
            <w:tcW w:w="848" w:type="dxa"/>
            <w:gridSpan w:val="3"/>
            <w:tcBorders>
              <w:top w:val="single" w:sz="4" w:space="0" w:color="auto"/>
              <w:left w:val="single" w:sz="2" w:space="0" w:color="auto"/>
              <w:bottom w:val="nil"/>
              <w:right w:val="single" w:sz="2" w:space="0" w:color="auto"/>
            </w:tcBorders>
            <w:shd w:val="clear" w:color="auto" w:fill="auto"/>
            <w:noWrap/>
            <w:vAlign w:val="center"/>
          </w:tcPr>
          <w:p w:rsidR="00D358B1" w:rsidRPr="009263D7" w:rsidRDefault="00CB4B9E" w:rsidP="0034322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调整及重新分类至其他报表统计的金额</w:t>
            </w:r>
          </w:p>
        </w:tc>
        <w:tc>
          <w:tcPr>
            <w:tcW w:w="851" w:type="dxa"/>
            <w:gridSpan w:val="5"/>
            <w:tcBorders>
              <w:top w:val="single" w:sz="4" w:space="0" w:color="auto"/>
              <w:left w:val="single" w:sz="2" w:space="0" w:color="auto"/>
              <w:bottom w:val="nil"/>
              <w:right w:val="single" w:sz="2" w:space="0" w:color="auto"/>
            </w:tcBorders>
            <w:shd w:val="clear" w:color="auto" w:fill="auto"/>
            <w:noWrap/>
            <w:vAlign w:val="center"/>
          </w:tcPr>
          <w:p w:rsidR="00D358B1" w:rsidRPr="009263D7" w:rsidRDefault="00CB4B9E" w:rsidP="00F2779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价值重估因素</w:t>
            </w:r>
          </w:p>
        </w:tc>
        <w:tc>
          <w:tcPr>
            <w:tcW w:w="1276" w:type="dxa"/>
            <w:gridSpan w:val="2"/>
            <w:vMerge/>
            <w:tcBorders>
              <w:top w:val="single" w:sz="4" w:space="0" w:color="auto"/>
              <w:left w:val="single" w:sz="2" w:space="0" w:color="auto"/>
              <w:bottom w:val="nil"/>
              <w:right w:val="single" w:sz="2" w:space="0" w:color="auto"/>
            </w:tcBorders>
            <w:vAlign w:val="center"/>
          </w:tcPr>
          <w:p w:rsidR="00D358B1" w:rsidRPr="009263D7" w:rsidRDefault="00D358B1" w:rsidP="008E2D8C">
            <w:pPr>
              <w:keepNext/>
              <w:widowControl/>
              <w:spacing w:line="320" w:lineRule="exact"/>
              <w:jc w:val="left"/>
              <w:outlineLvl w:val="0"/>
              <w:rPr>
                <w:rFonts w:ascii="宋体" w:hAnsi="宋体" w:cs="宋体"/>
                <w:color w:val="000000" w:themeColor="text1"/>
                <w:kern w:val="0"/>
                <w:sz w:val="18"/>
                <w:szCs w:val="18"/>
              </w:rPr>
            </w:pPr>
          </w:p>
        </w:tc>
        <w:tc>
          <w:tcPr>
            <w:tcW w:w="1417" w:type="dxa"/>
            <w:gridSpan w:val="3"/>
            <w:vMerge/>
            <w:tcBorders>
              <w:top w:val="single" w:sz="4" w:space="0" w:color="auto"/>
              <w:left w:val="single" w:sz="2" w:space="0" w:color="auto"/>
              <w:bottom w:val="nil"/>
              <w:right w:val="single" w:sz="2" w:space="0" w:color="auto"/>
            </w:tcBorders>
            <w:vAlign w:val="center"/>
          </w:tcPr>
          <w:p w:rsidR="00D358B1" w:rsidRPr="009263D7" w:rsidRDefault="00D358B1" w:rsidP="008E2D8C">
            <w:pPr>
              <w:keepNext/>
              <w:widowControl/>
              <w:spacing w:line="320" w:lineRule="exact"/>
              <w:jc w:val="left"/>
              <w:outlineLvl w:val="0"/>
              <w:rPr>
                <w:rFonts w:ascii="宋体" w:hAnsi="宋体" w:cs="宋体"/>
                <w:color w:val="000000" w:themeColor="text1"/>
                <w:kern w:val="0"/>
                <w:sz w:val="18"/>
                <w:szCs w:val="18"/>
              </w:rPr>
            </w:pPr>
          </w:p>
        </w:tc>
        <w:tc>
          <w:tcPr>
            <w:tcW w:w="1134" w:type="dxa"/>
            <w:gridSpan w:val="2"/>
            <w:vMerge/>
            <w:tcBorders>
              <w:top w:val="single" w:sz="4" w:space="0" w:color="auto"/>
              <w:left w:val="single" w:sz="2" w:space="0" w:color="auto"/>
              <w:bottom w:val="nil"/>
              <w:right w:val="single" w:sz="2" w:space="0" w:color="auto"/>
            </w:tcBorders>
            <w:vAlign w:val="center"/>
          </w:tcPr>
          <w:p w:rsidR="00D358B1" w:rsidRPr="009263D7" w:rsidRDefault="00D358B1" w:rsidP="008E2D8C">
            <w:pPr>
              <w:keepNext/>
              <w:widowControl/>
              <w:spacing w:line="320" w:lineRule="exact"/>
              <w:jc w:val="left"/>
              <w:outlineLvl w:val="0"/>
              <w:rPr>
                <w:rFonts w:ascii="宋体" w:hAnsi="宋体" w:cs="宋体"/>
                <w:color w:val="000000" w:themeColor="text1"/>
                <w:kern w:val="0"/>
                <w:sz w:val="18"/>
                <w:szCs w:val="18"/>
              </w:rPr>
            </w:pPr>
          </w:p>
        </w:tc>
        <w:tc>
          <w:tcPr>
            <w:tcW w:w="992" w:type="dxa"/>
            <w:gridSpan w:val="2"/>
            <w:vMerge/>
            <w:tcBorders>
              <w:top w:val="single" w:sz="4" w:space="0" w:color="auto"/>
              <w:left w:val="single" w:sz="2" w:space="0" w:color="auto"/>
              <w:bottom w:val="nil"/>
              <w:right w:val="single" w:sz="2" w:space="0" w:color="auto"/>
            </w:tcBorders>
            <w:vAlign w:val="center"/>
          </w:tcPr>
          <w:p w:rsidR="00D358B1" w:rsidRPr="009263D7" w:rsidRDefault="00D358B1" w:rsidP="008E2D8C">
            <w:pPr>
              <w:keepNext/>
              <w:widowControl/>
              <w:spacing w:line="320" w:lineRule="exact"/>
              <w:jc w:val="left"/>
              <w:outlineLvl w:val="0"/>
              <w:rPr>
                <w:rFonts w:ascii="宋体" w:hAnsi="宋体" w:cs="宋体"/>
                <w:color w:val="000000" w:themeColor="text1"/>
                <w:kern w:val="0"/>
                <w:sz w:val="18"/>
                <w:szCs w:val="18"/>
              </w:rPr>
            </w:pPr>
          </w:p>
        </w:tc>
        <w:tc>
          <w:tcPr>
            <w:tcW w:w="851" w:type="dxa"/>
            <w:gridSpan w:val="2"/>
            <w:vMerge/>
            <w:tcBorders>
              <w:top w:val="single" w:sz="4" w:space="0" w:color="auto"/>
              <w:left w:val="single" w:sz="2" w:space="0" w:color="auto"/>
              <w:bottom w:val="nil"/>
              <w:right w:val="single" w:sz="4" w:space="0" w:color="auto"/>
            </w:tcBorders>
            <w:vAlign w:val="center"/>
          </w:tcPr>
          <w:p w:rsidR="00D358B1" w:rsidRPr="009263D7" w:rsidRDefault="00D358B1" w:rsidP="008E2D8C">
            <w:pPr>
              <w:keepNext/>
              <w:widowControl/>
              <w:spacing w:line="320" w:lineRule="exact"/>
              <w:jc w:val="left"/>
              <w:outlineLvl w:val="0"/>
              <w:rPr>
                <w:rFonts w:ascii="宋体" w:hAnsi="宋体" w:cs="宋体"/>
                <w:color w:val="000000" w:themeColor="text1"/>
                <w:kern w:val="0"/>
                <w:sz w:val="18"/>
                <w:szCs w:val="18"/>
              </w:rPr>
            </w:pPr>
          </w:p>
        </w:tc>
        <w:tc>
          <w:tcPr>
            <w:tcW w:w="996" w:type="dxa"/>
            <w:vMerge/>
            <w:tcBorders>
              <w:left w:val="single" w:sz="4" w:space="0" w:color="auto"/>
              <w:bottom w:val="nil"/>
              <w:right w:val="single" w:sz="4" w:space="0" w:color="FFFFFF" w:themeColor="background1"/>
            </w:tcBorders>
            <w:vAlign w:val="center"/>
          </w:tcPr>
          <w:p w:rsidR="00D358B1" w:rsidRPr="009263D7" w:rsidRDefault="00D358B1" w:rsidP="008E2D8C">
            <w:pPr>
              <w:keepNext/>
              <w:widowControl/>
              <w:spacing w:line="320" w:lineRule="exact"/>
              <w:jc w:val="left"/>
              <w:outlineLvl w:val="0"/>
              <w:rPr>
                <w:rFonts w:ascii="宋体" w:hAnsi="宋体" w:cs="宋体"/>
                <w:color w:val="000000" w:themeColor="text1"/>
                <w:kern w:val="0"/>
                <w:sz w:val="18"/>
                <w:szCs w:val="18"/>
              </w:rPr>
            </w:pPr>
          </w:p>
        </w:tc>
        <w:tc>
          <w:tcPr>
            <w:tcW w:w="236" w:type="dxa"/>
            <w:vMerge/>
            <w:tcBorders>
              <w:left w:val="single" w:sz="4" w:space="0" w:color="FFFFFF" w:themeColor="background1"/>
              <w:bottom w:val="nil"/>
            </w:tcBorders>
            <w:vAlign w:val="center"/>
          </w:tcPr>
          <w:p w:rsidR="00D358B1" w:rsidRPr="009263D7" w:rsidRDefault="00D358B1" w:rsidP="008E2D8C">
            <w:pPr>
              <w:keepNext/>
              <w:widowControl/>
              <w:spacing w:line="320" w:lineRule="exact"/>
              <w:jc w:val="left"/>
              <w:outlineLvl w:val="0"/>
              <w:rPr>
                <w:rFonts w:ascii="宋体" w:hAnsi="宋体" w:cs="宋体"/>
                <w:color w:val="000000" w:themeColor="text1"/>
                <w:kern w:val="0"/>
                <w:sz w:val="18"/>
                <w:szCs w:val="18"/>
              </w:rPr>
            </w:pPr>
          </w:p>
        </w:tc>
      </w:tr>
      <w:tr w:rsidR="00326DF2" w:rsidRPr="009263D7" w:rsidTr="00124CBF">
        <w:trPr>
          <w:gridAfter w:val="2"/>
          <w:wAfter w:w="250" w:type="dxa"/>
          <w:trHeight w:val="312"/>
        </w:trPr>
        <w:tc>
          <w:tcPr>
            <w:tcW w:w="719" w:type="dxa"/>
            <w:tcBorders>
              <w:top w:val="nil"/>
              <w:left w:val="nil"/>
              <w:bottom w:val="single" w:sz="4" w:space="0" w:color="auto"/>
              <w:right w:val="single" w:sz="2" w:space="0" w:color="auto"/>
            </w:tcBorders>
            <w:shd w:val="clear" w:color="auto" w:fill="auto"/>
            <w:noWrap/>
            <w:vAlign w:val="center"/>
          </w:tcPr>
          <w:p w:rsidR="00326DF2" w:rsidRPr="009263D7" w:rsidRDefault="00CB4B9E" w:rsidP="0070760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B0411</w:t>
            </w:r>
          </w:p>
        </w:tc>
        <w:tc>
          <w:tcPr>
            <w:tcW w:w="708" w:type="dxa"/>
            <w:gridSpan w:val="4"/>
            <w:tcBorders>
              <w:top w:val="nil"/>
              <w:left w:val="single" w:sz="2" w:space="0" w:color="auto"/>
              <w:bottom w:val="single" w:sz="4" w:space="0" w:color="auto"/>
              <w:right w:val="single" w:sz="2" w:space="0" w:color="auto"/>
            </w:tcBorders>
          </w:tcPr>
          <w:p w:rsidR="00326DF2" w:rsidRPr="009263D7" w:rsidRDefault="00CB4B9E" w:rsidP="0070760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B0412</w:t>
            </w:r>
          </w:p>
        </w:tc>
        <w:tc>
          <w:tcPr>
            <w:tcW w:w="848" w:type="dxa"/>
            <w:gridSpan w:val="3"/>
            <w:tcBorders>
              <w:top w:val="nil"/>
              <w:left w:val="single" w:sz="2" w:space="0" w:color="auto"/>
              <w:bottom w:val="single" w:sz="4" w:space="0" w:color="auto"/>
              <w:right w:val="single" w:sz="2" w:space="0" w:color="auto"/>
            </w:tcBorders>
            <w:shd w:val="clear" w:color="auto" w:fill="auto"/>
            <w:noWrap/>
            <w:vAlign w:val="center"/>
          </w:tcPr>
          <w:p w:rsidR="00326DF2" w:rsidRPr="009263D7" w:rsidRDefault="00CB4B9E" w:rsidP="0070760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B0413</w:t>
            </w:r>
          </w:p>
        </w:tc>
        <w:tc>
          <w:tcPr>
            <w:tcW w:w="851" w:type="dxa"/>
            <w:gridSpan w:val="5"/>
            <w:tcBorders>
              <w:top w:val="nil"/>
              <w:left w:val="single" w:sz="2" w:space="0" w:color="auto"/>
              <w:bottom w:val="single" w:sz="4" w:space="0" w:color="auto"/>
              <w:right w:val="single" w:sz="2" w:space="0" w:color="auto"/>
            </w:tcBorders>
            <w:shd w:val="clear" w:color="auto" w:fill="auto"/>
            <w:noWrap/>
            <w:vAlign w:val="center"/>
          </w:tcPr>
          <w:p w:rsidR="00326DF2" w:rsidRPr="009263D7" w:rsidRDefault="00CB4B9E" w:rsidP="0070760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B0414</w:t>
            </w:r>
          </w:p>
        </w:tc>
        <w:tc>
          <w:tcPr>
            <w:tcW w:w="1276" w:type="dxa"/>
            <w:gridSpan w:val="2"/>
            <w:tcBorders>
              <w:top w:val="nil"/>
              <w:left w:val="single" w:sz="2" w:space="0" w:color="auto"/>
              <w:bottom w:val="single" w:sz="4" w:space="0" w:color="auto"/>
              <w:right w:val="single" w:sz="2" w:space="0" w:color="auto"/>
            </w:tcBorders>
            <w:shd w:val="clear" w:color="auto" w:fill="auto"/>
            <w:noWrap/>
            <w:vAlign w:val="center"/>
          </w:tcPr>
          <w:p w:rsidR="00326DF2" w:rsidRPr="009263D7" w:rsidRDefault="00CB4B9E" w:rsidP="0070760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B0415</w:t>
            </w:r>
          </w:p>
        </w:tc>
        <w:tc>
          <w:tcPr>
            <w:tcW w:w="1417" w:type="dxa"/>
            <w:gridSpan w:val="3"/>
            <w:tcBorders>
              <w:top w:val="nil"/>
              <w:left w:val="single" w:sz="2" w:space="0" w:color="auto"/>
              <w:bottom w:val="single" w:sz="4" w:space="0" w:color="auto"/>
              <w:right w:val="single" w:sz="2" w:space="0" w:color="auto"/>
            </w:tcBorders>
            <w:shd w:val="clear" w:color="auto" w:fill="auto"/>
            <w:noWrap/>
            <w:vAlign w:val="center"/>
          </w:tcPr>
          <w:p w:rsidR="00326DF2" w:rsidRPr="009263D7" w:rsidRDefault="00CB4B9E" w:rsidP="0070760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B0416</w:t>
            </w:r>
          </w:p>
        </w:tc>
        <w:tc>
          <w:tcPr>
            <w:tcW w:w="1134" w:type="dxa"/>
            <w:gridSpan w:val="2"/>
            <w:tcBorders>
              <w:top w:val="nil"/>
              <w:left w:val="single" w:sz="2" w:space="0" w:color="auto"/>
              <w:bottom w:val="single" w:sz="4" w:space="0" w:color="auto"/>
              <w:right w:val="single" w:sz="4" w:space="0" w:color="auto"/>
            </w:tcBorders>
            <w:shd w:val="clear" w:color="auto" w:fill="auto"/>
            <w:noWrap/>
            <w:vAlign w:val="center"/>
          </w:tcPr>
          <w:p w:rsidR="00326DF2" w:rsidRPr="009263D7" w:rsidRDefault="00CB4B9E" w:rsidP="003B53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B0417</w:t>
            </w:r>
          </w:p>
        </w:tc>
        <w:tc>
          <w:tcPr>
            <w:tcW w:w="992" w:type="dxa"/>
            <w:gridSpan w:val="2"/>
            <w:tcBorders>
              <w:top w:val="nil"/>
              <w:left w:val="single" w:sz="4" w:space="0" w:color="auto"/>
              <w:bottom w:val="single" w:sz="4" w:space="0" w:color="auto"/>
              <w:right w:val="single" w:sz="2" w:space="0" w:color="auto"/>
            </w:tcBorders>
            <w:shd w:val="clear" w:color="auto" w:fill="auto"/>
            <w:vAlign w:val="center"/>
          </w:tcPr>
          <w:p w:rsidR="00326DF2" w:rsidRPr="009263D7" w:rsidRDefault="00CB4B9E" w:rsidP="0070760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B0418</w:t>
            </w:r>
          </w:p>
        </w:tc>
        <w:tc>
          <w:tcPr>
            <w:tcW w:w="851" w:type="dxa"/>
            <w:gridSpan w:val="2"/>
            <w:tcBorders>
              <w:top w:val="nil"/>
              <w:left w:val="single" w:sz="2" w:space="0" w:color="auto"/>
              <w:bottom w:val="single" w:sz="4" w:space="0" w:color="auto"/>
              <w:right w:val="single" w:sz="4" w:space="0" w:color="auto"/>
            </w:tcBorders>
            <w:shd w:val="clear" w:color="auto" w:fill="auto"/>
            <w:vAlign w:val="center"/>
          </w:tcPr>
          <w:p w:rsidR="00000000" w:rsidRDefault="00CB4B9E">
            <w:pP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B0419</w:t>
            </w:r>
          </w:p>
        </w:tc>
        <w:tc>
          <w:tcPr>
            <w:tcW w:w="996" w:type="dxa"/>
            <w:tcBorders>
              <w:top w:val="nil"/>
              <w:left w:val="single" w:sz="4" w:space="0" w:color="auto"/>
              <w:bottom w:val="single" w:sz="4" w:space="0" w:color="auto"/>
              <w:right w:val="single" w:sz="4" w:space="0" w:color="FFFFFF" w:themeColor="background1"/>
            </w:tcBorders>
            <w:shd w:val="clear" w:color="auto" w:fill="auto"/>
            <w:vAlign w:val="center"/>
          </w:tcPr>
          <w:p w:rsidR="00326DF2"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B0420</w:t>
            </w:r>
          </w:p>
        </w:tc>
      </w:tr>
      <w:tr w:rsidR="00326DF2" w:rsidRPr="009263D7" w:rsidTr="00124CBF">
        <w:trPr>
          <w:gridAfter w:val="2"/>
          <w:wAfter w:w="250" w:type="dxa"/>
          <w:trHeight w:val="312"/>
        </w:trPr>
        <w:tc>
          <w:tcPr>
            <w:tcW w:w="719" w:type="dxa"/>
            <w:tcBorders>
              <w:top w:val="nil"/>
              <w:left w:val="nil"/>
              <w:bottom w:val="single" w:sz="4" w:space="0" w:color="auto"/>
              <w:right w:val="single" w:sz="2" w:space="0" w:color="auto"/>
            </w:tcBorders>
            <w:shd w:val="clear" w:color="auto" w:fill="auto"/>
            <w:noWrap/>
            <w:vAlign w:val="center"/>
          </w:tcPr>
          <w:p w:rsidR="00326DF2" w:rsidRPr="009263D7" w:rsidRDefault="00CB4B9E" w:rsidP="0070760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708" w:type="dxa"/>
            <w:gridSpan w:val="4"/>
            <w:tcBorders>
              <w:top w:val="nil"/>
              <w:left w:val="single" w:sz="2" w:space="0" w:color="auto"/>
              <w:bottom w:val="single" w:sz="4" w:space="0" w:color="auto"/>
              <w:right w:val="single" w:sz="2" w:space="0" w:color="auto"/>
            </w:tcBorders>
          </w:tcPr>
          <w:p w:rsidR="00326DF2"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848" w:type="dxa"/>
            <w:gridSpan w:val="3"/>
            <w:tcBorders>
              <w:top w:val="nil"/>
              <w:left w:val="single" w:sz="2" w:space="0" w:color="auto"/>
              <w:bottom w:val="single" w:sz="4" w:space="0" w:color="auto"/>
              <w:right w:val="single" w:sz="2" w:space="0" w:color="auto"/>
            </w:tcBorders>
            <w:shd w:val="clear" w:color="auto" w:fill="auto"/>
            <w:noWrap/>
            <w:vAlign w:val="center"/>
          </w:tcPr>
          <w:p w:rsidR="00326DF2"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851" w:type="dxa"/>
            <w:gridSpan w:val="5"/>
            <w:tcBorders>
              <w:top w:val="nil"/>
              <w:left w:val="single" w:sz="2" w:space="0" w:color="auto"/>
              <w:bottom w:val="single" w:sz="4" w:space="0" w:color="auto"/>
              <w:right w:val="single" w:sz="2" w:space="0" w:color="auto"/>
            </w:tcBorders>
            <w:shd w:val="clear" w:color="auto" w:fill="auto"/>
            <w:noWrap/>
            <w:vAlign w:val="center"/>
          </w:tcPr>
          <w:p w:rsidR="00326DF2"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1276" w:type="dxa"/>
            <w:gridSpan w:val="2"/>
            <w:tcBorders>
              <w:top w:val="nil"/>
              <w:left w:val="single" w:sz="2" w:space="0" w:color="auto"/>
              <w:bottom w:val="single" w:sz="4" w:space="0" w:color="auto"/>
              <w:right w:val="single" w:sz="2" w:space="0" w:color="auto"/>
            </w:tcBorders>
            <w:shd w:val="clear" w:color="auto" w:fill="auto"/>
            <w:noWrap/>
            <w:vAlign w:val="center"/>
          </w:tcPr>
          <w:p w:rsidR="00326DF2"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1417" w:type="dxa"/>
            <w:gridSpan w:val="3"/>
            <w:tcBorders>
              <w:top w:val="nil"/>
              <w:left w:val="single" w:sz="2" w:space="0" w:color="auto"/>
              <w:bottom w:val="single" w:sz="4" w:space="0" w:color="auto"/>
              <w:right w:val="single" w:sz="2" w:space="0" w:color="auto"/>
            </w:tcBorders>
            <w:shd w:val="clear" w:color="auto" w:fill="auto"/>
            <w:noWrap/>
            <w:vAlign w:val="center"/>
          </w:tcPr>
          <w:p w:rsidR="00326DF2"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1134" w:type="dxa"/>
            <w:gridSpan w:val="2"/>
            <w:tcBorders>
              <w:top w:val="nil"/>
              <w:left w:val="single" w:sz="2" w:space="0" w:color="auto"/>
              <w:bottom w:val="single" w:sz="4" w:space="0" w:color="auto"/>
              <w:right w:val="single" w:sz="4" w:space="0" w:color="auto"/>
            </w:tcBorders>
            <w:shd w:val="clear" w:color="auto" w:fill="auto"/>
            <w:noWrap/>
            <w:vAlign w:val="center"/>
          </w:tcPr>
          <w:p w:rsidR="00326DF2" w:rsidRPr="009263D7" w:rsidRDefault="00CB4B9E" w:rsidP="003B53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c>
          <w:tcPr>
            <w:tcW w:w="992" w:type="dxa"/>
            <w:gridSpan w:val="2"/>
            <w:tcBorders>
              <w:top w:val="nil"/>
              <w:left w:val="single" w:sz="4" w:space="0" w:color="auto"/>
              <w:bottom w:val="single" w:sz="4" w:space="0" w:color="auto"/>
              <w:right w:val="single" w:sz="2" w:space="0" w:color="auto"/>
            </w:tcBorders>
            <w:shd w:val="clear" w:color="auto" w:fill="auto"/>
            <w:vAlign w:val="center"/>
          </w:tcPr>
          <w:p w:rsidR="00326DF2" w:rsidRPr="009263D7" w:rsidRDefault="00CB4B9E" w:rsidP="008E2D8C">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w:t>
            </w:r>
          </w:p>
        </w:tc>
        <w:tc>
          <w:tcPr>
            <w:tcW w:w="851" w:type="dxa"/>
            <w:gridSpan w:val="2"/>
            <w:tcBorders>
              <w:top w:val="nil"/>
              <w:left w:val="single" w:sz="2" w:space="0" w:color="auto"/>
              <w:bottom w:val="single" w:sz="4" w:space="0" w:color="auto"/>
              <w:right w:val="single" w:sz="4" w:space="0" w:color="auto"/>
            </w:tcBorders>
            <w:shd w:val="clear" w:color="auto" w:fill="auto"/>
            <w:vAlign w:val="center"/>
          </w:tcPr>
          <w:p w:rsidR="00000000" w:rsidRDefault="00CB4B9E">
            <w:pP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w:t>
            </w:r>
          </w:p>
        </w:tc>
        <w:tc>
          <w:tcPr>
            <w:tcW w:w="996" w:type="dxa"/>
            <w:tcBorders>
              <w:top w:val="nil"/>
              <w:left w:val="single" w:sz="4" w:space="0" w:color="auto"/>
              <w:bottom w:val="single" w:sz="4" w:space="0" w:color="auto"/>
              <w:right w:val="single" w:sz="4" w:space="0" w:color="FFFFFF" w:themeColor="background1"/>
            </w:tcBorders>
            <w:shd w:val="clear" w:color="auto" w:fill="auto"/>
            <w:vAlign w:val="center"/>
          </w:tcPr>
          <w:p w:rsidR="00326DF2"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w:t>
            </w:r>
          </w:p>
        </w:tc>
      </w:tr>
      <w:tr w:rsidR="00326DF2" w:rsidRPr="009263D7" w:rsidTr="00124CBF">
        <w:trPr>
          <w:gridAfter w:val="2"/>
          <w:wAfter w:w="250" w:type="dxa"/>
          <w:trHeight w:val="312"/>
        </w:trPr>
        <w:tc>
          <w:tcPr>
            <w:tcW w:w="1048" w:type="dxa"/>
            <w:gridSpan w:val="4"/>
            <w:tcBorders>
              <w:top w:val="single" w:sz="4" w:space="0" w:color="FFFFFF" w:themeColor="background1"/>
              <w:left w:val="nil"/>
              <w:bottom w:val="nil"/>
              <w:right w:val="nil"/>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c>
          <w:tcPr>
            <w:tcW w:w="1026" w:type="dxa"/>
            <w:gridSpan w:val="3"/>
            <w:tcBorders>
              <w:top w:val="single" w:sz="4" w:space="0" w:color="FFFFFF" w:themeColor="background1"/>
              <w:left w:val="nil"/>
              <w:bottom w:val="nil"/>
              <w:right w:val="nil"/>
            </w:tcBorders>
          </w:tcPr>
          <w:p w:rsidR="00326DF2" w:rsidRPr="009263D7" w:rsidRDefault="00326DF2" w:rsidP="008E2D8C">
            <w:pPr>
              <w:widowControl/>
              <w:jc w:val="left"/>
              <w:rPr>
                <w:rFonts w:ascii="宋体" w:hAnsi="宋体" w:cs="宋体"/>
                <w:color w:val="000000" w:themeColor="text1"/>
                <w:kern w:val="0"/>
                <w:sz w:val="18"/>
                <w:szCs w:val="18"/>
              </w:rPr>
            </w:pPr>
          </w:p>
        </w:tc>
        <w:tc>
          <w:tcPr>
            <w:tcW w:w="236" w:type="dxa"/>
            <w:gridSpan w:val="2"/>
            <w:tcBorders>
              <w:top w:val="single" w:sz="4" w:space="0" w:color="FFFFFF" w:themeColor="background1"/>
              <w:left w:val="nil"/>
              <w:bottom w:val="nil"/>
              <w:right w:val="nil"/>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c>
          <w:tcPr>
            <w:tcW w:w="261" w:type="dxa"/>
            <w:gridSpan w:val="2"/>
            <w:tcBorders>
              <w:top w:val="single" w:sz="4" w:space="0" w:color="FFFFFF" w:themeColor="background1"/>
              <w:left w:val="nil"/>
              <w:bottom w:val="nil"/>
              <w:right w:val="nil"/>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c>
          <w:tcPr>
            <w:tcW w:w="236" w:type="dxa"/>
            <w:tcBorders>
              <w:top w:val="single" w:sz="4" w:space="0" w:color="FFFFFF" w:themeColor="background1"/>
              <w:left w:val="nil"/>
              <w:bottom w:val="nil"/>
              <w:right w:val="nil"/>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c>
          <w:tcPr>
            <w:tcW w:w="319" w:type="dxa"/>
            <w:tcBorders>
              <w:top w:val="single" w:sz="4" w:space="0" w:color="FFFFFF" w:themeColor="background1"/>
              <w:left w:val="nil"/>
              <w:bottom w:val="nil"/>
              <w:right w:val="nil"/>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c>
          <w:tcPr>
            <w:tcW w:w="1276" w:type="dxa"/>
            <w:gridSpan w:val="2"/>
            <w:tcBorders>
              <w:top w:val="single" w:sz="4" w:space="0" w:color="FFFFFF" w:themeColor="background1"/>
              <w:left w:val="nil"/>
              <w:bottom w:val="nil"/>
              <w:right w:val="nil"/>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c>
          <w:tcPr>
            <w:tcW w:w="1417" w:type="dxa"/>
            <w:gridSpan w:val="3"/>
            <w:tcBorders>
              <w:top w:val="single" w:sz="4" w:space="0" w:color="FFFFFF" w:themeColor="background1"/>
              <w:left w:val="nil"/>
              <w:bottom w:val="nil"/>
              <w:right w:val="nil"/>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c>
          <w:tcPr>
            <w:tcW w:w="2977" w:type="dxa"/>
            <w:gridSpan w:val="6"/>
            <w:tcBorders>
              <w:top w:val="single" w:sz="4" w:space="0" w:color="FFFFFF" w:themeColor="background1"/>
              <w:left w:val="nil"/>
              <w:bottom w:val="nil"/>
              <w:right w:val="nil"/>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c>
          <w:tcPr>
            <w:tcW w:w="996" w:type="dxa"/>
            <w:tcBorders>
              <w:top w:val="single" w:sz="4" w:space="0" w:color="FFFFFF" w:themeColor="background1"/>
              <w:left w:val="nil"/>
              <w:bottom w:val="nil"/>
              <w:right w:val="single" w:sz="4" w:space="0" w:color="FFFFFF" w:themeColor="background1"/>
            </w:tcBorders>
            <w:shd w:val="clear" w:color="auto" w:fill="auto"/>
            <w:noWrap/>
            <w:vAlign w:val="center"/>
          </w:tcPr>
          <w:p w:rsidR="00326DF2" w:rsidRPr="009263D7" w:rsidRDefault="00326DF2" w:rsidP="008E2D8C">
            <w:pPr>
              <w:widowControl/>
              <w:jc w:val="left"/>
              <w:rPr>
                <w:rFonts w:ascii="宋体" w:hAnsi="宋体" w:cs="宋体"/>
                <w:color w:val="000000" w:themeColor="text1"/>
                <w:kern w:val="0"/>
                <w:sz w:val="18"/>
                <w:szCs w:val="18"/>
              </w:rPr>
            </w:pPr>
          </w:p>
        </w:tc>
      </w:tr>
      <w:tr w:rsidR="00D358B1" w:rsidRPr="009263D7" w:rsidTr="00124CBF">
        <w:trPr>
          <w:gridAfter w:val="2"/>
          <w:wAfter w:w="250" w:type="dxa"/>
          <w:trHeight w:val="312"/>
        </w:trPr>
        <w:tc>
          <w:tcPr>
            <w:tcW w:w="1048" w:type="dxa"/>
            <w:gridSpan w:val="4"/>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1026" w:type="dxa"/>
            <w:gridSpan w:val="3"/>
            <w:tcBorders>
              <w:top w:val="nil"/>
              <w:left w:val="nil"/>
              <w:bottom w:val="nil"/>
              <w:right w:val="nil"/>
            </w:tcBorders>
          </w:tcPr>
          <w:p w:rsidR="002C3755" w:rsidRPr="009263D7" w:rsidRDefault="002C3755" w:rsidP="008E2D8C">
            <w:pPr>
              <w:widowControl/>
              <w:jc w:val="left"/>
              <w:rPr>
                <w:rFonts w:ascii="宋体" w:hAnsi="宋体" w:cs="宋体"/>
                <w:color w:val="000000" w:themeColor="text1"/>
                <w:kern w:val="0"/>
                <w:sz w:val="18"/>
                <w:szCs w:val="18"/>
              </w:rPr>
            </w:pPr>
          </w:p>
        </w:tc>
        <w:tc>
          <w:tcPr>
            <w:tcW w:w="236" w:type="dxa"/>
            <w:gridSpan w:val="2"/>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261" w:type="dxa"/>
            <w:gridSpan w:val="2"/>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236" w:type="dxa"/>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319" w:type="dxa"/>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1276" w:type="dxa"/>
            <w:gridSpan w:val="2"/>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1417" w:type="dxa"/>
            <w:gridSpan w:val="3"/>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2977" w:type="dxa"/>
            <w:gridSpan w:val="6"/>
            <w:tcBorders>
              <w:top w:val="nil"/>
              <w:left w:val="nil"/>
              <w:bottom w:val="nil"/>
              <w:right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c>
          <w:tcPr>
            <w:tcW w:w="996" w:type="dxa"/>
            <w:tcBorders>
              <w:top w:val="nil"/>
              <w:left w:val="nil"/>
              <w:bottom w:val="nil"/>
            </w:tcBorders>
            <w:shd w:val="clear" w:color="auto" w:fill="auto"/>
            <w:noWrap/>
            <w:vAlign w:val="center"/>
          </w:tcPr>
          <w:p w:rsidR="002C3755" w:rsidRPr="009263D7" w:rsidRDefault="002C3755" w:rsidP="008E2D8C">
            <w:pPr>
              <w:widowControl/>
              <w:jc w:val="left"/>
              <w:rPr>
                <w:rFonts w:ascii="宋体" w:hAnsi="宋体" w:cs="宋体"/>
                <w:color w:val="000000" w:themeColor="text1"/>
                <w:kern w:val="0"/>
                <w:sz w:val="18"/>
                <w:szCs w:val="18"/>
              </w:rPr>
            </w:pPr>
          </w:p>
        </w:tc>
      </w:tr>
      <w:tr w:rsidR="00D358B1" w:rsidRPr="009263D7" w:rsidTr="00124CBF">
        <w:trPr>
          <w:gridAfter w:val="2"/>
          <w:wAfter w:w="250" w:type="dxa"/>
          <w:trHeight w:val="324"/>
        </w:trPr>
        <w:tc>
          <w:tcPr>
            <w:tcW w:w="1048" w:type="dxa"/>
            <w:gridSpan w:val="4"/>
            <w:tcBorders>
              <w:top w:val="nil"/>
              <w:left w:val="nil"/>
              <w:bottom w:val="single" w:sz="8" w:space="0" w:color="auto"/>
              <w:right w:val="nil"/>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p w:rsidR="00326DF2" w:rsidRPr="009263D7" w:rsidRDefault="00326DF2" w:rsidP="008E2D8C">
            <w:pPr>
              <w:widowControl/>
              <w:jc w:val="left"/>
              <w:rPr>
                <w:rFonts w:ascii="宋体" w:hAnsi="宋体" w:cs="宋体"/>
                <w:color w:val="000000" w:themeColor="text1"/>
                <w:kern w:val="0"/>
                <w:sz w:val="18"/>
                <w:szCs w:val="18"/>
              </w:rPr>
            </w:pPr>
          </w:p>
          <w:p w:rsidR="00326DF2" w:rsidRPr="009263D7" w:rsidRDefault="00326DF2" w:rsidP="008E2D8C">
            <w:pPr>
              <w:widowControl/>
              <w:jc w:val="left"/>
              <w:rPr>
                <w:rFonts w:ascii="宋体" w:hAnsi="宋体" w:cs="宋体"/>
                <w:color w:val="000000" w:themeColor="text1"/>
                <w:kern w:val="0"/>
                <w:sz w:val="18"/>
                <w:szCs w:val="18"/>
              </w:rPr>
            </w:pPr>
          </w:p>
          <w:p w:rsidR="00326DF2" w:rsidRPr="009263D7" w:rsidRDefault="00326DF2" w:rsidP="008E2D8C">
            <w:pPr>
              <w:widowControl/>
              <w:jc w:val="left"/>
              <w:rPr>
                <w:rFonts w:ascii="宋体" w:hAnsi="宋体" w:cs="宋体"/>
                <w:color w:val="000000" w:themeColor="text1"/>
                <w:kern w:val="0"/>
                <w:sz w:val="18"/>
                <w:szCs w:val="18"/>
              </w:rPr>
            </w:pPr>
          </w:p>
        </w:tc>
        <w:tc>
          <w:tcPr>
            <w:tcW w:w="1026" w:type="dxa"/>
            <w:gridSpan w:val="3"/>
            <w:tcBorders>
              <w:top w:val="nil"/>
              <w:left w:val="nil"/>
              <w:bottom w:val="single" w:sz="8" w:space="0" w:color="auto"/>
              <w:right w:val="nil"/>
            </w:tcBorders>
          </w:tcPr>
          <w:p w:rsidR="002C3755" w:rsidRPr="009263D7" w:rsidRDefault="002C3755" w:rsidP="008E2D8C">
            <w:pPr>
              <w:widowControl/>
              <w:jc w:val="left"/>
              <w:rPr>
                <w:rFonts w:ascii="宋体" w:hAnsi="宋体" w:cs="宋体"/>
                <w:color w:val="000000" w:themeColor="text1"/>
                <w:kern w:val="0"/>
                <w:sz w:val="18"/>
                <w:szCs w:val="18"/>
              </w:rPr>
            </w:pPr>
          </w:p>
        </w:tc>
        <w:tc>
          <w:tcPr>
            <w:tcW w:w="236" w:type="dxa"/>
            <w:gridSpan w:val="2"/>
            <w:tcBorders>
              <w:top w:val="nil"/>
              <w:left w:val="nil"/>
              <w:bottom w:val="single" w:sz="8" w:space="0" w:color="auto"/>
              <w:right w:val="nil"/>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1" w:type="dxa"/>
            <w:gridSpan w:val="2"/>
            <w:tcBorders>
              <w:top w:val="nil"/>
              <w:left w:val="nil"/>
              <w:bottom w:val="single" w:sz="8" w:space="0" w:color="auto"/>
              <w:right w:val="nil"/>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36" w:type="dxa"/>
            <w:tcBorders>
              <w:top w:val="nil"/>
              <w:left w:val="nil"/>
              <w:bottom w:val="single" w:sz="8" w:space="0" w:color="auto"/>
              <w:right w:val="nil"/>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19" w:type="dxa"/>
            <w:tcBorders>
              <w:top w:val="nil"/>
              <w:left w:val="nil"/>
              <w:bottom w:val="single" w:sz="8" w:space="0" w:color="auto"/>
              <w:right w:val="nil"/>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76" w:type="dxa"/>
            <w:gridSpan w:val="2"/>
            <w:tcBorders>
              <w:top w:val="nil"/>
              <w:left w:val="nil"/>
              <w:bottom w:val="single" w:sz="8" w:space="0" w:color="auto"/>
              <w:right w:val="nil"/>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7" w:type="dxa"/>
            <w:gridSpan w:val="3"/>
            <w:tcBorders>
              <w:top w:val="nil"/>
              <w:left w:val="nil"/>
              <w:bottom w:val="single" w:sz="8" w:space="0" w:color="auto"/>
              <w:right w:val="nil"/>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977" w:type="dxa"/>
            <w:gridSpan w:val="6"/>
            <w:tcBorders>
              <w:top w:val="nil"/>
              <w:left w:val="nil"/>
              <w:bottom w:val="single" w:sz="8" w:space="0" w:color="auto"/>
              <w:right w:val="nil"/>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996" w:type="dxa"/>
            <w:tcBorders>
              <w:top w:val="nil"/>
              <w:left w:val="nil"/>
              <w:bottom w:val="single" w:sz="8" w:space="0" w:color="auto"/>
            </w:tcBorders>
            <w:shd w:val="clear" w:color="auto" w:fill="auto"/>
            <w:noWrap/>
            <w:vAlign w:val="center"/>
          </w:tcPr>
          <w:p w:rsidR="002C3755"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tbl>
      <w:tblPr>
        <w:tblpPr w:leftFromText="180" w:rightFromText="180" w:vertAnchor="text" w:tblpX="9893" w:tblpY="-5711"/>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tblPr>
      <w:tblGrid>
        <w:gridCol w:w="334"/>
      </w:tblGrid>
      <w:tr w:rsidR="00326DF2" w:rsidRPr="009263D7" w:rsidTr="00326DF2">
        <w:trPr>
          <w:trHeight w:val="19"/>
        </w:trPr>
        <w:tc>
          <w:tcPr>
            <w:tcW w:w="334" w:type="dxa"/>
            <w:tcBorders>
              <w:top w:val="nil"/>
            </w:tcBorders>
          </w:tcPr>
          <w:p w:rsidR="00326DF2" w:rsidRPr="009263D7" w:rsidRDefault="00326DF2" w:rsidP="00326DF2">
            <w:pPr>
              <w:rPr>
                <w:rFonts w:ascii="宋体"/>
                <w:color w:val="000000" w:themeColor="text1"/>
                <w:sz w:val="18"/>
              </w:rPr>
            </w:pPr>
          </w:p>
        </w:tc>
      </w:tr>
      <w:tr w:rsidR="00326DF2" w:rsidRPr="009263D7" w:rsidTr="00326DF2">
        <w:tc>
          <w:tcPr>
            <w:tcW w:w="334" w:type="dxa"/>
          </w:tcPr>
          <w:p w:rsidR="00326DF2" w:rsidRPr="009263D7" w:rsidRDefault="00326DF2" w:rsidP="00326DF2">
            <w:pPr>
              <w:rPr>
                <w:rFonts w:ascii="宋体"/>
                <w:color w:val="000000" w:themeColor="text1"/>
                <w:sz w:val="18"/>
              </w:rPr>
            </w:pPr>
          </w:p>
        </w:tc>
      </w:tr>
    </w:tbl>
    <w:p w:rsidR="00AE1822" w:rsidRPr="009263D7" w:rsidRDefault="00CB4B9E" w:rsidP="00AE1822">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AE1822" w:rsidRPr="009263D7" w:rsidRDefault="00AE1822" w:rsidP="00AE1822">
      <w:pPr>
        <w:spacing w:line="280" w:lineRule="exact"/>
        <w:jc w:val="left"/>
        <w:rPr>
          <w:color w:val="000000" w:themeColor="text1"/>
          <w:sz w:val="18"/>
          <w:szCs w:val="18"/>
        </w:rPr>
      </w:pPr>
    </w:p>
    <w:p w:rsidR="00AE1822" w:rsidRPr="009263D7" w:rsidRDefault="00CB4B9E" w:rsidP="00AE1822">
      <w:pPr>
        <w:pStyle w:val="3"/>
        <w:jc w:val="center"/>
        <w:rPr>
          <w:rFonts w:ascii="宋体" w:hAnsi="宋体"/>
          <w:b w:val="0"/>
          <w:color w:val="000000" w:themeColor="text1"/>
          <w:kern w:val="0"/>
          <w:sz w:val="28"/>
          <w:szCs w:val="28"/>
        </w:rPr>
      </w:pPr>
      <w:r w:rsidRPr="00CB4B9E">
        <w:rPr>
          <w:color w:val="000000" w:themeColor="text1"/>
          <w:sz w:val="18"/>
          <w:szCs w:val="18"/>
        </w:rPr>
        <w:br w:type="page"/>
      </w:r>
      <w:bookmarkStart w:id="24" w:name="_Toc452017134"/>
      <w:r w:rsidRPr="00CB4B9E">
        <w:rPr>
          <w:rFonts w:ascii="宋体" w:hAnsi="宋体" w:hint="eastAsia"/>
          <w:b w:val="0"/>
          <w:color w:val="000000" w:themeColor="text1"/>
          <w:kern w:val="0"/>
          <w:sz w:val="28"/>
          <w:szCs w:val="28"/>
        </w:rPr>
        <w:lastRenderedPageBreak/>
        <w:t>境外发行债务证券（负债）</w:t>
      </w:r>
      <w:bookmarkEnd w:id="24"/>
      <w:r w:rsidRPr="00CB4B9E">
        <w:rPr>
          <w:rFonts w:ascii="宋体" w:hAnsi="宋体"/>
          <w:b w:val="0"/>
          <w:color w:val="000000" w:themeColor="text1"/>
          <w:kern w:val="0"/>
          <w:sz w:val="28"/>
          <w:szCs w:val="28"/>
        </w:rPr>
        <w:t xml:space="preserve"> </w:t>
      </w:r>
    </w:p>
    <w:p w:rsidR="00AE1822" w:rsidRPr="009263D7" w:rsidRDefault="00CB4B9E" w:rsidP="00AE1822">
      <w:pPr>
        <w:spacing w:line="240" w:lineRule="exact"/>
        <w:rPr>
          <w:rFonts w:ascii="宋体" w:hAnsi="宋体"/>
          <w:color w:val="000000" w:themeColor="text1"/>
          <w:kern w:val="0"/>
          <w:sz w:val="32"/>
          <w:szCs w:val="32"/>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B05</w:t>
      </w:r>
      <w:r w:rsidRPr="00CB4B9E">
        <w:rPr>
          <w:rFonts w:ascii="宋体" w:hAnsi="宋体" w:cs="宋体" w:hint="eastAsia"/>
          <w:color w:val="000000" w:themeColor="text1"/>
          <w:kern w:val="0"/>
          <w:sz w:val="18"/>
          <w:szCs w:val="18"/>
        </w:rPr>
        <w:t>表</w:t>
      </w:r>
    </w:p>
    <w:p w:rsidR="00AE1822" w:rsidRPr="009263D7" w:rsidRDefault="00CB4B9E" w:rsidP="00AE1822">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AE1822" w:rsidRPr="009263D7" w:rsidRDefault="00CB4B9E" w:rsidP="00AE1822">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AE1822" w:rsidRPr="009263D7" w:rsidRDefault="00CB4B9E" w:rsidP="00AE182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AE1822" w:rsidRPr="009263D7" w:rsidRDefault="00CB4B9E" w:rsidP="00AE182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AE1822" w:rsidRPr="009263D7" w:rsidRDefault="00CB4B9E" w:rsidP="00AE1822">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AE1822" w:rsidRPr="009263D7" w:rsidRDefault="00CB4B9E" w:rsidP="00AE1822">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5000" w:type="pct"/>
        <w:tblLayout w:type="fixed"/>
        <w:tblLook w:val="04A0"/>
      </w:tblPr>
      <w:tblGrid>
        <w:gridCol w:w="1153"/>
        <w:gridCol w:w="792"/>
        <w:gridCol w:w="574"/>
        <w:gridCol w:w="420"/>
        <w:gridCol w:w="314"/>
        <w:gridCol w:w="682"/>
        <w:gridCol w:w="144"/>
        <w:gridCol w:w="707"/>
        <w:gridCol w:w="709"/>
        <w:gridCol w:w="570"/>
        <w:gridCol w:w="847"/>
        <w:gridCol w:w="283"/>
        <w:gridCol w:w="428"/>
        <w:gridCol w:w="901"/>
        <w:gridCol w:w="1105"/>
      </w:tblGrid>
      <w:tr w:rsidR="008306D7" w:rsidRPr="009263D7">
        <w:trPr>
          <w:trHeight w:val="956"/>
        </w:trPr>
        <w:tc>
          <w:tcPr>
            <w:tcW w:w="599" w:type="pct"/>
            <w:tcBorders>
              <w:top w:val="single" w:sz="8" w:space="0" w:color="auto"/>
              <w:right w:val="single" w:sz="2" w:space="0" w:color="auto"/>
            </w:tcBorders>
            <w:shd w:val="clear" w:color="auto" w:fill="auto"/>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证券代码</w:t>
            </w:r>
            <w:r w:rsidRPr="00CB4B9E">
              <w:rPr>
                <w:rFonts w:ascii="宋体" w:hAnsi="宋体" w:cs="宋体"/>
                <w:color w:val="000000" w:themeColor="text1"/>
                <w:kern w:val="0"/>
                <w:sz w:val="18"/>
                <w:szCs w:val="18"/>
              </w:rPr>
              <w:t xml:space="preserve">                   </w:t>
            </w:r>
          </w:p>
        </w:tc>
        <w:tc>
          <w:tcPr>
            <w:tcW w:w="709" w:type="pct"/>
            <w:gridSpan w:val="2"/>
            <w:tcBorders>
              <w:top w:val="single" w:sz="8" w:space="0" w:color="auto"/>
              <w:left w:val="single" w:sz="2" w:space="0" w:color="auto"/>
              <w:right w:val="single" w:sz="2" w:space="0" w:color="auto"/>
            </w:tcBorders>
            <w:shd w:val="clear" w:color="auto" w:fill="auto"/>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发行地</w:t>
            </w:r>
          </w:p>
        </w:tc>
        <w:tc>
          <w:tcPr>
            <w:tcW w:w="810" w:type="pct"/>
            <w:gridSpan w:val="4"/>
            <w:tcBorders>
              <w:top w:val="single" w:sz="8" w:space="0" w:color="auto"/>
              <w:left w:val="single" w:sz="2" w:space="0" w:color="auto"/>
              <w:right w:val="single" w:sz="2" w:space="0" w:color="auto"/>
            </w:tcBorders>
            <w:shd w:val="clear" w:color="auto" w:fill="auto"/>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原始期限</w:t>
            </w:r>
          </w:p>
        </w:tc>
        <w:tc>
          <w:tcPr>
            <w:tcW w:w="735" w:type="pct"/>
            <w:gridSpan w:val="2"/>
            <w:tcBorders>
              <w:top w:val="single" w:sz="8" w:space="0" w:color="auto"/>
              <w:left w:val="single" w:sz="2" w:space="0" w:color="auto"/>
              <w:right w:val="single" w:sz="2" w:space="0" w:color="auto"/>
            </w:tcBorders>
            <w:shd w:val="clear" w:color="auto" w:fill="auto"/>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投资者名称</w:t>
            </w:r>
            <w:r w:rsidRPr="00CB4B9E">
              <w:rPr>
                <w:rFonts w:ascii="宋体" w:hAnsi="宋体" w:cs="宋体"/>
                <w:color w:val="000000" w:themeColor="text1"/>
                <w:kern w:val="0"/>
                <w:sz w:val="18"/>
                <w:szCs w:val="18"/>
              </w:rPr>
              <w:t xml:space="preserve">                            </w:t>
            </w:r>
          </w:p>
        </w:tc>
        <w:tc>
          <w:tcPr>
            <w:tcW w:w="883" w:type="pct"/>
            <w:gridSpan w:val="3"/>
            <w:tcBorders>
              <w:top w:val="single" w:sz="8" w:space="0" w:color="auto"/>
              <w:left w:val="single" w:sz="2" w:space="0" w:color="auto"/>
              <w:right w:val="single" w:sz="2" w:space="0" w:color="auto"/>
            </w:tcBorders>
            <w:shd w:val="clear" w:color="auto" w:fill="auto"/>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投资者所属国家</w:t>
            </w:r>
            <w:r w:rsidRPr="00CB4B9E">
              <w:rPr>
                <w:rFonts w:ascii="宋体" w:hAnsi="宋体" w:cs="宋体"/>
                <w:color w:val="000000" w:themeColor="text1"/>
                <w:kern w:val="0"/>
                <w:sz w:val="18"/>
                <w:szCs w:val="18"/>
              </w:rPr>
              <w:t xml:space="preserve">/地区             </w:t>
            </w:r>
          </w:p>
        </w:tc>
        <w:tc>
          <w:tcPr>
            <w:tcW w:w="690" w:type="pct"/>
            <w:gridSpan w:val="2"/>
            <w:tcBorders>
              <w:top w:val="single" w:sz="8" w:space="0" w:color="auto"/>
              <w:left w:val="single" w:sz="2" w:space="0" w:color="auto"/>
              <w:right w:val="single" w:sz="2" w:space="0" w:color="auto"/>
            </w:tcBorders>
            <w:shd w:val="clear" w:color="auto" w:fill="auto"/>
            <w:vAlign w:val="center"/>
          </w:tcPr>
          <w:p w:rsidR="0035038B"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投资者所属</w:t>
            </w:r>
          </w:p>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部门</w:t>
            </w:r>
          </w:p>
        </w:tc>
        <w:tc>
          <w:tcPr>
            <w:tcW w:w="574" w:type="pct"/>
            <w:tcBorders>
              <w:top w:val="single" w:sz="8" w:space="0" w:color="auto"/>
              <w:left w:val="single" w:sz="2" w:space="0" w:color="auto"/>
            </w:tcBorders>
            <w:shd w:val="clear" w:color="auto" w:fill="auto"/>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投资者与本机构的关系</w:t>
            </w:r>
          </w:p>
        </w:tc>
      </w:tr>
      <w:tr w:rsidR="008306D7" w:rsidRPr="009263D7">
        <w:trPr>
          <w:trHeight w:val="285"/>
        </w:trPr>
        <w:tc>
          <w:tcPr>
            <w:tcW w:w="599" w:type="pct"/>
            <w:tcBorders>
              <w:bottom w:val="single" w:sz="2" w:space="0" w:color="auto"/>
              <w:right w:val="single" w:sz="2" w:space="0" w:color="auto"/>
            </w:tcBorders>
            <w:shd w:val="clear" w:color="auto" w:fill="auto"/>
            <w:noWrap/>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B0501</w:t>
            </w:r>
          </w:p>
        </w:tc>
        <w:tc>
          <w:tcPr>
            <w:tcW w:w="709" w:type="pct"/>
            <w:gridSpan w:val="2"/>
            <w:tcBorders>
              <w:left w:val="single" w:sz="2" w:space="0" w:color="auto"/>
              <w:bottom w:val="single" w:sz="2" w:space="0" w:color="auto"/>
              <w:right w:val="single" w:sz="2" w:space="0" w:color="auto"/>
            </w:tcBorders>
            <w:shd w:val="clear" w:color="auto" w:fill="auto"/>
            <w:noWrap/>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B0502</w:t>
            </w:r>
          </w:p>
        </w:tc>
        <w:tc>
          <w:tcPr>
            <w:tcW w:w="810" w:type="pct"/>
            <w:gridSpan w:val="4"/>
            <w:tcBorders>
              <w:left w:val="single" w:sz="2" w:space="0" w:color="auto"/>
              <w:bottom w:val="single" w:sz="2" w:space="0" w:color="auto"/>
              <w:right w:val="single" w:sz="2" w:space="0" w:color="auto"/>
            </w:tcBorders>
            <w:shd w:val="clear" w:color="auto" w:fill="auto"/>
            <w:noWrap/>
            <w:vAlign w:val="center"/>
          </w:tcPr>
          <w:p w:rsidR="008306D7" w:rsidRPr="009263D7" w:rsidRDefault="00CB4B9E" w:rsidP="00112AB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B0503</w:t>
            </w:r>
          </w:p>
        </w:tc>
        <w:tc>
          <w:tcPr>
            <w:tcW w:w="735" w:type="pct"/>
            <w:gridSpan w:val="2"/>
            <w:tcBorders>
              <w:left w:val="single" w:sz="2" w:space="0" w:color="auto"/>
              <w:bottom w:val="single" w:sz="2" w:space="0" w:color="auto"/>
              <w:right w:val="single" w:sz="2" w:space="0" w:color="auto"/>
            </w:tcBorders>
            <w:shd w:val="clear" w:color="auto" w:fill="auto"/>
            <w:noWrap/>
            <w:vAlign w:val="center"/>
          </w:tcPr>
          <w:p w:rsidR="008306D7"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B0504</w:t>
            </w:r>
          </w:p>
        </w:tc>
        <w:tc>
          <w:tcPr>
            <w:tcW w:w="883" w:type="pct"/>
            <w:gridSpan w:val="3"/>
            <w:tcBorders>
              <w:left w:val="single" w:sz="2" w:space="0" w:color="auto"/>
              <w:bottom w:val="single" w:sz="2" w:space="0" w:color="auto"/>
              <w:right w:val="single" w:sz="2" w:space="0" w:color="auto"/>
            </w:tcBorders>
            <w:shd w:val="clear" w:color="auto" w:fill="auto"/>
            <w:noWrap/>
            <w:vAlign w:val="center"/>
          </w:tcPr>
          <w:p w:rsidR="008306D7"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B0505</w:t>
            </w:r>
          </w:p>
        </w:tc>
        <w:tc>
          <w:tcPr>
            <w:tcW w:w="690" w:type="pct"/>
            <w:gridSpan w:val="2"/>
            <w:tcBorders>
              <w:left w:val="single" w:sz="2" w:space="0" w:color="auto"/>
              <w:bottom w:val="single" w:sz="2" w:space="0" w:color="auto"/>
              <w:right w:val="single" w:sz="2" w:space="0" w:color="auto"/>
            </w:tcBorders>
            <w:shd w:val="clear" w:color="auto" w:fill="auto"/>
            <w:noWrap/>
            <w:vAlign w:val="center"/>
          </w:tcPr>
          <w:p w:rsidR="008306D7"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B0506</w:t>
            </w:r>
          </w:p>
        </w:tc>
        <w:tc>
          <w:tcPr>
            <w:tcW w:w="574" w:type="pct"/>
            <w:tcBorders>
              <w:left w:val="single" w:sz="2" w:space="0" w:color="auto"/>
              <w:bottom w:val="single" w:sz="2" w:space="0" w:color="auto"/>
            </w:tcBorders>
            <w:shd w:val="clear" w:color="auto" w:fill="auto"/>
            <w:noWrap/>
            <w:vAlign w:val="center"/>
          </w:tcPr>
          <w:p w:rsidR="008306D7"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B0507</w:t>
            </w:r>
          </w:p>
        </w:tc>
      </w:tr>
      <w:tr w:rsidR="008306D7" w:rsidRPr="009263D7">
        <w:trPr>
          <w:trHeight w:val="285"/>
        </w:trPr>
        <w:tc>
          <w:tcPr>
            <w:tcW w:w="599" w:type="pct"/>
            <w:tcBorders>
              <w:top w:val="single" w:sz="2" w:space="0" w:color="auto"/>
              <w:bottom w:val="single" w:sz="2" w:space="0" w:color="auto"/>
              <w:right w:val="single" w:sz="2" w:space="0" w:color="auto"/>
            </w:tcBorders>
            <w:shd w:val="clear" w:color="auto" w:fill="auto"/>
            <w:noWrap/>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709"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810" w:type="pct"/>
            <w:gridSpan w:val="4"/>
            <w:tcBorders>
              <w:top w:val="single" w:sz="2" w:space="0" w:color="auto"/>
              <w:left w:val="single" w:sz="2" w:space="0" w:color="auto"/>
              <w:bottom w:val="single" w:sz="2" w:space="0" w:color="auto"/>
              <w:right w:val="single" w:sz="2" w:space="0" w:color="auto"/>
            </w:tcBorders>
            <w:shd w:val="clear" w:color="auto" w:fill="auto"/>
            <w:noWrap/>
            <w:vAlign w:val="center"/>
          </w:tcPr>
          <w:p w:rsidR="008306D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735"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306D7" w:rsidRPr="009263D7" w:rsidRDefault="00CB4B9E" w:rsidP="00D23E1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883" w:type="pct"/>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8306D7" w:rsidRPr="009263D7" w:rsidRDefault="00CB4B9E" w:rsidP="00D23E1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690" w:type="pct"/>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306D7" w:rsidRPr="009263D7" w:rsidRDefault="00CB4B9E" w:rsidP="00D23E1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574" w:type="pct"/>
            <w:tcBorders>
              <w:top w:val="single" w:sz="2" w:space="0" w:color="auto"/>
              <w:left w:val="single" w:sz="2" w:space="0" w:color="auto"/>
              <w:bottom w:val="single" w:sz="2" w:space="0" w:color="auto"/>
            </w:tcBorders>
            <w:shd w:val="clear" w:color="auto" w:fill="auto"/>
            <w:noWrap/>
            <w:vAlign w:val="center"/>
          </w:tcPr>
          <w:p w:rsidR="008306D7" w:rsidRPr="009263D7" w:rsidRDefault="00CB4B9E" w:rsidP="00D23E1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r>
      <w:tr w:rsidR="00AE1822" w:rsidRPr="009263D7">
        <w:trPr>
          <w:trHeight w:val="285"/>
        </w:trPr>
        <w:tc>
          <w:tcPr>
            <w:tcW w:w="599" w:type="pct"/>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709" w:type="pct"/>
            <w:gridSpan w:val="2"/>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381" w:type="pct"/>
            <w:gridSpan w:val="2"/>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429" w:type="pct"/>
            <w:gridSpan w:val="2"/>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735" w:type="pct"/>
            <w:gridSpan w:val="2"/>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883" w:type="pct"/>
            <w:gridSpan w:val="3"/>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690" w:type="pct"/>
            <w:gridSpan w:val="2"/>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574" w:type="pct"/>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r>
      <w:tr w:rsidR="00AE1822" w:rsidRPr="009263D7">
        <w:trPr>
          <w:trHeight w:val="285"/>
        </w:trPr>
        <w:tc>
          <w:tcPr>
            <w:tcW w:w="599" w:type="pct"/>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709" w:type="pct"/>
            <w:gridSpan w:val="2"/>
            <w:tcBorders>
              <w:top w:val="nil"/>
              <w:left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381" w:type="pct"/>
            <w:gridSpan w:val="2"/>
            <w:tcBorders>
              <w:top w:val="nil"/>
              <w:left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429" w:type="pct"/>
            <w:gridSpan w:val="2"/>
            <w:tcBorders>
              <w:top w:val="nil"/>
              <w:left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24"/>
              </w:rPr>
            </w:pPr>
          </w:p>
        </w:tc>
        <w:tc>
          <w:tcPr>
            <w:tcW w:w="735" w:type="pct"/>
            <w:gridSpan w:val="2"/>
            <w:tcBorders>
              <w:top w:val="nil"/>
              <w:left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883" w:type="pct"/>
            <w:gridSpan w:val="3"/>
            <w:tcBorders>
              <w:top w:val="nil"/>
              <w:left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690" w:type="pct"/>
            <w:gridSpan w:val="2"/>
            <w:tcBorders>
              <w:top w:val="nil"/>
              <w:left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c>
          <w:tcPr>
            <w:tcW w:w="574" w:type="pct"/>
            <w:tcBorders>
              <w:top w:val="nil"/>
              <w:left w:val="nil"/>
              <w:right w:val="nil"/>
            </w:tcBorders>
            <w:shd w:val="clear" w:color="auto" w:fill="auto"/>
            <w:noWrap/>
            <w:vAlign w:val="center"/>
          </w:tcPr>
          <w:p w:rsidR="00AE1822" w:rsidRPr="009263D7" w:rsidRDefault="00AE1822" w:rsidP="008E2D8C">
            <w:pPr>
              <w:keepNext/>
              <w:widowControl/>
              <w:spacing w:line="320" w:lineRule="exact"/>
              <w:jc w:val="center"/>
              <w:outlineLvl w:val="0"/>
              <w:rPr>
                <w:rFonts w:ascii="宋体" w:hAnsi="宋体" w:cs="宋体"/>
                <w:color w:val="000000" w:themeColor="text1"/>
                <w:kern w:val="0"/>
                <w:sz w:val="18"/>
                <w:szCs w:val="18"/>
              </w:rPr>
            </w:pPr>
          </w:p>
        </w:tc>
      </w:tr>
      <w:tr w:rsidR="00AE1822" w:rsidRPr="009263D7">
        <w:trPr>
          <w:trHeight w:val="300"/>
        </w:trPr>
        <w:tc>
          <w:tcPr>
            <w:tcW w:w="599" w:type="pct"/>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09" w:type="pct"/>
            <w:gridSpan w:val="2"/>
            <w:tcBorders>
              <w:top w:val="nil"/>
              <w:left w:val="nil"/>
              <w:bottom w:val="single" w:sz="8" w:space="0" w:color="auto"/>
              <w:right w:val="nil"/>
            </w:tcBorders>
            <w:shd w:val="clear" w:color="auto" w:fill="auto"/>
            <w:noWrap/>
            <w:vAlign w:val="center"/>
          </w:tcPr>
          <w:p w:rsidR="00AE1822" w:rsidRPr="009263D7" w:rsidRDefault="00CB4B9E" w:rsidP="008E2D8C">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81" w:type="pct"/>
            <w:gridSpan w:val="2"/>
            <w:tcBorders>
              <w:top w:val="nil"/>
              <w:left w:val="nil"/>
              <w:bottom w:val="single" w:sz="8" w:space="0" w:color="auto"/>
              <w:right w:val="nil"/>
            </w:tcBorders>
            <w:shd w:val="clear" w:color="auto" w:fill="auto"/>
            <w:noWrap/>
            <w:vAlign w:val="center"/>
          </w:tcPr>
          <w:p w:rsidR="00AE1822" w:rsidRPr="009263D7" w:rsidRDefault="00CB4B9E" w:rsidP="008E2D8C">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29" w:type="pct"/>
            <w:gridSpan w:val="2"/>
            <w:tcBorders>
              <w:top w:val="nil"/>
              <w:left w:val="nil"/>
              <w:bottom w:val="single" w:sz="8" w:space="0" w:color="auto"/>
              <w:right w:val="nil"/>
            </w:tcBorders>
            <w:shd w:val="clear" w:color="auto" w:fill="auto"/>
            <w:noWrap/>
            <w:vAlign w:val="center"/>
          </w:tcPr>
          <w:p w:rsidR="00AE1822" w:rsidRPr="009263D7" w:rsidRDefault="00CB4B9E" w:rsidP="008E2D8C">
            <w:pPr>
              <w:widowControl/>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35" w:type="pct"/>
            <w:gridSpan w:val="2"/>
            <w:tcBorders>
              <w:top w:val="nil"/>
              <w:left w:val="nil"/>
              <w:bottom w:val="single" w:sz="8" w:space="0" w:color="auto"/>
              <w:right w:val="nil"/>
            </w:tcBorders>
            <w:shd w:val="clear" w:color="auto" w:fill="auto"/>
            <w:noWrap/>
            <w:vAlign w:val="center"/>
          </w:tcPr>
          <w:p w:rsidR="00AE1822" w:rsidRPr="009263D7" w:rsidRDefault="00CB4B9E" w:rsidP="008E2D8C">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83" w:type="pct"/>
            <w:gridSpan w:val="3"/>
            <w:tcBorders>
              <w:top w:val="nil"/>
              <w:left w:val="nil"/>
              <w:bottom w:val="single" w:sz="8" w:space="0" w:color="auto"/>
              <w:right w:val="nil"/>
            </w:tcBorders>
            <w:shd w:val="clear" w:color="auto" w:fill="auto"/>
            <w:noWrap/>
            <w:vAlign w:val="center"/>
          </w:tcPr>
          <w:p w:rsidR="00AE1822" w:rsidRPr="009263D7" w:rsidRDefault="00CB4B9E" w:rsidP="008E2D8C">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90" w:type="pct"/>
            <w:gridSpan w:val="2"/>
            <w:tcBorders>
              <w:top w:val="nil"/>
              <w:left w:val="nil"/>
              <w:bottom w:val="single" w:sz="8" w:space="0" w:color="auto"/>
              <w:right w:val="nil"/>
            </w:tcBorders>
            <w:shd w:val="clear" w:color="auto" w:fill="auto"/>
            <w:noWrap/>
            <w:vAlign w:val="center"/>
          </w:tcPr>
          <w:p w:rsidR="00AE1822" w:rsidRPr="009263D7" w:rsidRDefault="00CB4B9E" w:rsidP="008E2D8C">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74" w:type="pct"/>
            <w:tcBorders>
              <w:top w:val="nil"/>
              <w:left w:val="nil"/>
              <w:bottom w:val="single" w:sz="8" w:space="0" w:color="auto"/>
              <w:right w:val="nil"/>
            </w:tcBorders>
            <w:shd w:val="clear" w:color="auto" w:fill="auto"/>
            <w:noWrap/>
            <w:vAlign w:val="center"/>
          </w:tcPr>
          <w:p w:rsidR="00AE1822" w:rsidRPr="009263D7" w:rsidRDefault="00CB4B9E" w:rsidP="008E2D8C">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AE1822" w:rsidRPr="009263D7">
        <w:trPr>
          <w:trHeight w:val="300"/>
        </w:trPr>
        <w:tc>
          <w:tcPr>
            <w:tcW w:w="599" w:type="pct"/>
            <w:tcBorders>
              <w:top w:val="single" w:sz="8" w:space="0" w:color="auto"/>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709" w:type="pct"/>
            <w:gridSpan w:val="2"/>
            <w:tcBorders>
              <w:top w:val="single" w:sz="8" w:space="0" w:color="auto"/>
              <w:left w:val="nil"/>
              <w:bottom w:val="single" w:sz="8" w:space="0" w:color="auto"/>
              <w:right w:val="nil"/>
            </w:tcBorders>
            <w:shd w:val="clear" w:color="auto" w:fill="auto"/>
            <w:noWrap/>
            <w:vAlign w:val="center"/>
          </w:tcPr>
          <w:p w:rsidR="00AE1822" w:rsidRPr="009263D7" w:rsidRDefault="00AE1822" w:rsidP="008E2D8C">
            <w:pPr>
              <w:widowControl/>
              <w:rPr>
                <w:rFonts w:ascii="宋体" w:hAnsi="宋体" w:cs="宋体"/>
                <w:color w:val="000000" w:themeColor="text1"/>
                <w:kern w:val="0"/>
                <w:sz w:val="24"/>
              </w:rPr>
            </w:pPr>
          </w:p>
        </w:tc>
        <w:tc>
          <w:tcPr>
            <w:tcW w:w="381" w:type="pct"/>
            <w:gridSpan w:val="2"/>
            <w:tcBorders>
              <w:top w:val="single" w:sz="8" w:space="0" w:color="auto"/>
              <w:left w:val="nil"/>
              <w:bottom w:val="single" w:sz="8" w:space="0" w:color="auto"/>
              <w:right w:val="nil"/>
            </w:tcBorders>
            <w:shd w:val="clear" w:color="auto" w:fill="auto"/>
            <w:noWrap/>
            <w:vAlign w:val="center"/>
          </w:tcPr>
          <w:p w:rsidR="00AE1822" w:rsidRPr="009263D7" w:rsidRDefault="00AE1822" w:rsidP="008E2D8C">
            <w:pPr>
              <w:widowControl/>
              <w:rPr>
                <w:rFonts w:ascii="宋体" w:hAnsi="宋体" w:cs="宋体"/>
                <w:color w:val="000000" w:themeColor="text1"/>
                <w:kern w:val="0"/>
                <w:sz w:val="24"/>
              </w:rPr>
            </w:pPr>
          </w:p>
        </w:tc>
        <w:tc>
          <w:tcPr>
            <w:tcW w:w="429" w:type="pct"/>
            <w:gridSpan w:val="2"/>
            <w:tcBorders>
              <w:top w:val="single" w:sz="8" w:space="0" w:color="auto"/>
              <w:left w:val="nil"/>
              <w:bottom w:val="single" w:sz="8" w:space="0" w:color="auto"/>
              <w:right w:val="nil"/>
            </w:tcBorders>
            <w:shd w:val="clear" w:color="auto" w:fill="auto"/>
            <w:noWrap/>
            <w:vAlign w:val="center"/>
          </w:tcPr>
          <w:p w:rsidR="00AE1822" w:rsidRPr="009263D7" w:rsidRDefault="00AE1822" w:rsidP="008E2D8C">
            <w:pPr>
              <w:widowControl/>
              <w:rPr>
                <w:rFonts w:ascii="宋体" w:hAnsi="宋体" w:cs="宋体"/>
                <w:color w:val="000000" w:themeColor="text1"/>
                <w:kern w:val="0"/>
                <w:sz w:val="24"/>
              </w:rPr>
            </w:pPr>
          </w:p>
        </w:tc>
        <w:tc>
          <w:tcPr>
            <w:tcW w:w="735" w:type="pct"/>
            <w:gridSpan w:val="2"/>
            <w:tcBorders>
              <w:top w:val="single" w:sz="8" w:space="0" w:color="auto"/>
              <w:left w:val="nil"/>
              <w:bottom w:val="single" w:sz="8" w:space="0" w:color="auto"/>
              <w:right w:val="nil"/>
            </w:tcBorders>
            <w:shd w:val="clear" w:color="auto" w:fill="auto"/>
            <w:noWrap/>
            <w:vAlign w:val="center"/>
          </w:tcPr>
          <w:p w:rsidR="00AE1822" w:rsidRPr="009263D7" w:rsidRDefault="00AE1822" w:rsidP="008E2D8C">
            <w:pPr>
              <w:widowControl/>
              <w:rPr>
                <w:rFonts w:ascii="宋体" w:hAnsi="宋体" w:cs="宋体"/>
                <w:color w:val="000000" w:themeColor="text1"/>
                <w:kern w:val="0"/>
                <w:sz w:val="24"/>
              </w:rPr>
            </w:pPr>
          </w:p>
        </w:tc>
        <w:tc>
          <w:tcPr>
            <w:tcW w:w="883" w:type="pct"/>
            <w:gridSpan w:val="3"/>
            <w:tcBorders>
              <w:top w:val="single" w:sz="8" w:space="0" w:color="auto"/>
              <w:left w:val="nil"/>
              <w:bottom w:val="single" w:sz="8" w:space="0" w:color="auto"/>
              <w:right w:val="nil"/>
            </w:tcBorders>
            <w:shd w:val="clear" w:color="auto" w:fill="auto"/>
            <w:noWrap/>
            <w:vAlign w:val="center"/>
          </w:tcPr>
          <w:p w:rsidR="00AE1822" w:rsidRPr="009263D7" w:rsidRDefault="00AE1822" w:rsidP="008E2D8C">
            <w:pPr>
              <w:widowControl/>
              <w:rPr>
                <w:rFonts w:ascii="宋体" w:hAnsi="宋体" w:cs="宋体"/>
                <w:color w:val="000000" w:themeColor="text1"/>
                <w:kern w:val="0"/>
                <w:sz w:val="24"/>
              </w:rPr>
            </w:pPr>
          </w:p>
        </w:tc>
        <w:tc>
          <w:tcPr>
            <w:tcW w:w="690" w:type="pct"/>
            <w:gridSpan w:val="2"/>
            <w:tcBorders>
              <w:top w:val="single" w:sz="8" w:space="0" w:color="auto"/>
              <w:left w:val="nil"/>
              <w:bottom w:val="single" w:sz="8" w:space="0" w:color="auto"/>
              <w:right w:val="nil"/>
            </w:tcBorders>
            <w:shd w:val="clear" w:color="auto" w:fill="auto"/>
            <w:noWrap/>
            <w:vAlign w:val="center"/>
          </w:tcPr>
          <w:p w:rsidR="00AE1822" w:rsidRPr="009263D7" w:rsidRDefault="00AE1822" w:rsidP="008E2D8C">
            <w:pPr>
              <w:widowControl/>
              <w:rPr>
                <w:rFonts w:ascii="宋体" w:hAnsi="宋体" w:cs="宋体"/>
                <w:color w:val="000000" w:themeColor="text1"/>
                <w:kern w:val="0"/>
                <w:sz w:val="24"/>
              </w:rPr>
            </w:pPr>
          </w:p>
        </w:tc>
        <w:tc>
          <w:tcPr>
            <w:tcW w:w="574" w:type="pct"/>
            <w:tcBorders>
              <w:top w:val="single" w:sz="8" w:space="0" w:color="auto"/>
              <w:left w:val="nil"/>
              <w:bottom w:val="single" w:sz="8" w:space="0" w:color="auto"/>
              <w:right w:val="nil"/>
            </w:tcBorders>
            <w:shd w:val="clear" w:color="auto" w:fill="auto"/>
            <w:noWrap/>
            <w:vAlign w:val="center"/>
          </w:tcPr>
          <w:p w:rsidR="00AE1822" w:rsidRPr="009263D7" w:rsidRDefault="00AE1822" w:rsidP="008E2D8C">
            <w:pPr>
              <w:widowControl/>
              <w:rPr>
                <w:rFonts w:ascii="宋体" w:hAnsi="宋体" w:cs="宋体"/>
                <w:color w:val="000000" w:themeColor="text1"/>
                <w:kern w:val="0"/>
                <w:sz w:val="24"/>
              </w:rPr>
            </w:pPr>
          </w:p>
        </w:tc>
      </w:tr>
      <w:tr w:rsidR="00AE1822" w:rsidRPr="009263D7">
        <w:trPr>
          <w:trHeight w:val="285"/>
        </w:trPr>
        <w:tc>
          <w:tcPr>
            <w:tcW w:w="5000" w:type="pct"/>
            <w:gridSpan w:val="15"/>
            <w:tcBorders>
              <w:top w:val="single" w:sz="8" w:space="0" w:color="auto"/>
              <w:left w:val="nil"/>
              <w:bottom w:val="single" w:sz="2" w:space="0" w:color="auto"/>
              <w:right w:val="nil"/>
            </w:tcBorders>
            <w:shd w:val="clear" w:color="auto" w:fill="auto"/>
            <w:vAlign w:val="center"/>
          </w:tcPr>
          <w:p w:rsidR="00AE1822"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按证券的原始币种</w:t>
            </w:r>
          </w:p>
        </w:tc>
      </w:tr>
      <w:tr w:rsidR="00D23E13" w:rsidRPr="009263D7">
        <w:trPr>
          <w:trHeight w:val="285"/>
        </w:trPr>
        <w:tc>
          <w:tcPr>
            <w:tcW w:w="599" w:type="pct"/>
            <w:vMerge w:val="restart"/>
            <w:tcBorders>
              <w:top w:val="single" w:sz="2" w:space="0" w:color="auto"/>
              <w:left w:val="nil"/>
              <w:right w:val="single" w:sz="2" w:space="0" w:color="auto"/>
            </w:tcBorders>
            <w:shd w:val="clear" w:color="auto" w:fill="auto"/>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r w:rsidRPr="00CB4B9E">
              <w:rPr>
                <w:rFonts w:ascii="宋体" w:hAnsi="宋体" w:cs="宋体"/>
                <w:color w:val="000000" w:themeColor="text1"/>
                <w:kern w:val="0"/>
                <w:sz w:val="18"/>
                <w:szCs w:val="18"/>
              </w:rPr>
              <w:t xml:space="preserve">               </w:t>
            </w:r>
          </w:p>
        </w:tc>
        <w:tc>
          <w:tcPr>
            <w:tcW w:w="411" w:type="pct"/>
            <w:vMerge w:val="restart"/>
            <w:tcBorders>
              <w:top w:val="single" w:sz="2" w:space="0" w:color="auto"/>
              <w:left w:val="single" w:sz="2" w:space="0" w:color="auto"/>
              <w:right w:val="single" w:sz="2" w:space="0" w:color="auto"/>
            </w:tcBorders>
            <w:shd w:val="clear" w:color="auto" w:fill="auto"/>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上月末市值</w:t>
            </w:r>
          </w:p>
        </w:tc>
        <w:tc>
          <w:tcPr>
            <w:tcW w:w="516" w:type="pct"/>
            <w:gridSpan w:val="2"/>
            <w:vMerge w:val="restart"/>
            <w:tcBorders>
              <w:top w:val="single" w:sz="2" w:space="0" w:color="auto"/>
              <w:left w:val="single" w:sz="2" w:space="0" w:color="auto"/>
              <w:right w:val="single" w:sz="2" w:space="0" w:color="auto"/>
            </w:tcBorders>
            <w:shd w:val="clear" w:color="auto" w:fill="auto"/>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本月发行金额</w:t>
            </w:r>
          </w:p>
        </w:tc>
        <w:tc>
          <w:tcPr>
            <w:tcW w:w="517" w:type="pct"/>
            <w:gridSpan w:val="2"/>
            <w:vMerge w:val="restart"/>
            <w:tcBorders>
              <w:top w:val="single" w:sz="2" w:space="0" w:color="auto"/>
              <w:left w:val="single" w:sz="2" w:space="0" w:color="auto"/>
              <w:right w:val="single" w:sz="2" w:space="0" w:color="auto"/>
            </w:tcBorders>
            <w:shd w:val="clear" w:color="auto" w:fill="auto"/>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本月赎回金额</w:t>
            </w:r>
          </w:p>
        </w:tc>
        <w:tc>
          <w:tcPr>
            <w:tcW w:w="1546" w:type="pct"/>
            <w:gridSpan w:val="5"/>
            <w:tcBorders>
              <w:top w:val="single" w:sz="2" w:space="0" w:color="auto"/>
              <w:left w:val="single" w:sz="2" w:space="0" w:color="auto"/>
              <w:right w:val="single" w:sz="2" w:space="0" w:color="auto"/>
            </w:tcBorders>
            <w:shd w:val="clear" w:color="auto" w:fill="auto"/>
            <w:vAlign w:val="center"/>
          </w:tcPr>
          <w:p w:rsidR="002B4217" w:rsidRPr="009263D7" w:rsidRDefault="00CB4B9E" w:rsidP="004519B9">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837" w:type="pct"/>
            <w:gridSpan w:val="3"/>
            <w:tcBorders>
              <w:top w:val="single" w:sz="2" w:space="0" w:color="auto"/>
              <w:left w:val="single" w:sz="2" w:space="0" w:color="auto"/>
              <w:right w:val="single" w:sz="2" w:space="0" w:color="auto"/>
            </w:tcBorders>
            <w:shd w:val="clear" w:color="auto" w:fill="auto"/>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本月末市值</w:t>
            </w:r>
          </w:p>
        </w:tc>
        <w:tc>
          <w:tcPr>
            <w:tcW w:w="574" w:type="pct"/>
            <w:vMerge w:val="restart"/>
            <w:tcBorders>
              <w:top w:val="single" w:sz="2" w:space="0" w:color="auto"/>
              <w:left w:val="single" w:sz="2" w:space="0" w:color="auto"/>
              <w:right w:val="nil"/>
            </w:tcBorders>
            <w:shd w:val="clear" w:color="auto" w:fill="auto"/>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w:t>
            </w:r>
          </w:p>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利息支出</w:t>
            </w:r>
          </w:p>
        </w:tc>
      </w:tr>
      <w:tr w:rsidR="004519B9" w:rsidRPr="009263D7">
        <w:trPr>
          <w:trHeight w:val="1253"/>
        </w:trPr>
        <w:tc>
          <w:tcPr>
            <w:tcW w:w="599" w:type="pct"/>
            <w:vMerge/>
            <w:tcBorders>
              <w:left w:val="nil"/>
              <w:right w:val="single" w:sz="2" w:space="0" w:color="auto"/>
            </w:tcBorders>
            <w:vAlign w:val="center"/>
          </w:tcPr>
          <w:p w:rsidR="004519B9" w:rsidRPr="009263D7" w:rsidRDefault="004519B9" w:rsidP="008E2D8C">
            <w:pPr>
              <w:keepNext/>
              <w:widowControl/>
              <w:spacing w:line="320" w:lineRule="exact"/>
              <w:jc w:val="left"/>
              <w:outlineLvl w:val="0"/>
              <w:rPr>
                <w:rFonts w:ascii="宋体" w:hAnsi="宋体" w:cs="宋体"/>
                <w:color w:val="000000" w:themeColor="text1"/>
                <w:kern w:val="0"/>
                <w:sz w:val="18"/>
                <w:szCs w:val="18"/>
              </w:rPr>
            </w:pPr>
          </w:p>
        </w:tc>
        <w:tc>
          <w:tcPr>
            <w:tcW w:w="411" w:type="pct"/>
            <w:vMerge/>
            <w:tcBorders>
              <w:left w:val="single" w:sz="2" w:space="0" w:color="auto"/>
              <w:right w:val="single" w:sz="2" w:space="0" w:color="auto"/>
            </w:tcBorders>
            <w:vAlign w:val="center"/>
          </w:tcPr>
          <w:p w:rsidR="004519B9" w:rsidRPr="009263D7" w:rsidRDefault="004519B9" w:rsidP="008E2D8C">
            <w:pPr>
              <w:keepNext/>
              <w:widowControl/>
              <w:spacing w:line="320" w:lineRule="exact"/>
              <w:jc w:val="left"/>
              <w:outlineLvl w:val="0"/>
              <w:rPr>
                <w:rFonts w:ascii="宋体" w:hAnsi="宋体" w:cs="宋体"/>
                <w:color w:val="000000" w:themeColor="text1"/>
                <w:kern w:val="0"/>
                <w:sz w:val="18"/>
                <w:szCs w:val="18"/>
              </w:rPr>
            </w:pPr>
          </w:p>
        </w:tc>
        <w:tc>
          <w:tcPr>
            <w:tcW w:w="516" w:type="pct"/>
            <w:gridSpan w:val="2"/>
            <w:vMerge/>
            <w:tcBorders>
              <w:left w:val="single" w:sz="2" w:space="0" w:color="auto"/>
              <w:right w:val="single" w:sz="2" w:space="0" w:color="auto"/>
            </w:tcBorders>
            <w:vAlign w:val="center"/>
          </w:tcPr>
          <w:p w:rsidR="004519B9" w:rsidRPr="009263D7" w:rsidRDefault="004519B9" w:rsidP="008E2D8C">
            <w:pPr>
              <w:keepNext/>
              <w:widowControl/>
              <w:spacing w:line="320" w:lineRule="exact"/>
              <w:jc w:val="left"/>
              <w:outlineLvl w:val="0"/>
              <w:rPr>
                <w:rFonts w:ascii="宋体" w:hAnsi="宋体" w:cs="宋体"/>
                <w:color w:val="000000" w:themeColor="text1"/>
                <w:kern w:val="0"/>
                <w:sz w:val="18"/>
                <w:szCs w:val="18"/>
              </w:rPr>
            </w:pPr>
          </w:p>
        </w:tc>
        <w:tc>
          <w:tcPr>
            <w:tcW w:w="517" w:type="pct"/>
            <w:gridSpan w:val="2"/>
            <w:vMerge/>
            <w:tcBorders>
              <w:left w:val="single" w:sz="2" w:space="0" w:color="auto"/>
              <w:right w:val="single" w:sz="2" w:space="0" w:color="auto"/>
            </w:tcBorders>
            <w:vAlign w:val="center"/>
          </w:tcPr>
          <w:p w:rsidR="004519B9" w:rsidRPr="009263D7" w:rsidRDefault="004519B9" w:rsidP="008E2D8C">
            <w:pPr>
              <w:keepNext/>
              <w:widowControl/>
              <w:spacing w:line="320" w:lineRule="exact"/>
              <w:jc w:val="left"/>
              <w:outlineLvl w:val="0"/>
              <w:rPr>
                <w:rFonts w:ascii="宋体" w:hAnsi="宋体" w:cs="宋体"/>
                <w:color w:val="000000" w:themeColor="text1"/>
                <w:kern w:val="0"/>
                <w:sz w:val="18"/>
                <w:szCs w:val="18"/>
              </w:rPr>
            </w:pPr>
          </w:p>
        </w:tc>
        <w:tc>
          <w:tcPr>
            <w:tcW w:w="442" w:type="pct"/>
            <w:gridSpan w:val="2"/>
            <w:tcBorders>
              <w:left w:val="single" w:sz="2" w:space="0" w:color="auto"/>
              <w:right w:val="single" w:sz="2" w:space="0" w:color="auto"/>
            </w:tcBorders>
            <w:shd w:val="clear" w:color="auto" w:fill="auto"/>
            <w:vAlign w:val="center"/>
          </w:tcPr>
          <w:p w:rsidR="004519B9" w:rsidRPr="009263D7" w:rsidRDefault="004519B9" w:rsidP="008E2D8C">
            <w:pPr>
              <w:keepNext/>
              <w:widowControl/>
              <w:spacing w:line="320" w:lineRule="exact"/>
              <w:jc w:val="center"/>
              <w:outlineLvl w:val="0"/>
              <w:rPr>
                <w:rFonts w:ascii="宋体" w:hAnsi="宋体" w:cs="宋体"/>
                <w:color w:val="000000" w:themeColor="text1"/>
                <w:kern w:val="0"/>
                <w:sz w:val="18"/>
                <w:szCs w:val="18"/>
              </w:rPr>
            </w:pPr>
          </w:p>
        </w:tc>
        <w:tc>
          <w:tcPr>
            <w:tcW w:w="664" w:type="pct"/>
            <w:gridSpan w:val="2"/>
            <w:tcBorders>
              <w:top w:val="single" w:sz="2" w:space="0" w:color="auto"/>
              <w:left w:val="single" w:sz="2" w:space="0" w:color="auto"/>
              <w:right w:val="single" w:sz="2" w:space="0" w:color="auto"/>
            </w:tcBorders>
            <w:shd w:val="clear" w:color="auto" w:fill="auto"/>
            <w:noWrap/>
            <w:vAlign w:val="center"/>
          </w:tcPr>
          <w:p w:rsidR="004519B9" w:rsidRPr="009263D7" w:rsidRDefault="00CB4B9E" w:rsidP="0034322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重新分类至其他报表统计的金额</w:t>
            </w:r>
          </w:p>
        </w:tc>
        <w:tc>
          <w:tcPr>
            <w:tcW w:w="440" w:type="pct"/>
            <w:tcBorders>
              <w:top w:val="single" w:sz="2" w:space="0" w:color="auto"/>
              <w:left w:val="single" w:sz="2" w:space="0" w:color="auto"/>
              <w:right w:val="single" w:sz="2" w:space="0" w:color="auto"/>
            </w:tcBorders>
            <w:shd w:val="clear" w:color="auto" w:fill="auto"/>
            <w:noWrap/>
            <w:vAlign w:val="center"/>
          </w:tcPr>
          <w:p w:rsidR="004519B9" w:rsidRPr="009263D7" w:rsidRDefault="00CB4B9E" w:rsidP="00F2779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价值重估因素</w:t>
            </w:r>
          </w:p>
        </w:tc>
        <w:tc>
          <w:tcPr>
            <w:tcW w:w="369" w:type="pct"/>
            <w:gridSpan w:val="2"/>
            <w:tcBorders>
              <w:left w:val="single" w:sz="2" w:space="0" w:color="auto"/>
              <w:right w:val="single" w:sz="2" w:space="0" w:color="auto"/>
            </w:tcBorders>
            <w:vAlign w:val="center"/>
          </w:tcPr>
          <w:p w:rsidR="004519B9" w:rsidRPr="009263D7" w:rsidRDefault="004519B9" w:rsidP="00112AB3">
            <w:pPr>
              <w:keepNext/>
              <w:spacing w:line="320" w:lineRule="exact"/>
              <w:jc w:val="center"/>
              <w:outlineLvl w:val="0"/>
              <w:rPr>
                <w:rFonts w:ascii="宋体" w:hAnsi="宋体" w:cs="宋体"/>
                <w:color w:val="000000" w:themeColor="text1"/>
                <w:kern w:val="0"/>
                <w:sz w:val="18"/>
                <w:szCs w:val="18"/>
              </w:rPr>
            </w:pPr>
          </w:p>
        </w:tc>
        <w:tc>
          <w:tcPr>
            <w:tcW w:w="468" w:type="pct"/>
            <w:tcBorders>
              <w:top w:val="single" w:sz="2" w:space="0" w:color="auto"/>
              <w:left w:val="single" w:sz="2" w:space="0" w:color="auto"/>
              <w:right w:val="single" w:sz="2" w:space="0" w:color="auto"/>
            </w:tcBorders>
            <w:vAlign w:val="center"/>
          </w:tcPr>
          <w:p w:rsidR="004519B9" w:rsidRPr="009263D7" w:rsidRDefault="00CB4B9E" w:rsidP="008306D7">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574" w:type="pct"/>
            <w:vMerge/>
            <w:tcBorders>
              <w:left w:val="single" w:sz="2" w:space="0" w:color="auto"/>
              <w:right w:val="nil"/>
            </w:tcBorders>
            <w:vAlign w:val="center"/>
          </w:tcPr>
          <w:p w:rsidR="004519B9" w:rsidRPr="009263D7" w:rsidRDefault="004519B9" w:rsidP="008E2D8C">
            <w:pPr>
              <w:keepNext/>
              <w:widowControl/>
              <w:spacing w:line="320" w:lineRule="exact"/>
              <w:jc w:val="left"/>
              <w:outlineLvl w:val="0"/>
              <w:rPr>
                <w:rFonts w:ascii="宋体" w:hAnsi="宋体" w:cs="宋体"/>
                <w:color w:val="000000" w:themeColor="text1"/>
                <w:kern w:val="0"/>
                <w:sz w:val="18"/>
                <w:szCs w:val="18"/>
              </w:rPr>
            </w:pPr>
          </w:p>
        </w:tc>
      </w:tr>
      <w:tr w:rsidR="00D23E13" w:rsidRPr="009263D7">
        <w:trPr>
          <w:trHeight w:val="285"/>
        </w:trPr>
        <w:tc>
          <w:tcPr>
            <w:tcW w:w="599" w:type="pct"/>
            <w:tcBorders>
              <w:top w:val="nil"/>
              <w:left w:val="nil"/>
              <w:bottom w:val="single" w:sz="4" w:space="0" w:color="auto"/>
              <w:right w:val="single" w:sz="2" w:space="0" w:color="auto"/>
            </w:tcBorders>
            <w:shd w:val="clear" w:color="auto" w:fill="auto"/>
            <w:noWrap/>
            <w:vAlign w:val="center"/>
          </w:tcPr>
          <w:p w:rsidR="00D23E13"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B0508</w:t>
            </w:r>
          </w:p>
        </w:tc>
        <w:tc>
          <w:tcPr>
            <w:tcW w:w="411" w:type="pct"/>
            <w:tcBorders>
              <w:top w:val="nil"/>
              <w:left w:val="single" w:sz="2" w:space="0" w:color="auto"/>
              <w:bottom w:val="single" w:sz="4" w:space="0" w:color="auto"/>
              <w:right w:val="single" w:sz="2" w:space="0" w:color="auto"/>
            </w:tcBorders>
            <w:shd w:val="clear" w:color="auto" w:fill="auto"/>
            <w:noWrap/>
            <w:vAlign w:val="center"/>
          </w:tcPr>
          <w:p w:rsidR="00D23E13"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B0509</w:t>
            </w:r>
          </w:p>
        </w:tc>
        <w:tc>
          <w:tcPr>
            <w:tcW w:w="516" w:type="pct"/>
            <w:gridSpan w:val="2"/>
            <w:tcBorders>
              <w:top w:val="nil"/>
              <w:left w:val="single" w:sz="2" w:space="0" w:color="auto"/>
              <w:bottom w:val="single" w:sz="4" w:space="0" w:color="auto"/>
              <w:right w:val="single" w:sz="2" w:space="0" w:color="auto"/>
            </w:tcBorders>
            <w:shd w:val="clear" w:color="auto" w:fill="auto"/>
            <w:noWrap/>
            <w:vAlign w:val="center"/>
          </w:tcPr>
          <w:p w:rsidR="00D23E13" w:rsidRPr="009263D7" w:rsidRDefault="00CB4B9E" w:rsidP="002C42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B0510</w:t>
            </w:r>
          </w:p>
        </w:tc>
        <w:tc>
          <w:tcPr>
            <w:tcW w:w="517" w:type="pct"/>
            <w:gridSpan w:val="2"/>
            <w:tcBorders>
              <w:top w:val="nil"/>
              <w:left w:val="single" w:sz="2" w:space="0" w:color="auto"/>
              <w:bottom w:val="single" w:sz="4" w:space="0" w:color="auto"/>
              <w:right w:val="single" w:sz="2" w:space="0" w:color="auto"/>
            </w:tcBorders>
            <w:shd w:val="clear" w:color="auto" w:fill="auto"/>
            <w:vAlign w:val="center"/>
          </w:tcPr>
          <w:p w:rsidR="00D23E13"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B0511</w:t>
            </w:r>
          </w:p>
        </w:tc>
        <w:tc>
          <w:tcPr>
            <w:tcW w:w="442" w:type="pct"/>
            <w:gridSpan w:val="2"/>
            <w:tcBorders>
              <w:top w:val="nil"/>
              <w:left w:val="single" w:sz="2" w:space="0" w:color="auto"/>
              <w:bottom w:val="single" w:sz="4" w:space="0" w:color="auto"/>
              <w:right w:val="single" w:sz="2" w:space="0" w:color="auto"/>
            </w:tcBorders>
            <w:shd w:val="clear" w:color="auto" w:fill="auto"/>
            <w:noWrap/>
            <w:vAlign w:val="center"/>
          </w:tcPr>
          <w:p w:rsidR="00D23E13"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B0512</w:t>
            </w:r>
          </w:p>
        </w:tc>
        <w:tc>
          <w:tcPr>
            <w:tcW w:w="664" w:type="pct"/>
            <w:gridSpan w:val="2"/>
            <w:tcBorders>
              <w:top w:val="nil"/>
              <w:left w:val="single" w:sz="2" w:space="0" w:color="auto"/>
              <w:bottom w:val="single" w:sz="4" w:space="0" w:color="auto"/>
              <w:right w:val="single" w:sz="2" w:space="0" w:color="auto"/>
            </w:tcBorders>
            <w:shd w:val="clear" w:color="auto" w:fill="auto"/>
            <w:noWrap/>
            <w:vAlign w:val="center"/>
          </w:tcPr>
          <w:p w:rsidR="00D23E13"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B0513</w:t>
            </w:r>
          </w:p>
        </w:tc>
        <w:tc>
          <w:tcPr>
            <w:tcW w:w="440" w:type="pct"/>
            <w:tcBorders>
              <w:top w:val="nil"/>
              <w:left w:val="single" w:sz="2" w:space="0" w:color="auto"/>
              <w:bottom w:val="single" w:sz="4" w:space="0" w:color="auto"/>
              <w:right w:val="single" w:sz="2" w:space="0" w:color="auto"/>
            </w:tcBorders>
            <w:shd w:val="clear" w:color="auto" w:fill="auto"/>
            <w:noWrap/>
            <w:vAlign w:val="center"/>
          </w:tcPr>
          <w:p w:rsidR="00D23E13"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B0514</w:t>
            </w:r>
          </w:p>
        </w:tc>
        <w:tc>
          <w:tcPr>
            <w:tcW w:w="369" w:type="pct"/>
            <w:gridSpan w:val="2"/>
            <w:tcBorders>
              <w:top w:val="nil"/>
              <w:left w:val="single" w:sz="2" w:space="0" w:color="auto"/>
              <w:bottom w:val="single" w:sz="4" w:space="0" w:color="auto"/>
              <w:right w:val="single" w:sz="4" w:space="0" w:color="auto"/>
            </w:tcBorders>
            <w:shd w:val="clear" w:color="auto" w:fill="auto"/>
            <w:noWrap/>
            <w:vAlign w:val="center"/>
          </w:tcPr>
          <w:p w:rsidR="00D23E13"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B0515</w:t>
            </w:r>
          </w:p>
        </w:tc>
        <w:tc>
          <w:tcPr>
            <w:tcW w:w="468" w:type="pct"/>
            <w:tcBorders>
              <w:top w:val="nil"/>
              <w:left w:val="single" w:sz="4" w:space="0" w:color="auto"/>
              <w:bottom w:val="single" w:sz="4" w:space="0" w:color="auto"/>
              <w:right w:val="single" w:sz="2" w:space="0" w:color="auto"/>
            </w:tcBorders>
            <w:shd w:val="clear" w:color="auto" w:fill="auto"/>
            <w:vAlign w:val="center"/>
          </w:tcPr>
          <w:p w:rsidR="00D23E13" w:rsidRPr="009263D7" w:rsidRDefault="00CB4B9E" w:rsidP="008306D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B0516</w:t>
            </w:r>
          </w:p>
        </w:tc>
        <w:tc>
          <w:tcPr>
            <w:tcW w:w="574" w:type="pct"/>
            <w:tcBorders>
              <w:top w:val="nil"/>
              <w:left w:val="single" w:sz="2" w:space="0" w:color="auto"/>
              <w:bottom w:val="single" w:sz="4" w:space="0" w:color="auto"/>
              <w:right w:val="nil"/>
            </w:tcBorders>
            <w:shd w:val="clear" w:color="auto" w:fill="auto"/>
            <w:noWrap/>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B0517</w:t>
            </w:r>
          </w:p>
        </w:tc>
      </w:tr>
      <w:tr w:rsidR="00D23E13" w:rsidRPr="009263D7">
        <w:trPr>
          <w:trHeight w:val="285"/>
        </w:trPr>
        <w:tc>
          <w:tcPr>
            <w:tcW w:w="599" w:type="pct"/>
            <w:tcBorders>
              <w:top w:val="single" w:sz="4" w:space="0" w:color="auto"/>
              <w:left w:val="nil"/>
              <w:bottom w:val="single" w:sz="2" w:space="0" w:color="auto"/>
              <w:right w:val="single" w:sz="2" w:space="0" w:color="auto"/>
            </w:tcBorders>
            <w:shd w:val="clear" w:color="auto" w:fill="auto"/>
            <w:noWrap/>
            <w:vAlign w:val="center"/>
          </w:tcPr>
          <w:p w:rsidR="00D23E13" w:rsidRPr="009263D7" w:rsidRDefault="00CB4B9E" w:rsidP="00D23E1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c>
          <w:tcPr>
            <w:tcW w:w="411" w:type="pct"/>
            <w:tcBorders>
              <w:top w:val="single" w:sz="4" w:space="0" w:color="auto"/>
              <w:left w:val="single" w:sz="2" w:space="0" w:color="auto"/>
              <w:bottom w:val="single" w:sz="2" w:space="0" w:color="auto"/>
              <w:right w:val="single" w:sz="2" w:space="0" w:color="auto"/>
            </w:tcBorders>
            <w:shd w:val="clear" w:color="auto" w:fill="auto"/>
            <w:noWrap/>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516" w:type="pct"/>
            <w:gridSpan w:val="2"/>
            <w:tcBorders>
              <w:top w:val="single" w:sz="4" w:space="0" w:color="auto"/>
              <w:left w:val="single" w:sz="2" w:space="0" w:color="auto"/>
              <w:bottom w:val="single" w:sz="2" w:space="0" w:color="auto"/>
              <w:right w:val="single" w:sz="2" w:space="0" w:color="auto"/>
            </w:tcBorders>
            <w:shd w:val="clear" w:color="auto" w:fill="auto"/>
            <w:noWrap/>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517" w:type="pct"/>
            <w:gridSpan w:val="2"/>
            <w:tcBorders>
              <w:top w:val="single" w:sz="4" w:space="0" w:color="auto"/>
              <w:left w:val="single" w:sz="2" w:space="0" w:color="auto"/>
              <w:bottom w:val="single" w:sz="2" w:space="0" w:color="auto"/>
              <w:right w:val="single" w:sz="2" w:space="0" w:color="auto"/>
            </w:tcBorders>
            <w:shd w:val="clear" w:color="auto" w:fill="auto"/>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442" w:type="pct"/>
            <w:gridSpan w:val="2"/>
            <w:tcBorders>
              <w:top w:val="single" w:sz="4" w:space="0" w:color="auto"/>
              <w:left w:val="single" w:sz="2" w:space="0" w:color="auto"/>
              <w:bottom w:val="single" w:sz="2" w:space="0" w:color="auto"/>
              <w:right w:val="single" w:sz="2" w:space="0" w:color="auto"/>
            </w:tcBorders>
            <w:shd w:val="clear" w:color="auto" w:fill="auto"/>
            <w:noWrap/>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664" w:type="pct"/>
            <w:gridSpan w:val="2"/>
            <w:tcBorders>
              <w:top w:val="single" w:sz="4" w:space="0" w:color="auto"/>
              <w:left w:val="single" w:sz="2" w:space="0" w:color="auto"/>
              <w:bottom w:val="single" w:sz="2" w:space="0" w:color="auto"/>
              <w:right w:val="single" w:sz="2" w:space="0" w:color="auto"/>
            </w:tcBorders>
            <w:shd w:val="clear" w:color="auto" w:fill="auto"/>
            <w:noWrap/>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440" w:type="pct"/>
            <w:tcBorders>
              <w:top w:val="single" w:sz="4" w:space="0" w:color="auto"/>
              <w:left w:val="single" w:sz="2" w:space="0" w:color="auto"/>
              <w:bottom w:val="single" w:sz="2" w:space="0" w:color="auto"/>
              <w:right w:val="single" w:sz="2" w:space="0" w:color="auto"/>
            </w:tcBorders>
            <w:shd w:val="clear" w:color="auto" w:fill="auto"/>
            <w:noWrap/>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369" w:type="pct"/>
            <w:gridSpan w:val="2"/>
            <w:tcBorders>
              <w:top w:val="single" w:sz="4" w:space="0" w:color="auto"/>
              <w:left w:val="single" w:sz="2" w:space="0" w:color="auto"/>
              <w:bottom w:val="single" w:sz="2" w:space="0" w:color="auto"/>
              <w:right w:val="single" w:sz="4" w:space="0" w:color="auto"/>
            </w:tcBorders>
            <w:shd w:val="clear" w:color="auto" w:fill="auto"/>
            <w:noWrap/>
            <w:vAlign w:val="center"/>
          </w:tcPr>
          <w:p w:rsidR="00D23E13" w:rsidRPr="009263D7" w:rsidRDefault="00CB4B9E" w:rsidP="00D23E1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468" w:type="pct"/>
            <w:tcBorders>
              <w:top w:val="single" w:sz="4" w:space="0" w:color="auto"/>
              <w:left w:val="single" w:sz="4" w:space="0" w:color="auto"/>
              <w:bottom w:val="single" w:sz="2" w:space="0" w:color="auto"/>
              <w:right w:val="single" w:sz="2" w:space="0" w:color="auto"/>
            </w:tcBorders>
            <w:shd w:val="clear" w:color="auto" w:fill="auto"/>
            <w:vAlign w:val="center"/>
          </w:tcPr>
          <w:p w:rsidR="00D23E13" w:rsidRPr="009263D7" w:rsidRDefault="00CB4B9E" w:rsidP="008E2D8C">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574" w:type="pct"/>
            <w:tcBorders>
              <w:top w:val="single" w:sz="4" w:space="0" w:color="auto"/>
              <w:left w:val="single" w:sz="2" w:space="0" w:color="auto"/>
              <w:bottom w:val="single" w:sz="2" w:space="0" w:color="auto"/>
              <w:right w:val="nil"/>
            </w:tcBorders>
            <w:shd w:val="clear" w:color="auto" w:fill="auto"/>
            <w:noWrap/>
            <w:vAlign w:val="center"/>
          </w:tcPr>
          <w:p w:rsidR="00D23E1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r>
      <w:tr w:rsidR="00D23E13" w:rsidRPr="009263D7">
        <w:trPr>
          <w:trHeight w:val="285"/>
        </w:trPr>
        <w:tc>
          <w:tcPr>
            <w:tcW w:w="599" w:type="pct"/>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411" w:type="pct"/>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1033" w:type="pct"/>
            <w:gridSpan w:val="4"/>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442" w:type="pct"/>
            <w:gridSpan w:val="2"/>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664" w:type="pct"/>
            <w:gridSpan w:val="2"/>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440" w:type="pct"/>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837" w:type="pct"/>
            <w:gridSpan w:val="3"/>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574" w:type="pct"/>
            <w:tcBorders>
              <w:top w:val="single" w:sz="2" w:space="0" w:color="auto"/>
              <w:left w:val="nil"/>
              <w:bottom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r>
      <w:tr w:rsidR="00D23E13" w:rsidRPr="009263D7">
        <w:trPr>
          <w:trHeight w:val="285"/>
        </w:trPr>
        <w:tc>
          <w:tcPr>
            <w:tcW w:w="599" w:type="pct"/>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411" w:type="pct"/>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1033" w:type="pct"/>
            <w:gridSpan w:val="4"/>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442" w:type="pct"/>
            <w:gridSpan w:val="2"/>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664" w:type="pct"/>
            <w:gridSpan w:val="2"/>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440" w:type="pct"/>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837" w:type="pct"/>
            <w:gridSpan w:val="3"/>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c>
          <w:tcPr>
            <w:tcW w:w="574" w:type="pct"/>
            <w:tcBorders>
              <w:top w:val="nil"/>
              <w:left w:val="nil"/>
              <w:right w:val="nil"/>
            </w:tcBorders>
            <w:shd w:val="clear" w:color="auto" w:fill="auto"/>
            <w:noWrap/>
            <w:vAlign w:val="center"/>
          </w:tcPr>
          <w:p w:rsidR="00AE1822" w:rsidRPr="009263D7" w:rsidRDefault="00AE1822" w:rsidP="008E2D8C">
            <w:pPr>
              <w:keepNext/>
              <w:widowControl/>
              <w:spacing w:line="320" w:lineRule="exact"/>
              <w:jc w:val="left"/>
              <w:outlineLvl w:val="0"/>
              <w:rPr>
                <w:rFonts w:ascii="宋体" w:hAnsi="宋体" w:cs="宋体"/>
                <w:color w:val="000000" w:themeColor="text1"/>
                <w:kern w:val="0"/>
                <w:sz w:val="18"/>
                <w:szCs w:val="18"/>
              </w:rPr>
            </w:pPr>
          </w:p>
        </w:tc>
      </w:tr>
      <w:tr w:rsidR="00D23E13" w:rsidRPr="009263D7">
        <w:trPr>
          <w:trHeight w:val="300"/>
        </w:trPr>
        <w:tc>
          <w:tcPr>
            <w:tcW w:w="599" w:type="pct"/>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11" w:type="pct"/>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033" w:type="pct"/>
            <w:gridSpan w:val="4"/>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42" w:type="pct"/>
            <w:gridSpan w:val="2"/>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64" w:type="pct"/>
            <w:gridSpan w:val="2"/>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440" w:type="pct"/>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37" w:type="pct"/>
            <w:gridSpan w:val="3"/>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574" w:type="pct"/>
            <w:tcBorders>
              <w:top w:val="nil"/>
              <w:left w:val="nil"/>
              <w:bottom w:val="single" w:sz="8" w:space="0" w:color="auto"/>
              <w:right w:val="nil"/>
            </w:tcBorders>
            <w:shd w:val="clear" w:color="auto" w:fill="auto"/>
            <w:noWrap/>
            <w:vAlign w:val="center"/>
          </w:tcPr>
          <w:p w:rsidR="00AE1822"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AE1822" w:rsidRPr="009263D7" w:rsidRDefault="00CB4B9E" w:rsidP="00AE1822">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AE1822" w:rsidRPr="009263D7" w:rsidRDefault="00AE1822" w:rsidP="00AE1822">
      <w:pPr>
        <w:widowControl/>
        <w:rPr>
          <w:rFonts w:ascii="宋体" w:hAnsi="宋体" w:cs="宋体"/>
          <w:color w:val="000000" w:themeColor="text1"/>
          <w:kern w:val="0"/>
          <w:sz w:val="18"/>
          <w:szCs w:val="18"/>
        </w:rPr>
      </w:pPr>
    </w:p>
    <w:p w:rsidR="00AE1822" w:rsidRPr="009263D7" w:rsidRDefault="00AE1822" w:rsidP="00AE1822">
      <w:pPr>
        <w:spacing w:line="280" w:lineRule="exact"/>
        <w:jc w:val="left"/>
        <w:rPr>
          <w:color w:val="000000" w:themeColor="text1"/>
          <w:sz w:val="18"/>
        </w:rPr>
      </w:pPr>
    </w:p>
    <w:p w:rsidR="006A3355" w:rsidRPr="009263D7" w:rsidRDefault="00CB4B9E" w:rsidP="006A3355">
      <w:pPr>
        <w:pStyle w:val="3"/>
        <w:jc w:val="center"/>
        <w:rPr>
          <w:rFonts w:ascii="宋体" w:hAnsi="宋体"/>
          <w:b w:val="0"/>
          <w:color w:val="000000" w:themeColor="text1"/>
          <w:kern w:val="0"/>
          <w:sz w:val="28"/>
          <w:szCs w:val="28"/>
        </w:rPr>
      </w:pPr>
      <w:r w:rsidRPr="00CB4B9E">
        <w:rPr>
          <w:color w:val="000000" w:themeColor="text1"/>
          <w:sz w:val="18"/>
        </w:rPr>
        <w:br w:type="page"/>
      </w:r>
      <w:bookmarkStart w:id="25" w:name="_Toc452017135"/>
      <w:r w:rsidRPr="00CB4B9E">
        <w:rPr>
          <w:rFonts w:ascii="宋体" w:hAnsi="宋体" w:hint="eastAsia"/>
          <w:b w:val="0"/>
          <w:color w:val="000000" w:themeColor="text1"/>
          <w:kern w:val="0"/>
          <w:sz w:val="28"/>
          <w:szCs w:val="28"/>
        </w:rPr>
        <w:lastRenderedPageBreak/>
        <w:t>非居民投资境内发行股本证券和债务证券（负债）</w:t>
      </w:r>
      <w:bookmarkEnd w:id="25"/>
    </w:p>
    <w:p w:rsidR="006A3355" w:rsidRPr="009263D7" w:rsidRDefault="00CB4B9E" w:rsidP="006A3355">
      <w:pPr>
        <w:tabs>
          <w:tab w:val="left" w:pos="5387"/>
          <w:tab w:val="left" w:pos="5812"/>
        </w:tabs>
        <w:adjustRightInd w:val="0"/>
        <w:snapToGrid w:val="0"/>
        <w:spacing w:line="240" w:lineRule="exact"/>
        <w:ind w:firstLineChars="3250" w:firstLine="5850"/>
        <w:rPr>
          <w:rFonts w:ascii="宋体" w:hAnsi="宋体"/>
          <w:color w:val="000000" w:themeColor="text1"/>
          <w:kern w:val="0"/>
          <w:sz w:val="28"/>
          <w:szCs w:val="2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B06表</w:t>
      </w:r>
    </w:p>
    <w:p w:rsidR="006A3355" w:rsidRPr="009263D7" w:rsidRDefault="00CB4B9E" w:rsidP="006A3355">
      <w:pPr>
        <w:adjustRightInd w:val="0"/>
        <w:snapToGrid w:val="0"/>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6A3355" w:rsidRPr="009263D7" w:rsidRDefault="00CB4B9E" w:rsidP="006A3355">
      <w:pPr>
        <w:adjustRightInd w:val="0"/>
        <w:snapToGrid w:val="0"/>
        <w:spacing w:line="240" w:lineRule="exact"/>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6A3355" w:rsidRPr="009263D7" w:rsidRDefault="00CB4B9E" w:rsidP="006A3355">
      <w:pPr>
        <w:adjustRightInd w:val="0"/>
        <w:snapToGrid w:val="0"/>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6A3355" w:rsidRPr="009263D7" w:rsidRDefault="00CB4B9E" w:rsidP="006A3355">
      <w:pPr>
        <w:adjustRightInd w:val="0"/>
        <w:snapToGrid w:val="0"/>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6A3355" w:rsidRPr="009263D7" w:rsidRDefault="00CB4B9E" w:rsidP="006A3355">
      <w:pPr>
        <w:spacing w:line="240" w:lineRule="exact"/>
        <w:ind w:right="360"/>
        <w:jc w:val="right"/>
        <w:rPr>
          <w:color w:val="000000" w:themeColor="text1"/>
          <w:sz w:val="18"/>
        </w:rPr>
      </w:pPr>
      <w:r w:rsidRPr="00CB4B9E">
        <w:rPr>
          <w:rFonts w:ascii="宋体" w:hAnsi="宋体" w:cs="宋体"/>
          <w:color w:val="000000" w:themeColor="text1"/>
          <w:kern w:val="0"/>
          <w:sz w:val="22"/>
        </w:rPr>
        <w:t xml:space="preserve">                           </w:t>
      </w:r>
      <w:r w:rsidRPr="00CB4B9E">
        <w:rPr>
          <w:color w:val="000000" w:themeColor="text1"/>
          <w:sz w:val="18"/>
        </w:rPr>
        <w:t xml:space="preserve">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10031" w:type="dxa"/>
        <w:tblLayout w:type="fixed"/>
        <w:tblLook w:val="04A0"/>
      </w:tblPr>
      <w:tblGrid>
        <w:gridCol w:w="816"/>
        <w:gridCol w:w="139"/>
        <w:gridCol w:w="33"/>
        <w:gridCol w:w="538"/>
        <w:gridCol w:w="283"/>
        <w:gridCol w:w="425"/>
        <w:gridCol w:w="709"/>
        <w:gridCol w:w="851"/>
        <w:gridCol w:w="283"/>
        <w:gridCol w:w="567"/>
        <w:gridCol w:w="284"/>
        <w:gridCol w:w="567"/>
        <w:gridCol w:w="708"/>
        <w:gridCol w:w="142"/>
        <w:gridCol w:w="709"/>
        <w:gridCol w:w="283"/>
        <w:gridCol w:w="851"/>
        <w:gridCol w:w="283"/>
        <w:gridCol w:w="236"/>
        <w:gridCol w:w="615"/>
        <w:gridCol w:w="709"/>
      </w:tblGrid>
      <w:tr w:rsidR="003E78B5" w:rsidRPr="009263D7" w:rsidTr="003E78B5">
        <w:trPr>
          <w:trHeight w:val="1270"/>
        </w:trPr>
        <w:tc>
          <w:tcPr>
            <w:tcW w:w="816" w:type="dxa"/>
            <w:tcBorders>
              <w:top w:val="single" w:sz="8" w:space="0" w:color="auto"/>
              <w:left w:val="nil"/>
              <w:bottom w:val="single" w:sz="8" w:space="0" w:color="FFFFFF" w:themeColor="background1"/>
              <w:right w:val="single" w:sz="4" w:space="0" w:color="auto"/>
            </w:tcBorders>
            <w:shd w:val="clear" w:color="auto" w:fill="auto"/>
            <w:vAlign w:val="center"/>
          </w:tcPr>
          <w:p w:rsidR="003E78B5" w:rsidRPr="009263D7" w:rsidRDefault="003E78B5">
            <w:pPr>
              <w:widowControl/>
              <w:rPr>
                <w:rFonts w:ascii="宋体" w:hAnsi="宋体" w:cs="宋体"/>
                <w:b/>
                <w:color w:val="000000" w:themeColor="text1"/>
                <w:kern w:val="0"/>
                <w:sz w:val="18"/>
                <w:szCs w:val="18"/>
              </w:rPr>
            </w:pPr>
            <w:r w:rsidRPr="00C020B4">
              <w:rPr>
                <w:rFonts w:ascii="宋体" w:hAnsi="宋体" w:cs="宋体" w:hint="eastAsia"/>
                <w:color w:val="000000" w:themeColor="text1"/>
                <w:kern w:val="0"/>
                <w:sz w:val="18"/>
                <w:szCs w:val="18"/>
              </w:rPr>
              <w:t>非居民投资者</w:t>
            </w:r>
          </w:p>
          <w:p w:rsidR="003E78B5" w:rsidRPr="009263D7" w:rsidRDefault="003E78B5" w:rsidP="00675CD0">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名称</w:t>
            </w:r>
          </w:p>
        </w:tc>
        <w:tc>
          <w:tcPr>
            <w:tcW w:w="993" w:type="dxa"/>
            <w:gridSpan w:val="4"/>
            <w:tcBorders>
              <w:top w:val="single" w:sz="8" w:space="0" w:color="auto"/>
              <w:left w:val="single" w:sz="4" w:space="0" w:color="auto"/>
              <w:bottom w:val="single" w:sz="8" w:space="0" w:color="FFFFFF" w:themeColor="background1"/>
              <w:right w:val="single" w:sz="2" w:space="0" w:color="auto"/>
            </w:tcBorders>
            <w:shd w:val="clear" w:color="auto" w:fill="auto"/>
            <w:vAlign w:val="center"/>
          </w:tcPr>
          <w:p w:rsidR="003E78B5"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业务</w:t>
            </w:r>
          </w:p>
          <w:p w:rsidR="003E78B5" w:rsidRPr="009263D7"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类型</w:t>
            </w:r>
          </w:p>
        </w:tc>
        <w:tc>
          <w:tcPr>
            <w:tcW w:w="1134" w:type="dxa"/>
            <w:gridSpan w:val="2"/>
            <w:tcBorders>
              <w:top w:val="single" w:sz="8" w:space="0" w:color="auto"/>
              <w:left w:val="single" w:sz="2" w:space="0" w:color="auto"/>
              <w:bottom w:val="single" w:sz="8" w:space="0" w:color="FFFFFF" w:themeColor="background1"/>
              <w:right w:val="single" w:sz="2" w:space="0" w:color="auto"/>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非居民投资者所属国家</w:t>
            </w:r>
            <w:r w:rsidRPr="00CB4B9E">
              <w:rPr>
                <w:rFonts w:ascii="宋体" w:hAnsi="宋体" w:cs="宋体"/>
                <w:color w:val="000000" w:themeColor="text1"/>
                <w:kern w:val="0"/>
                <w:sz w:val="18"/>
                <w:szCs w:val="18"/>
              </w:rPr>
              <w:t>/地区</w:t>
            </w:r>
          </w:p>
        </w:tc>
        <w:tc>
          <w:tcPr>
            <w:tcW w:w="1134" w:type="dxa"/>
            <w:gridSpan w:val="2"/>
            <w:tcBorders>
              <w:top w:val="single" w:sz="8" w:space="0" w:color="auto"/>
              <w:left w:val="single" w:sz="2" w:space="0" w:color="auto"/>
              <w:bottom w:val="single" w:sz="8" w:space="0" w:color="FFFFFF" w:themeColor="background1"/>
              <w:right w:val="single" w:sz="2" w:space="0" w:color="auto"/>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非居民投资者所属部门</w:t>
            </w:r>
          </w:p>
        </w:tc>
        <w:tc>
          <w:tcPr>
            <w:tcW w:w="851" w:type="dxa"/>
            <w:gridSpan w:val="2"/>
            <w:tcBorders>
              <w:top w:val="single" w:sz="8" w:space="0" w:color="auto"/>
              <w:left w:val="single" w:sz="2" w:space="0" w:color="auto"/>
              <w:bottom w:val="single" w:sz="8" w:space="0" w:color="FFFFFF" w:themeColor="background1"/>
              <w:right w:val="single" w:sz="2" w:space="0" w:color="auto"/>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投资产品类型</w:t>
            </w:r>
          </w:p>
        </w:tc>
        <w:tc>
          <w:tcPr>
            <w:tcW w:w="1275" w:type="dxa"/>
            <w:gridSpan w:val="2"/>
            <w:tcBorders>
              <w:top w:val="single" w:sz="8" w:space="0" w:color="auto"/>
              <w:left w:val="single" w:sz="2" w:space="0" w:color="auto"/>
              <w:bottom w:val="single" w:sz="8" w:space="0" w:color="FFFFFF" w:themeColor="background1"/>
              <w:right w:val="single" w:sz="2" w:space="0" w:color="auto"/>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投资产品代码（逐支报送使用）</w:t>
            </w:r>
          </w:p>
        </w:tc>
        <w:tc>
          <w:tcPr>
            <w:tcW w:w="1134" w:type="dxa"/>
            <w:gridSpan w:val="3"/>
            <w:tcBorders>
              <w:top w:val="single" w:sz="8" w:space="0" w:color="auto"/>
              <w:left w:val="single" w:sz="2" w:space="0" w:color="auto"/>
              <w:bottom w:val="single" w:sz="8" w:space="0" w:color="FFFFFF" w:themeColor="background1"/>
              <w:right w:val="single" w:sz="2" w:space="0" w:color="auto"/>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发行主体名称</w:t>
            </w:r>
          </w:p>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（逐支报送使用）</w:t>
            </w:r>
          </w:p>
        </w:tc>
        <w:tc>
          <w:tcPr>
            <w:tcW w:w="1134" w:type="dxa"/>
            <w:gridSpan w:val="2"/>
            <w:tcBorders>
              <w:top w:val="single" w:sz="8" w:space="0" w:color="auto"/>
              <w:left w:val="single" w:sz="2" w:space="0" w:color="auto"/>
              <w:bottom w:val="single" w:sz="8" w:space="0" w:color="FFFFFF" w:themeColor="background1"/>
              <w:right w:val="single" w:sz="2" w:space="0" w:color="auto"/>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发行主体所属国家</w:t>
            </w:r>
            <w:r w:rsidRPr="00CB4B9E">
              <w:rPr>
                <w:rFonts w:ascii="宋体" w:hAnsi="宋体" w:cs="宋体"/>
                <w:color w:val="000000" w:themeColor="text1"/>
                <w:kern w:val="0"/>
                <w:sz w:val="18"/>
                <w:szCs w:val="18"/>
              </w:rPr>
              <w:t>/地区（必须为中国）</w:t>
            </w:r>
          </w:p>
        </w:tc>
        <w:tc>
          <w:tcPr>
            <w:tcW w:w="1560" w:type="dxa"/>
            <w:gridSpan w:val="3"/>
            <w:tcBorders>
              <w:top w:val="single" w:sz="8" w:space="0" w:color="auto"/>
              <w:left w:val="single" w:sz="2" w:space="0" w:color="auto"/>
              <w:bottom w:val="single" w:sz="8" w:space="0" w:color="FFFFFF" w:themeColor="background1"/>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发行主体</w:t>
            </w:r>
          </w:p>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所属部门</w:t>
            </w:r>
          </w:p>
          <w:p w:rsidR="003E78B5" w:rsidRPr="009263D7" w:rsidRDefault="003E78B5" w:rsidP="008306D7">
            <w:pPr>
              <w:widowControl/>
              <w:jc w:val="center"/>
              <w:rPr>
                <w:rFonts w:ascii="宋体" w:hAnsi="宋体" w:cs="宋体"/>
                <w:color w:val="000000" w:themeColor="text1"/>
                <w:kern w:val="0"/>
                <w:sz w:val="18"/>
                <w:szCs w:val="18"/>
              </w:rPr>
            </w:pPr>
          </w:p>
        </w:tc>
      </w:tr>
      <w:tr w:rsidR="003E78B5" w:rsidRPr="009263D7" w:rsidTr="003E78B5">
        <w:trPr>
          <w:trHeight w:val="170"/>
        </w:trPr>
        <w:tc>
          <w:tcPr>
            <w:tcW w:w="816" w:type="dxa"/>
            <w:tcBorders>
              <w:left w:val="nil"/>
              <w:bottom w:val="single" w:sz="8" w:space="0" w:color="FFFFFF" w:themeColor="background1"/>
              <w:right w:val="single" w:sz="4" w:space="0" w:color="auto"/>
            </w:tcBorders>
            <w:shd w:val="clear" w:color="auto" w:fill="auto"/>
            <w:noWrap/>
            <w:vAlign w:val="bottom"/>
          </w:tcPr>
          <w:p w:rsidR="00000000" w:rsidRDefault="003E78B5">
            <w:pPr>
              <w:jc w:val="center"/>
              <w:rPr>
                <w:rFonts w:ascii="宋体" w:hAnsi="宋体" w:cs="宋体"/>
                <w:color w:val="000000" w:themeColor="text1"/>
                <w:kern w:val="0"/>
                <w:sz w:val="18"/>
                <w:szCs w:val="18"/>
              </w:rPr>
            </w:pPr>
            <w:r w:rsidRPr="00C020B4">
              <w:rPr>
                <w:rFonts w:ascii="宋体" w:hAnsi="宋体" w:cs="宋体"/>
                <w:color w:val="000000" w:themeColor="text1"/>
                <w:kern w:val="0"/>
                <w:sz w:val="18"/>
                <w:szCs w:val="18"/>
              </w:rPr>
              <w:t>B0601</w:t>
            </w:r>
          </w:p>
        </w:tc>
        <w:tc>
          <w:tcPr>
            <w:tcW w:w="993" w:type="dxa"/>
            <w:gridSpan w:val="4"/>
            <w:tcBorders>
              <w:left w:val="single" w:sz="4" w:space="0" w:color="auto"/>
              <w:bottom w:val="single" w:sz="8" w:space="0" w:color="FFFFFF" w:themeColor="background1"/>
              <w:right w:val="single" w:sz="2" w:space="0" w:color="auto"/>
            </w:tcBorders>
            <w:shd w:val="clear" w:color="auto" w:fill="auto"/>
            <w:vAlign w:val="bottom"/>
          </w:tcPr>
          <w:p w:rsidR="00000000" w:rsidRDefault="00CB4B9E">
            <w:pPr>
              <w:spacing w:line="240" w:lineRule="exact"/>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B0601</w:t>
            </w:r>
          </w:p>
          <w:p w:rsidR="00000000" w:rsidRDefault="003E78B5">
            <w:pPr>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CODE</w:t>
            </w:r>
          </w:p>
        </w:tc>
        <w:tc>
          <w:tcPr>
            <w:tcW w:w="1134" w:type="dxa"/>
            <w:gridSpan w:val="2"/>
            <w:tcBorders>
              <w:left w:val="single" w:sz="2" w:space="0" w:color="auto"/>
              <w:bottom w:val="single" w:sz="8" w:space="0" w:color="FFFFFF" w:themeColor="background1"/>
              <w:right w:val="single" w:sz="2" w:space="0" w:color="auto"/>
            </w:tcBorders>
            <w:shd w:val="clear" w:color="auto" w:fill="auto"/>
            <w:noWrap/>
            <w:vAlign w:val="bottom"/>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B0602</w:t>
            </w:r>
          </w:p>
        </w:tc>
        <w:tc>
          <w:tcPr>
            <w:tcW w:w="1134" w:type="dxa"/>
            <w:gridSpan w:val="2"/>
            <w:tcBorders>
              <w:left w:val="single" w:sz="2" w:space="0" w:color="auto"/>
              <w:bottom w:val="single" w:sz="8" w:space="0" w:color="FFFFFF" w:themeColor="background1"/>
              <w:right w:val="single" w:sz="2" w:space="0" w:color="auto"/>
            </w:tcBorders>
            <w:shd w:val="clear" w:color="auto" w:fill="auto"/>
            <w:noWrap/>
            <w:vAlign w:val="bottom"/>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B0603</w:t>
            </w:r>
          </w:p>
        </w:tc>
        <w:tc>
          <w:tcPr>
            <w:tcW w:w="851" w:type="dxa"/>
            <w:gridSpan w:val="2"/>
            <w:tcBorders>
              <w:left w:val="single" w:sz="2" w:space="0" w:color="auto"/>
              <w:bottom w:val="single" w:sz="8" w:space="0" w:color="FFFFFF" w:themeColor="background1"/>
              <w:right w:val="single" w:sz="2" w:space="0" w:color="auto"/>
            </w:tcBorders>
            <w:shd w:val="clear" w:color="auto" w:fill="auto"/>
            <w:noWrap/>
            <w:vAlign w:val="bottom"/>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B0604</w:t>
            </w:r>
          </w:p>
        </w:tc>
        <w:tc>
          <w:tcPr>
            <w:tcW w:w="1275" w:type="dxa"/>
            <w:gridSpan w:val="2"/>
            <w:tcBorders>
              <w:left w:val="single" w:sz="2" w:space="0" w:color="auto"/>
              <w:bottom w:val="single" w:sz="8" w:space="0" w:color="FFFFFF" w:themeColor="background1"/>
              <w:right w:val="single" w:sz="2" w:space="0" w:color="auto"/>
            </w:tcBorders>
            <w:shd w:val="clear" w:color="auto" w:fill="auto"/>
            <w:noWrap/>
            <w:vAlign w:val="bottom"/>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B0605</w:t>
            </w:r>
          </w:p>
        </w:tc>
        <w:tc>
          <w:tcPr>
            <w:tcW w:w="1134" w:type="dxa"/>
            <w:gridSpan w:val="3"/>
            <w:tcBorders>
              <w:left w:val="single" w:sz="2" w:space="0" w:color="auto"/>
              <w:bottom w:val="single" w:sz="8" w:space="0" w:color="FFFFFF" w:themeColor="background1"/>
              <w:right w:val="single" w:sz="2" w:space="0" w:color="auto"/>
            </w:tcBorders>
            <w:shd w:val="clear" w:color="auto" w:fill="auto"/>
            <w:noWrap/>
            <w:vAlign w:val="bottom"/>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B0606</w:t>
            </w:r>
          </w:p>
        </w:tc>
        <w:tc>
          <w:tcPr>
            <w:tcW w:w="1134" w:type="dxa"/>
            <w:gridSpan w:val="2"/>
            <w:tcBorders>
              <w:left w:val="single" w:sz="2" w:space="0" w:color="auto"/>
              <w:bottom w:val="single" w:sz="8" w:space="0" w:color="FFFFFF" w:themeColor="background1"/>
              <w:right w:val="single" w:sz="2" w:space="0" w:color="auto"/>
            </w:tcBorders>
            <w:shd w:val="clear" w:color="auto" w:fill="auto"/>
            <w:noWrap/>
            <w:vAlign w:val="bottom"/>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B0607</w:t>
            </w:r>
          </w:p>
        </w:tc>
        <w:tc>
          <w:tcPr>
            <w:tcW w:w="1560" w:type="dxa"/>
            <w:gridSpan w:val="3"/>
            <w:tcBorders>
              <w:left w:val="single" w:sz="2" w:space="0" w:color="auto"/>
              <w:bottom w:val="single" w:sz="8" w:space="0" w:color="FFFFFF" w:themeColor="background1"/>
            </w:tcBorders>
            <w:shd w:val="clear" w:color="auto" w:fill="auto"/>
            <w:noWrap/>
            <w:vAlign w:val="bottom"/>
          </w:tcPr>
          <w:p w:rsidR="00000000"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B0608</w:t>
            </w:r>
          </w:p>
        </w:tc>
      </w:tr>
      <w:tr w:rsidR="003E78B5" w:rsidRPr="009263D7" w:rsidTr="003E78B5">
        <w:trPr>
          <w:trHeight w:val="345"/>
        </w:trPr>
        <w:tc>
          <w:tcPr>
            <w:tcW w:w="816" w:type="dxa"/>
            <w:tcBorders>
              <w:top w:val="single" w:sz="2" w:space="0" w:color="auto"/>
              <w:left w:val="nil"/>
              <w:bottom w:val="single" w:sz="2" w:space="0" w:color="auto"/>
              <w:right w:val="single" w:sz="4" w:space="0" w:color="auto"/>
            </w:tcBorders>
            <w:shd w:val="clear" w:color="auto" w:fill="auto"/>
            <w:noWrap/>
            <w:vAlign w:val="center"/>
          </w:tcPr>
          <w:p w:rsidR="003E78B5" w:rsidRPr="009263D7"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993" w:type="dxa"/>
            <w:gridSpan w:val="4"/>
            <w:tcBorders>
              <w:top w:val="single" w:sz="2" w:space="0" w:color="auto"/>
              <w:left w:val="single" w:sz="4" w:space="0" w:color="auto"/>
              <w:bottom w:val="single" w:sz="2" w:space="0" w:color="auto"/>
              <w:right w:val="single" w:sz="2" w:space="0" w:color="auto"/>
            </w:tcBorders>
            <w:shd w:val="clear" w:color="auto" w:fill="auto"/>
            <w:vAlign w:val="center"/>
          </w:tcPr>
          <w:p w:rsidR="003E78B5" w:rsidRPr="009263D7" w:rsidRDefault="003E78B5">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乙</w:t>
            </w:r>
          </w:p>
        </w:tc>
        <w:tc>
          <w:tcPr>
            <w:tcW w:w="1134"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3E78B5" w:rsidRPr="009263D7"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丙</w:t>
            </w:r>
          </w:p>
        </w:tc>
        <w:tc>
          <w:tcPr>
            <w:tcW w:w="1134"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3E78B5" w:rsidRPr="009263D7"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丁</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3E78B5" w:rsidRPr="009263D7"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戊</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3E78B5" w:rsidRPr="009263D7"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已</w:t>
            </w: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3E78B5" w:rsidRPr="009263D7"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庚</w:t>
            </w:r>
          </w:p>
        </w:tc>
        <w:tc>
          <w:tcPr>
            <w:tcW w:w="1134"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3E78B5" w:rsidRPr="009263D7"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辛</w:t>
            </w:r>
          </w:p>
        </w:tc>
        <w:tc>
          <w:tcPr>
            <w:tcW w:w="1560" w:type="dxa"/>
            <w:gridSpan w:val="3"/>
            <w:tcBorders>
              <w:top w:val="single" w:sz="2" w:space="0" w:color="auto"/>
              <w:left w:val="single" w:sz="2" w:space="0" w:color="auto"/>
              <w:bottom w:val="single" w:sz="2" w:space="0" w:color="auto"/>
            </w:tcBorders>
            <w:shd w:val="clear" w:color="auto" w:fill="auto"/>
            <w:noWrap/>
            <w:vAlign w:val="center"/>
          </w:tcPr>
          <w:p w:rsidR="003E78B5" w:rsidRPr="009263D7" w:rsidRDefault="003E78B5">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壬</w:t>
            </w:r>
          </w:p>
        </w:tc>
      </w:tr>
      <w:tr w:rsidR="003E78B5" w:rsidRPr="009263D7" w:rsidTr="003E78B5">
        <w:trPr>
          <w:gridAfter w:val="1"/>
          <w:wAfter w:w="709" w:type="dxa"/>
          <w:trHeight w:val="285"/>
        </w:trPr>
        <w:tc>
          <w:tcPr>
            <w:tcW w:w="955"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4" w:type="dxa"/>
            <w:gridSpan w:val="3"/>
            <w:tcBorders>
              <w:top w:val="single" w:sz="2" w:space="0" w:color="auto"/>
              <w:left w:val="nil"/>
              <w:bottom w:val="nil"/>
              <w:right w:val="nil"/>
            </w:tcBorders>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1"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275"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3"/>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236" w:type="dxa"/>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615" w:type="dxa"/>
            <w:tcBorders>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r>
      <w:tr w:rsidR="003E78B5" w:rsidRPr="009263D7" w:rsidTr="003E78B5">
        <w:trPr>
          <w:trHeight w:val="285"/>
        </w:trPr>
        <w:tc>
          <w:tcPr>
            <w:tcW w:w="955"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4" w:type="dxa"/>
            <w:gridSpan w:val="3"/>
            <w:tcBorders>
              <w:top w:val="nil"/>
              <w:left w:val="nil"/>
              <w:bottom w:val="nil"/>
              <w:right w:val="nil"/>
            </w:tcBorders>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1"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275"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3"/>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236" w:type="dxa"/>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615" w:type="dxa"/>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09" w:type="dxa"/>
            <w:tcBorders>
              <w:top w:val="nil"/>
              <w:left w:val="nil"/>
              <w:bottom w:val="nil"/>
              <w:right w:val="nil"/>
            </w:tcBorders>
            <w:shd w:val="clear" w:color="auto" w:fill="auto"/>
            <w:vAlign w:val="center"/>
          </w:tcPr>
          <w:p w:rsidR="003E78B5" w:rsidRPr="009263D7" w:rsidRDefault="003E78B5" w:rsidP="00675CD0">
            <w:pPr>
              <w:widowControl/>
              <w:jc w:val="left"/>
              <w:rPr>
                <w:rFonts w:ascii="Calibri" w:hAnsi="Calibri" w:cs="宋体"/>
                <w:color w:val="000000" w:themeColor="text1"/>
                <w:kern w:val="0"/>
                <w:szCs w:val="21"/>
              </w:rPr>
            </w:pPr>
          </w:p>
        </w:tc>
      </w:tr>
      <w:tr w:rsidR="003E78B5" w:rsidRPr="009263D7" w:rsidTr="003E78B5">
        <w:trPr>
          <w:trHeight w:val="300"/>
        </w:trPr>
        <w:tc>
          <w:tcPr>
            <w:tcW w:w="955"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54" w:type="dxa"/>
            <w:gridSpan w:val="3"/>
            <w:tcBorders>
              <w:top w:val="nil"/>
              <w:left w:val="nil"/>
              <w:bottom w:val="single" w:sz="8" w:space="0" w:color="auto"/>
              <w:right w:val="nil"/>
            </w:tcBorders>
          </w:tcPr>
          <w:p w:rsidR="003E78B5" w:rsidRPr="009263D7" w:rsidRDefault="003E78B5" w:rsidP="00675CD0">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34"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34"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51"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75"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34" w:type="dxa"/>
            <w:gridSpan w:val="3"/>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34"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36" w:type="dxa"/>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615" w:type="dxa"/>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09" w:type="dxa"/>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E78B5" w:rsidRPr="009263D7" w:rsidTr="003E78B5">
        <w:trPr>
          <w:trHeight w:val="300"/>
        </w:trPr>
        <w:tc>
          <w:tcPr>
            <w:tcW w:w="955"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854" w:type="dxa"/>
            <w:gridSpan w:val="3"/>
            <w:tcBorders>
              <w:top w:val="nil"/>
              <w:left w:val="nil"/>
              <w:bottom w:val="single" w:sz="8" w:space="0" w:color="auto"/>
              <w:right w:val="nil"/>
            </w:tcBorders>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nil"/>
              <w:left w:val="nil"/>
              <w:bottom w:val="single" w:sz="8" w:space="0" w:color="auto"/>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nil"/>
              <w:left w:val="nil"/>
              <w:bottom w:val="single" w:sz="8" w:space="0" w:color="auto"/>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1" w:type="dxa"/>
            <w:gridSpan w:val="2"/>
            <w:tcBorders>
              <w:top w:val="nil"/>
              <w:left w:val="nil"/>
              <w:bottom w:val="single" w:sz="8" w:space="0" w:color="auto"/>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275" w:type="dxa"/>
            <w:gridSpan w:val="2"/>
            <w:tcBorders>
              <w:top w:val="nil"/>
              <w:left w:val="nil"/>
              <w:bottom w:val="single" w:sz="8" w:space="0" w:color="auto"/>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3"/>
            <w:tcBorders>
              <w:top w:val="nil"/>
              <w:left w:val="nil"/>
              <w:bottom w:val="single" w:sz="8" w:space="0" w:color="auto"/>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nil"/>
              <w:left w:val="nil"/>
              <w:bottom w:val="single" w:sz="8" w:space="0" w:color="auto"/>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236" w:type="dxa"/>
            <w:tcBorders>
              <w:top w:val="nil"/>
              <w:left w:val="nil"/>
              <w:bottom w:val="single" w:sz="8" w:space="0" w:color="auto"/>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615" w:type="dxa"/>
            <w:tcBorders>
              <w:top w:val="nil"/>
              <w:left w:val="nil"/>
              <w:bottom w:val="single" w:sz="8" w:space="0" w:color="auto"/>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09" w:type="dxa"/>
            <w:tcBorders>
              <w:top w:val="nil"/>
              <w:left w:val="nil"/>
              <w:bottom w:val="single" w:sz="8" w:space="0" w:color="auto"/>
              <w:right w:val="nil"/>
            </w:tcBorders>
            <w:shd w:val="clear" w:color="auto" w:fill="auto"/>
            <w:vAlign w:val="center"/>
          </w:tcPr>
          <w:p w:rsidR="003E78B5" w:rsidRPr="009263D7" w:rsidRDefault="003E78B5" w:rsidP="00675CD0">
            <w:pPr>
              <w:widowControl/>
              <w:jc w:val="left"/>
              <w:rPr>
                <w:rFonts w:ascii="Calibri" w:hAnsi="Calibri" w:cs="宋体"/>
                <w:color w:val="000000" w:themeColor="text1"/>
                <w:kern w:val="0"/>
                <w:szCs w:val="21"/>
              </w:rPr>
            </w:pPr>
          </w:p>
        </w:tc>
      </w:tr>
      <w:tr w:rsidR="003E78B5" w:rsidRPr="009263D7" w:rsidTr="003E78B5">
        <w:trPr>
          <w:trHeight w:val="300"/>
        </w:trPr>
        <w:tc>
          <w:tcPr>
            <w:tcW w:w="988" w:type="dxa"/>
            <w:gridSpan w:val="3"/>
            <w:tcBorders>
              <w:top w:val="single" w:sz="8" w:space="0" w:color="auto"/>
              <w:left w:val="nil"/>
              <w:bottom w:val="single" w:sz="2" w:space="0" w:color="auto"/>
              <w:right w:val="nil"/>
            </w:tcBorders>
          </w:tcPr>
          <w:p w:rsidR="003E78B5" w:rsidRPr="009263D7" w:rsidRDefault="003E78B5" w:rsidP="00675CD0">
            <w:pPr>
              <w:widowControl/>
              <w:jc w:val="center"/>
              <w:rPr>
                <w:rFonts w:ascii="宋体" w:hAnsi="宋体" w:cs="宋体"/>
                <w:color w:val="000000" w:themeColor="text1"/>
                <w:kern w:val="0"/>
                <w:sz w:val="18"/>
                <w:szCs w:val="18"/>
              </w:rPr>
            </w:pPr>
          </w:p>
        </w:tc>
        <w:tc>
          <w:tcPr>
            <w:tcW w:w="7200" w:type="dxa"/>
            <w:gridSpan w:val="14"/>
            <w:tcBorders>
              <w:top w:val="single" w:sz="8" w:space="0" w:color="auto"/>
              <w:left w:val="nil"/>
              <w:bottom w:val="single" w:sz="2" w:space="0" w:color="auto"/>
              <w:right w:val="nil"/>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按投资产品的原始币种</w:t>
            </w:r>
          </w:p>
        </w:tc>
        <w:tc>
          <w:tcPr>
            <w:tcW w:w="1134" w:type="dxa"/>
            <w:gridSpan w:val="3"/>
            <w:tcBorders>
              <w:top w:val="single" w:sz="8" w:space="0" w:color="auto"/>
              <w:left w:val="nil"/>
              <w:bottom w:val="single" w:sz="2"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09" w:type="dxa"/>
            <w:tcBorders>
              <w:top w:val="single" w:sz="8" w:space="0" w:color="auto"/>
              <w:left w:val="nil"/>
              <w:bottom w:val="single" w:sz="2" w:space="0" w:color="auto"/>
              <w:right w:val="nil"/>
            </w:tcBorders>
            <w:shd w:val="clear" w:color="auto" w:fill="auto"/>
            <w:noWrap/>
            <w:vAlign w:val="center"/>
          </w:tcPr>
          <w:p w:rsidR="003E78B5" w:rsidRPr="009263D7" w:rsidRDefault="00CB4B9E" w:rsidP="00675CD0">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3E78B5" w:rsidRPr="009263D7" w:rsidTr="003E78B5">
        <w:trPr>
          <w:trHeight w:val="390"/>
        </w:trPr>
        <w:tc>
          <w:tcPr>
            <w:tcW w:w="816" w:type="dxa"/>
            <w:vMerge w:val="restart"/>
            <w:tcBorders>
              <w:top w:val="single" w:sz="2" w:space="0" w:color="auto"/>
              <w:left w:val="nil"/>
              <w:bottom w:val="single" w:sz="2" w:space="0" w:color="auto"/>
              <w:right w:val="single" w:sz="2" w:space="0" w:color="auto"/>
            </w:tcBorders>
            <w:shd w:val="clear" w:color="auto" w:fill="auto"/>
            <w:vAlign w:val="center"/>
          </w:tcPr>
          <w:p w:rsidR="00991BAB" w:rsidRPr="00991BAB" w:rsidRDefault="00991BAB">
            <w:pPr>
              <w:widowControl/>
              <w:jc w:val="center"/>
              <w:rPr>
                <w:rFonts w:ascii="宋体" w:hAnsi="宋体" w:cs="宋体"/>
                <w:color w:val="000000" w:themeColor="text1"/>
                <w:kern w:val="0"/>
                <w:sz w:val="18"/>
                <w:szCs w:val="18"/>
              </w:rPr>
            </w:pPr>
          </w:p>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债务证券原始期限</w:t>
            </w:r>
          </w:p>
          <w:p w:rsidR="00991BAB" w:rsidRPr="00991BAB" w:rsidRDefault="00991BAB">
            <w:pPr>
              <w:widowControl/>
              <w:jc w:val="center"/>
              <w:rPr>
                <w:rFonts w:ascii="宋体" w:hAnsi="宋体" w:cs="宋体"/>
                <w:color w:val="000000" w:themeColor="text1"/>
                <w:kern w:val="0"/>
                <w:sz w:val="18"/>
                <w:szCs w:val="18"/>
              </w:rPr>
            </w:pPr>
          </w:p>
        </w:tc>
        <w:tc>
          <w:tcPr>
            <w:tcW w:w="710" w:type="dxa"/>
            <w:gridSpan w:val="3"/>
            <w:vMerge w:val="restart"/>
            <w:tcBorders>
              <w:top w:val="single" w:sz="2" w:space="0" w:color="auto"/>
              <w:left w:val="single" w:sz="2" w:space="0" w:color="auto"/>
              <w:right w:val="single" w:sz="2" w:space="0" w:color="auto"/>
            </w:tcBorders>
            <w:vAlign w:val="center"/>
          </w:tcPr>
          <w:p w:rsidR="00000000" w:rsidRDefault="00CB4B9E">
            <w:pPr>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708" w:type="dxa"/>
            <w:gridSpan w:val="2"/>
            <w:vMerge w:val="restart"/>
            <w:tcBorders>
              <w:top w:val="single" w:sz="2" w:space="0" w:color="auto"/>
              <w:left w:val="single" w:sz="2" w:space="0" w:color="auto"/>
              <w:bottom w:val="single" w:sz="2" w:space="0" w:color="auto"/>
              <w:right w:val="single" w:sz="2" w:space="0" w:color="auto"/>
            </w:tcBorders>
            <w:shd w:val="clear" w:color="auto" w:fill="auto"/>
            <w:vAlign w:val="center"/>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上月末市值</w:t>
            </w:r>
          </w:p>
        </w:tc>
        <w:tc>
          <w:tcPr>
            <w:tcW w:w="709"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本月买入金额</w:t>
            </w:r>
          </w:p>
        </w:tc>
        <w:tc>
          <w:tcPr>
            <w:tcW w:w="851"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rsidR="00991BAB" w:rsidRPr="00991BAB"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本月卖出金额</w:t>
            </w:r>
          </w:p>
        </w:tc>
        <w:tc>
          <w:tcPr>
            <w:tcW w:w="2551" w:type="dxa"/>
            <w:gridSpan w:val="6"/>
            <w:tcBorders>
              <w:top w:val="single" w:sz="2" w:space="0" w:color="auto"/>
              <w:left w:val="single" w:sz="2" w:space="0" w:color="auto"/>
              <w:right w:val="single" w:sz="2" w:space="0" w:color="auto"/>
            </w:tcBorders>
            <w:shd w:val="clear" w:color="auto" w:fill="auto"/>
            <w:vAlign w:val="center"/>
          </w:tcPr>
          <w:p w:rsidR="003E78B5" w:rsidRPr="009263D7" w:rsidRDefault="00CB4B9E" w:rsidP="00FF096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1843" w:type="dxa"/>
            <w:gridSpan w:val="3"/>
            <w:tcBorders>
              <w:top w:val="single" w:sz="2" w:space="0" w:color="auto"/>
              <w:left w:val="single" w:sz="2" w:space="0" w:color="auto"/>
              <w:right w:val="single" w:sz="2" w:space="0" w:color="auto"/>
            </w:tcBorders>
            <w:shd w:val="clear" w:color="auto" w:fill="auto"/>
            <w:vAlign w:val="center"/>
          </w:tcPr>
          <w:p w:rsidR="003E78B5" w:rsidRPr="009263D7" w:rsidRDefault="00CB4B9E" w:rsidP="00FF0963">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本月末市值</w:t>
            </w:r>
          </w:p>
        </w:tc>
        <w:tc>
          <w:tcPr>
            <w:tcW w:w="1134" w:type="dxa"/>
            <w:gridSpan w:val="3"/>
            <w:vMerge w:val="restart"/>
            <w:tcBorders>
              <w:top w:val="single" w:sz="2" w:space="0" w:color="auto"/>
              <w:left w:val="single" w:sz="2" w:space="0" w:color="auto"/>
              <w:bottom w:val="single" w:sz="2" w:space="0" w:color="auto"/>
              <w:right w:val="single" w:sz="2" w:space="0" w:color="auto"/>
            </w:tcBorders>
            <w:shd w:val="clear" w:color="auto" w:fill="auto"/>
            <w:vAlign w:val="center"/>
          </w:tcPr>
          <w:p w:rsidR="003E78B5" w:rsidRPr="009263D7" w:rsidRDefault="00CB4B9E" w:rsidP="00FF096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本月非居民投资者红利或利息收入</w:t>
            </w:r>
          </w:p>
        </w:tc>
        <w:tc>
          <w:tcPr>
            <w:tcW w:w="709" w:type="dxa"/>
            <w:vMerge w:val="restart"/>
            <w:tcBorders>
              <w:top w:val="single" w:sz="2" w:space="0" w:color="auto"/>
              <w:left w:val="single" w:sz="2" w:space="0" w:color="auto"/>
              <w:bottom w:val="single" w:sz="2" w:space="0" w:color="auto"/>
              <w:right w:val="nil"/>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备注</w:t>
            </w:r>
          </w:p>
        </w:tc>
      </w:tr>
      <w:tr w:rsidR="003E78B5" w:rsidRPr="009263D7" w:rsidTr="003E78B5">
        <w:trPr>
          <w:trHeight w:val="285"/>
        </w:trPr>
        <w:tc>
          <w:tcPr>
            <w:tcW w:w="816" w:type="dxa"/>
            <w:vMerge/>
            <w:tcBorders>
              <w:top w:val="single" w:sz="2" w:space="0" w:color="auto"/>
              <w:left w:val="nil"/>
              <w:bottom w:val="nil"/>
              <w:right w:val="single" w:sz="2" w:space="0" w:color="auto"/>
            </w:tcBorders>
            <w:shd w:val="clear" w:color="auto" w:fill="auto"/>
            <w:vAlign w:val="center"/>
          </w:tcPr>
          <w:p w:rsidR="003E78B5" w:rsidRPr="009263D7" w:rsidRDefault="003E78B5" w:rsidP="00675CD0">
            <w:pPr>
              <w:keepNext/>
              <w:widowControl/>
              <w:spacing w:line="320" w:lineRule="exact"/>
              <w:jc w:val="center"/>
              <w:outlineLvl w:val="0"/>
              <w:rPr>
                <w:rFonts w:ascii="宋体" w:hAnsi="宋体" w:cs="宋体"/>
                <w:color w:val="000000" w:themeColor="text1"/>
                <w:kern w:val="0"/>
                <w:sz w:val="18"/>
                <w:szCs w:val="18"/>
              </w:rPr>
            </w:pPr>
          </w:p>
        </w:tc>
        <w:tc>
          <w:tcPr>
            <w:tcW w:w="710" w:type="dxa"/>
            <w:gridSpan w:val="3"/>
            <w:vMerge/>
            <w:tcBorders>
              <w:left w:val="single" w:sz="2" w:space="0" w:color="auto"/>
              <w:bottom w:val="nil"/>
              <w:right w:val="single" w:sz="2" w:space="0" w:color="auto"/>
            </w:tcBorders>
            <w:vAlign w:val="center"/>
          </w:tcPr>
          <w:p w:rsidR="003E78B5" w:rsidRPr="009263D7" w:rsidRDefault="003E78B5" w:rsidP="00675CD0">
            <w:pPr>
              <w:keepNext/>
              <w:widowControl/>
              <w:spacing w:line="320" w:lineRule="exact"/>
              <w:jc w:val="left"/>
              <w:outlineLvl w:val="0"/>
              <w:rPr>
                <w:rFonts w:ascii="宋体" w:hAnsi="宋体" w:cs="宋体"/>
                <w:color w:val="000000" w:themeColor="text1"/>
                <w:kern w:val="0"/>
                <w:sz w:val="18"/>
                <w:szCs w:val="18"/>
              </w:rPr>
            </w:pPr>
          </w:p>
        </w:tc>
        <w:tc>
          <w:tcPr>
            <w:tcW w:w="708" w:type="dxa"/>
            <w:gridSpan w:val="2"/>
            <w:vMerge/>
            <w:tcBorders>
              <w:top w:val="single" w:sz="2" w:space="0" w:color="auto"/>
              <w:left w:val="single" w:sz="2" w:space="0" w:color="auto"/>
              <w:bottom w:val="nil"/>
              <w:right w:val="single" w:sz="2" w:space="0" w:color="auto"/>
            </w:tcBorders>
            <w:vAlign w:val="center"/>
          </w:tcPr>
          <w:p w:rsidR="003E78B5" w:rsidRPr="009263D7" w:rsidRDefault="003E78B5" w:rsidP="00675CD0">
            <w:pPr>
              <w:keepNext/>
              <w:widowControl/>
              <w:spacing w:line="320" w:lineRule="exact"/>
              <w:jc w:val="left"/>
              <w:outlineLvl w:val="0"/>
              <w:rPr>
                <w:rFonts w:ascii="宋体" w:hAnsi="宋体" w:cs="宋体"/>
                <w:color w:val="000000" w:themeColor="text1"/>
                <w:kern w:val="0"/>
                <w:sz w:val="18"/>
                <w:szCs w:val="18"/>
              </w:rPr>
            </w:pPr>
          </w:p>
        </w:tc>
        <w:tc>
          <w:tcPr>
            <w:tcW w:w="709" w:type="dxa"/>
            <w:vMerge/>
            <w:tcBorders>
              <w:top w:val="single" w:sz="2" w:space="0" w:color="auto"/>
              <w:left w:val="single" w:sz="2" w:space="0" w:color="auto"/>
              <w:bottom w:val="nil"/>
              <w:right w:val="single" w:sz="2" w:space="0" w:color="auto"/>
            </w:tcBorders>
            <w:vAlign w:val="center"/>
          </w:tcPr>
          <w:p w:rsidR="003E78B5" w:rsidRPr="009263D7" w:rsidRDefault="003E78B5" w:rsidP="00675CD0">
            <w:pPr>
              <w:keepNext/>
              <w:widowControl/>
              <w:spacing w:line="320" w:lineRule="exact"/>
              <w:jc w:val="left"/>
              <w:outlineLvl w:val="0"/>
              <w:rPr>
                <w:rFonts w:ascii="宋体" w:hAnsi="宋体" w:cs="宋体"/>
                <w:color w:val="000000" w:themeColor="text1"/>
                <w:kern w:val="0"/>
                <w:sz w:val="18"/>
                <w:szCs w:val="18"/>
              </w:rPr>
            </w:pPr>
          </w:p>
        </w:tc>
        <w:tc>
          <w:tcPr>
            <w:tcW w:w="851" w:type="dxa"/>
            <w:vMerge/>
            <w:tcBorders>
              <w:top w:val="single" w:sz="2" w:space="0" w:color="auto"/>
              <w:left w:val="single" w:sz="2" w:space="0" w:color="auto"/>
              <w:bottom w:val="nil"/>
              <w:right w:val="single" w:sz="2" w:space="0" w:color="auto"/>
            </w:tcBorders>
            <w:vAlign w:val="center"/>
          </w:tcPr>
          <w:p w:rsidR="003E78B5" w:rsidRPr="009263D7" w:rsidRDefault="003E78B5" w:rsidP="00675CD0">
            <w:pPr>
              <w:keepNext/>
              <w:widowControl/>
              <w:spacing w:line="320" w:lineRule="exact"/>
              <w:jc w:val="left"/>
              <w:outlineLvl w:val="0"/>
              <w:rPr>
                <w:rFonts w:ascii="宋体" w:hAnsi="宋体" w:cs="宋体"/>
                <w:color w:val="000000" w:themeColor="text1"/>
                <w:kern w:val="0"/>
                <w:sz w:val="18"/>
                <w:szCs w:val="18"/>
              </w:rPr>
            </w:pPr>
          </w:p>
        </w:tc>
        <w:tc>
          <w:tcPr>
            <w:tcW w:w="850" w:type="dxa"/>
            <w:gridSpan w:val="2"/>
            <w:tcBorders>
              <w:left w:val="single" w:sz="2" w:space="0" w:color="auto"/>
              <w:bottom w:val="nil"/>
              <w:right w:val="single" w:sz="2" w:space="0" w:color="auto"/>
            </w:tcBorders>
            <w:shd w:val="clear" w:color="auto" w:fill="auto"/>
            <w:vAlign w:val="center"/>
          </w:tcPr>
          <w:p w:rsidR="003E78B5" w:rsidRPr="009263D7" w:rsidRDefault="003E78B5" w:rsidP="00675CD0">
            <w:pPr>
              <w:keepNext/>
              <w:widowControl/>
              <w:spacing w:line="320" w:lineRule="exact"/>
              <w:jc w:val="center"/>
              <w:outlineLvl w:val="0"/>
              <w:rPr>
                <w:rFonts w:ascii="宋体" w:hAnsi="宋体" w:cs="宋体"/>
                <w:color w:val="000000" w:themeColor="text1"/>
                <w:kern w:val="0"/>
                <w:sz w:val="18"/>
                <w:szCs w:val="18"/>
              </w:rPr>
            </w:pPr>
          </w:p>
        </w:tc>
        <w:tc>
          <w:tcPr>
            <w:tcW w:w="851" w:type="dxa"/>
            <w:gridSpan w:val="2"/>
            <w:tcBorders>
              <w:top w:val="single" w:sz="2" w:space="0" w:color="auto"/>
              <w:left w:val="single" w:sz="2" w:space="0" w:color="auto"/>
              <w:bottom w:val="nil"/>
              <w:right w:val="single" w:sz="2" w:space="0" w:color="auto"/>
            </w:tcBorders>
            <w:shd w:val="clear" w:color="auto" w:fill="auto"/>
            <w:noWrap/>
            <w:vAlign w:val="center"/>
          </w:tcPr>
          <w:p w:rsidR="003E78B5" w:rsidRPr="009263D7" w:rsidRDefault="00CB4B9E" w:rsidP="00FE6326">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债权注销金额</w:t>
            </w:r>
          </w:p>
        </w:tc>
        <w:tc>
          <w:tcPr>
            <w:tcW w:w="850" w:type="dxa"/>
            <w:gridSpan w:val="2"/>
            <w:tcBorders>
              <w:top w:val="single" w:sz="2" w:space="0" w:color="auto"/>
              <w:left w:val="single" w:sz="2" w:space="0" w:color="auto"/>
              <w:bottom w:val="nil"/>
              <w:right w:val="single" w:sz="2" w:space="0" w:color="auto"/>
            </w:tcBorders>
            <w:shd w:val="clear" w:color="auto" w:fill="auto"/>
            <w:noWrap/>
            <w:vAlign w:val="center"/>
          </w:tcPr>
          <w:p w:rsidR="003E78B5" w:rsidRPr="009263D7" w:rsidRDefault="00CB4B9E" w:rsidP="00F2779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价值重估因素</w:t>
            </w:r>
          </w:p>
        </w:tc>
        <w:tc>
          <w:tcPr>
            <w:tcW w:w="709" w:type="dxa"/>
            <w:tcBorders>
              <w:left w:val="single" w:sz="2" w:space="0" w:color="auto"/>
              <w:bottom w:val="nil"/>
              <w:right w:val="single" w:sz="2" w:space="0" w:color="auto"/>
            </w:tcBorders>
            <w:vAlign w:val="center"/>
          </w:tcPr>
          <w:p w:rsidR="003E78B5" w:rsidRPr="009263D7" w:rsidRDefault="003E78B5" w:rsidP="00675CD0">
            <w:pPr>
              <w:keepNext/>
              <w:spacing w:line="320" w:lineRule="exact"/>
              <w:jc w:val="center"/>
              <w:outlineLvl w:val="0"/>
              <w:rPr>
                <w:rFonts w:ascii="宋体" w:hAnsi="宋体" w:cs="宋体"/>
                <w:color w:val="000000" w:themeColor="text1"/>
                <w:kern w:val="0"/>
                <w:sz w:val="18"/>
                <w:szCs w:val="18"/>
              </w:rPr>
            </w:pPr>
          </w:p>
        </w:tc>
        <w:tc>
          <w:tcPr>
            <w:tcW w:w="1134" w:type="dxa"/>
            <w:gridSpan w:val="2"/>
            <w:tcBorders>
              <w:top w:val="single" w:sz="2" w:space="0" w:color="auto"/>
              <w:left w:val="single" w:sz="2" w:space="0" w:color="auto"/>
              <w:bottom w:val="nil"/>
              <w:right w:val="single" w:sz="2" w:space="0" w:color="auto"/>
            </w:tcBorders>
            <w:vAlign w:val="center"/>
          </w:tcPr>
          <w:p w:rsidR="003E78B5" w:rsidRPr="009263D7"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1134" w:type="dxa"/>
            <w:gridSpan w:val="3"/>
            <w:vMerge/>
            <w:tcBorders>
              <w:top w:val="single" w:sz="2" w:space="0" w:color="auto"/>
              <w:left w:val="single" w:sz="2" w:space="0" w:color="auto"/>
              <w:bottom w:val="nil"/>
              <w:right w:val="single" w:sz="2" w:space="0" w:color="auto"/>
            </w:tcBorders>
            <w:vAlign w:val="center"/>
          </w:tcPr>
          <w:p w:rsidR="003E78B5" w:rsidRPr="009263D7" w:rsidRDefault="003E78B5" w:rsidP="00675CD0">
            <w:pPr>
              <w:keepNext/>
              <w:widowControl/>
              <w:spacing w:line="320" w:lineRule="exact"/>
              <w:jc w:val="left"/>
              <w:outlineLvl w:val="0"/>
              <w:rPr>
                <w:rFonts w:ascii="宋体" w:hAnsi="宋体" w:cs="宋体"/>
                <w:color w:val="000000" w:themeColor="text1"/>
                <w:kern w:val="0"/>
                <w:sz w:val="18"/>
                <w:szCs w:val="18"/>
              </w:rPr>
            </w:pPr>
          </w:p>
        </w:tc>
        <w:tc>
          <w:tcPr>
            <w:tcW w:w="709" w:type="dxa"/>
            <w:vMerge/>
            <w:tcBorders>
              <w:top w:val="single" w:sz="2" w:space="0" w:color="auto"/>
              <w:left w:val="single" w:sz="2" w:space="0" w:color="auto"/>
              <w:bottom w:val="nil"/>
              <w:right w:val="nil"/>
            </w:tcBorders>
            <w:vAlign w:val="center"/>
          </w:tcPr>
          <w:p w:rsidR="003E78B5" w:rsidRPr="009263D7" w:rsidRDefault="003E78B5" w:rsidP="00675CD0">
            <w:pPr>
              <w:keepNext/>
              <w:widowControl/>
              <w:spacing w:line="320" w:lineRule="exact"/>
              <w:jc w:val="left"/>
              <w:outlineLvl w:val="0"/>
              <w:rPr>
                <w:rFonts w:ascii="宋体" w:hAnsi="宋体" w:cs="宋体"/>
                <w:color w:val="000000" w:themeColor="text1"/>
                <w:kern w:val="0"/>
                <w:sz w:val="18"/>
                <w:szCs w:val="18"/>
              </w:rPr>
            </w:pPr>
          </w:p>
        </w:tc>
      </w:tr>
      <w:tr w:rsidR="003E78B5" w:rsidRPr="009263D7" w:rsidTr="003E78B5">
        <w:trPr>
          <w:trHeight w:val="285"/>
        </w:trPr>
        <w:tc>
          <w:tcPr>
            <w:tcW w:w="816" w:type="dxa"/>
            <w:tcBorders>
              <w:top w:val="nil"/>
              <w:left w:val="nil"/>
              <w:bottom w:val="nil"/>
              <w:right w:val="single" w:sz="2" w:space="0" w:color="auto"/>
            </w:tcBorders>
            <w:shd w:val="clear" w:color="auto" w:fill="auto"/>
            <w:noWrap/>
            <w:vAlign w:val="center"/>
          </w:tcPr>
          <w:p w:rsidR="00000000" w:rsidRDefault="00CB4B9E">
            <w:pPr>
              <w:widowControl/>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B0609</w:t>
            </w:r>
          </w:p>
        </w:tc>
        <w:tc>
          <w:tcPr>
            <w:tcW w:w="710" w:type="dxa"/>
            <w:gridSpan w:val="3"/>
            <w:tcBorders>
              <w:top w:val="nil"/>
              <w:left w:val="single" w:sz="2" w:space="0" w:color="auto"/>
              <w:bottom w:val="nil"/>
              <w:right w:val="single" w:sz="2" w:space="0" w:color="auto"/>
            </w:tcBorders>
            <w:vAlign w:val="center"/>
          </w:tcPr>
          <w:p w:rsidR="003E78B5" w:rsidRPr="009263D7" w:rsidRDefault="00CB4B9E" w:rsidP="00112AB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B0610</w:t>
            </w:r>
          </w:p>
        </w:tc>
        <w:tc>
          <w:tcPr>
            <w:tcW w:w="708" w:type="dxa"/>
            <w:gridSpan w:val="2"/>
            <w:tcBorders>
              <w:top w:val="nil"/>
              <w:left w:val="single" w:sz="2" w:space="0" w:color="auto"/>
              <w:bottom w:val="nil"/>
              <w:right w:val="single" w:sz="2" w:space="0" w:color="auto"/>
            </w:tcBorders>
            <w:shd w:val="clear" w:color="auto" w:fill="auto"/>
            <w:noWrap/>
            <w:vAlign w:val="center"/>
          </w:tcPr>
          <w:p w:rsidR="003E78B5" w:rsidRPr="009263D7" w:rsidRDefault="00CB4B9E" w:rsidP="00112AB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B0611</w:t>
            </w:r>
          </w:p>
        </w:tc>
        <w:tc>
          <w:tcPr>
            <w:tcW w:w="709" w:type="dxa"/>
            <w:tcBorders>
              <w:top w:val="nil"/>
              <w:left w:val="single" w:sz="2" w:space="0" w:color="auto"/>
              <w:bottom w:val="nil"/>
              <w:right w:val="single" w:sz="2" w:space="0" w:color="auto"/>
            </w:tcBorders>
            <w:shd w:val="clear" w:color="auto" w:fill="auto"/>
            <w:noWrap/>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B0612</w:t>
            </w:r>
          </w:p>
        </w:tc>
        <w:tc>
          <w:tcPr>
            <w:tcW w:w="851" w:type="dxa"/>
            <w:tcBorders>
              <w:top w:val="nil"/>
              <w:left w:val="single" w:sz="2" w:space="0" w:color="auto"/>
              <w:bottom w:val="nil"/>
              <w:right w:val="single" w:sz="2" w:space="0" w:color="auto"/>
            </w:tcBorders>
            <w:shd w:val="clear" w:color="auto" w:fill="auto"/>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B0613</w:t>
            </w:r>
          </w:p>
        </w:tc>
        <w:tc>
          <w:tcPr>
            <w:tcW w:w="850" w:type="dxa"/>
            <w:gridSpan w:val="2"/>
            <w:tcBorders>
              <w:top w:val="nil"/>
              <w:left w:val="single" w:sz="2" w:space="0" w:color="auto"/>
              <w:bottom w:val="single" w:sz="4" w:space="0" w:color="auto"/>
              <w:right w:val="single" w:sz="2" w:space="0" w:color="auto"/>
            </w:tcBorders>
            <w:shd w:val="clear" w:color="auto" w:fill="auto"/>
            <w:noWrap/>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B0614</w:t>
            </w:r>
          </w:p>
        </w:tc>
        <w:tc>
          <w:tcPr>
            <w:tcW w:w="851" w:type="dxa"/>
            <w:gridSpan w:val="2"/>
            <w:tcBorders>
              <w:top w:val="nil"/>
              <w:left w:val="single" w:sz="2" w:space="0" w:color="auto"/>
              <w:bottom w:val="single" w:sz="4" w:space="0" w:color="auto"/>
              <w:right w:val="single" w:sz="2" w:space="0" w:color="auto"/>
            </w:tcBorders>
            <w:shd w:val="clear" w:color="auto" w:fill="auto"/>
            <w:noWrap/>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B0615</w:t>
            </w:r>
          </w:p>
        </w:tc>
        <w:tc>
          <w:tcPr>
            <w:tcW w:w="850" w:type="dxa"/>
            <w:gridSpan w:val="2"/>
            <w:tcBorders>
              <w:top w:val="nil"/>
              <w:left w:val="single" w:sz="2" w:space="0" w:color="auto"/>
              <w:bottom w:val="single" w:sz="4" w:space="0" w:color="auto"/>
              <w:right w:val="single" w:sz="2" w:space="0" w:color="auto"/>
            </w:tcBorders>
            <w:shd w:val="clear" w:color="auto" w:fill="auto"/>
            <w:noWrap/>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B0616</w:t>
            </w:r>
          </w:p>
        </w:tc>
        <w:tc>
          <w:tcPr>
            <w:tcW w:w="709" w:type="dxa"/>
            <w:tcBorders>
              <w:top w:val="nil"/>
              <w:left w:val="single" w:sz="2" w:space="0" w:color="auto"/>
              <w:bottom w:val="single" w:sz="4" w:space="0" w:color="auto"/>
              <w:right w:val="single" w:sz="2" w:space="0" w:color="auto"/>
            </w:tcBorders>
            <w:shd w:val="clear" w:color="auto" w:fill="auto"/>
            <w:noWrap/>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B0617</w:t>
            </w:r>
          </w:p>
        </w:tc>
        <w:tc>
          <w:tcPr>
            <w:tcW w:w="1134" w:type="dxa"/>
            <w:gridSpan w:val="2"/>
            <w:tcBorders>
              <w:top w:val="nil"/>
              <w:left w:val="single" w:sz="2" w:space="0" w:color="auto"/>
              <w:bottom w:val="single" w:sz="4" w:space="0" w:color="auto"/>
              <w:right w:val="single" w:sz="2" w:space="0" w:color="auto"/>
            </w:tcBorders>
            <w:shd w:val="clear" w:color="auto" w:fill="auto"/>
            <w:noWrap/>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B0618</w:t>
            </w:r>
          </w:p>
        </w:tc>
        <w:tc>
          <w:tcPr>
            <w:tcW w:w="1134" w:type="dxa"/>
            <w:gridSpan w:val="3"/>
            <w:tcBorders>
              <w:top w:val="nil"/>
              <w:left w:val="single" w:sz="2" w:space="0" w:color="auto"/>
              <w:bottom w:val="single" w:sz="4" w:space="0" w:color="auto"/>
              <w:right w:val="single" w:sz="2" w:space="0" w:color="auto"/>
            </w:tcBorders>
            <w:shd w:val="clear" w:color="auto" w:fill="auto"/>
            <w:noWrap/>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B0619</w:t>
            </w:r>
          </w:p>
        </w:tc>
        <w:tc>
          <w:tcPr>
            <w:tcW w:w="709" w:type="dxa"/>
            <w:tcBorders>
              <w:top w:val="nil"/>
              <w:left w:val="single" w:sz="2" w:space="0" w:color="auto"/>
              <w:bottom w:val="nil"/>
              <w:right w:val="nil"/>
            </w:tcBorders>
            <w:shd w:val="clear" w:color="auto" w:fill="auto"/>
            <w:noWrap/>
            <w:vAlign w:val="center"/>
          </w:tcPr>
          <w:p w:rsidR="003E78B5"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B0620</w:t>
            </w:r>
          </w:p>
        </w:tc>
      </w:tr>
      <w:tr w:rsidR="003E78B5" w:rsidRPr="009263D7" w:rsidTr="003E78B5">
        <w:trPr>
          <w:trHeight w:val="285"/>
        </w:trPr>
        <w:tc>
          <w:tcPr>
            <w:tcW w:w="816" w:type="dxa"/>
            <w:tcBorders>
              <w:top w:val="single" w:sz="4" w:space="0" w:color="auto"/>
              <w:left w:val="nil"/>
              <w:bottom w:val="single" w:sz="2" w:space="0" w:color="auto"/>
              <w:right w:val="single" w:sz="2" w:space="0" w:color="auto"/>
            </w:tcBorders>
            <w:shd w:val="clear" w:color="auto" w:fill="auto"/>
            <w:noWrap/>
            <w:vAlign w:val="center"/>
          </w:tcPr>
          <w:p w:rsidR="003E78B5" w:rsidRPr="009263D7" w:rsidRDefault="003E78B5">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癸</w:t>
            </w:r>
          </w:p>
        </w:tc>
        <w:tc>
          <w:tcPr>
            <w:tcW w:w="710" w:type="dxa"/>
            <w:gridSpan w:val="3"/>
            <w:tcBorders>
              <w:top w:val="single" w:sz="4" w:space="0" w:color="auto"/>
              <w:left w:val="single" w:sz="2" w:space="0" w:color="auto"/>
              <w:bottom w:val="single" w:sz="2" w:space="0" w:color="auto"/>
              <w:right w:val="single" w:sz="2" w:space="0" w:color="auto"/>
            </w:tcBorders>
            <w:vAlign w:val="center"/>
          </w:tcPr>
          <w:p w:rsidR="003E78B5" w:rsidRPr="009263D7" w:rsidRDefault="003E78B5" w:rsidP="00675CD0">
            <w:pPr>
              <w:widowControl/>
              <w:jc w:val="center"/>
              <w:rPr>
                <w:rFonts w:ascii="宋体" w:hAnsi="宋体" w:cs="宋体"/>
                <w:color w:val="000000" w:themeColor="text1"/>
                <w:kern w:val="0"/>
                <w:sz w:val="18"/>
                <w:szCs w:val="18"/>
              </w:rPr>
            </w:pPr>
            <w:r w:rsidRPr="00C020B4">
              <w:rPr>
                <w:rFonts w:ascii="宋体" w:hAnsi="宋体" w:cs="宋体" w:hint="eastAsia"/>
                <w:color w:val="000000" w:themeColor="text1"/>
                <w:kern w:val="0"/>
                <w:sz w:val="18"/>
                <w:szCs w:val="18"/>
              </w:rPr>
              <w:t>子</w:t>
            </w:r>
          </w:p>
        </w:tc>
        <w:tc>
          <w:tcPr>
            <w:tcW w:w="708" w:type="dxa"/>
            <w:gridSpan w:val="2"/>
            <w:tcBorders>
              <w:top w:val="single" w:sz="4" w:space="0" w:color="auto"/>
              <w:left w:val="single" w:sz="2" w:space="0" w:color="auto"/>
              <w:bottom w:val="single" w:sz="2" w:space="0" w:color="auto"/>
              <w:right w:val="single" w:sz="2" w:space="0" w:color="auto"/>
            </w:tcBorders>
            <w:shd w:val="clear" w:color="auto" w:fill="auto"/>
            <w:noWrap/>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709" w:type="dxa"/>
            <w:tcBorders>
              <w:top w:val="single" w:sz="4" w:space="0" w:color="auto"/>
              <w:left w:val="single" w:sz="2" w:space="0" w:color="auto"/>
              <w:bottom w:val="single" w:sz="2" w:space="0" w:color="auto"/>
              <w:right w:val="single" w:sz="2" w:space="0" w:color="auto"/>
            </w:tcBorders>
            <w:shd w:val="clear" w:color="auto" w:fill="auto"/>
            <w:noWrap/>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851" w:type="dxa"/>
            <w:tcBorders>
              <w:top w:val="single" w:sz="4" w:space="0" w:color="auto"/>
              <w:left w:val="single" w:sz="2" w:space="0" w:color="auto"/>
              <w:bottom w:val="single" w:sz="2" w:space="0" w:color="auto"/>
              <w:right w:val="single" w:sz="2" w:space="0" w:color="auto"/>
            </w:tcBorders>
            <w:shd w:val="clear" w:color="auto" w:fill="auto"/>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850" w:type="dxa"/>
            <w:gridSpan w:val="2"/>
            <w:tcBorders>
              <w:top w:val="nil"/>
              <w:left w:val="single" w:sz="2" w:space="0" w:color="auto"/>
              <w:bottom w:val="single" w:sz="2" w:space="0" w:color="auto"/>
              <w:right w:val="single" w:sz="2" w:space="0" w:color="auto"/>
            </w:tcBorders>
            <w:shd w:val="clear" w:color="auto" w:fill="auto"/>
            <w:noWrap/>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851" w:type="dxa"/>
            <w:gridSpan w:val="2"/>
            <w:tcBorders>
              <w:top w:val="nil"/>
              <w:left w:val="single" w:sz="2" w:space="0" w:color="auto"/>
              <w:bottom w:val="single" w:sz="2" w:space="0" w:color="auto"/>
              <w:right w:val="single" w:sz="2" w:space="0" w:color="auto"/>
            </w:tcBorders>
            <w:shd w:val="clear" w:color="auto" w:fill="auto"/>
            <w:noWrap/>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850" w:type="dxa"/>
            <w:gridSpan w:val="2"/>
            <w:tcBorders>
              <w:top w:val="nil"/>
              <w:left w:val="single" w:sz="2" w:space="0" w:color="auto"/>
              <w:bottom w:val="single" w:sz="2" w:space="0" w:color="auto"/>
              <w:right w:val="single" w:sz="2" w:space="0" w:color="auto"/>
            </w:tcBorders>
            <w:shd w:val="clear" w:color="auto" w:fill="auto"/>
            <w:noWrap/>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709" w:type="dxa"/>
            <w:tcBorders>
              <w:top w:val="nil"/>
              <w:left w:val="single" w:sz="2" w:space="0" w:color="auto"/>
              <w:bottom w:val="single" w:sz="2" w:space="0" w:color="auto"/>
              <w:right w:val="single" w:sz="2" w:space="0" w:color="auto"/>
            </w:tcBorders>
            <w:shd w:val="clear" w:color="auto" w:fill="auto"/>
            <w:noWrap/>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1134" w:type="dxa"/>
            <w:gridSpan w:val="2"/>
            <w:tcBorders>
              <w:top w:val="nil"/>
              <w:left w:val="single" w:sz="2" w:space="0" w:color="auto"/>
              <w:bottom w:val="single" w:sz="2" w:space="0" w:color="auto"/>
              <w:right w:val="single" w:sz="2" w:space="0" w:color="auto"/>
            </w:tcBorders>
            <w:shd w:val="clear" w:color="auto" w:fill="auto"/>
            <w:noWrap/>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1134" w:type="dxa"/>
            <w:gridSpan w:val="3"/>
            <w:tcBorders>
              <w:top w:val="nil"/>
              <w:left w:val="single" w:sz="2" w:space="0" w:color="auto"/>
              <w:bottom w:val="single" w:sz="2" w:space="0" w:color="auto"/>
              <w:right w:val="single" w:sz="2" w:space="0" w:color="auto"/>
            </w:tcBorders>
            <w:shd w:val="clear" w:color="auto" w:fill="auto"/>
            <w:noWrap/>
            <w:vAlign w:val="center"/>
          </w:tcPr>
          <w:p w:rsidR="003E78B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c>
          <w:tcPr>
            <w:tcW w:w="709" w:type="dxa"/>
            <w:tcBorders>
              <w:top w:val="single" w:sz="4" w:space="0" w:color="auto"/>
              <w:left w:val="single" w:sz="2" w:space="0" w:color="auto"/>
              <w:bottom w:val="single" w:sz="2" w:space="0" w:color="auto"/>
              <w:right w:val="nil"/>
            </w:tcBorders>
            <w:shd w:val="clear" w:color="auto" w:fill="auto"/>
            <w:noWrap/>
            <w:vAlign w:val="center"/>
          </w:tcPr>
          <w:p w:rsidR="003E78B5" w:rsidRPr="009263D7" w:rsidRDefault="003E78B5">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丑</w:t>
            </w:r>
          </w:p>
        </w:tc>
      </w:tr>
      <w:tr w:rsidR="003E78B5" w:rsidRPr="009263D7" w:rsidTr="003E78B5">
        <w:trPr>
          <w:trHeight w:val="285"/>
        </w:trPr>
        <w:tc>
          <w:tcPr>
            <w:tcW w:w="816" w:type="dxa"/>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10" w:type="dxa"/>
            <w:gridSpan w:val="3"/>
            <w:tcBorders>
              <w:top w:val="single" w:sz="2" w:space="0" w:color="auto"/>
              <w:left w:val="nil"/>
              <w:bottom w:val="nil"/>
              <w:right w:val="nil"/>
            </w:tcBorders>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08"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560"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0"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1"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0"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09" w:type="dxa"/>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3"/>
            <w:tcBorders>
              <w:top w:val="single" w:sz="2" w:space="0" w:color="auto"/>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09" w:type="dxa"/>
            <w:tcBorders>
              <w:top w:val="single" w:sz="2" w:space="0" w:color="auto"/>
              <w:left w:val="nil"/>
              <w:bottom w:val="nil"/>
              <w:right w:val="nil"/>
            </w:tcBorders>
            <w:shd w:val="clear" w:color="auto" w:fill="auto"/>
            <w:vAlign w:val="center"/>
          </w:tcPr>
          <w:p w:rsidR="003E78B5" w:rsidRPr="009263D7" w:rsidRDefault="003E78B5" w:rsidP="00675CD0">
            <w:pPr>
              <w:widowControl/>
              <w:jc w:val="left"/>
              <w:rPr>
                <w:rFonts w:ascii="Calibri" w:hAnsi="Calibri" w:cs="宋体"/>
                <w:color w:val="000000" w:themeColor="text1"/>
                <w:kern w:val="0"/>
                <w:szCs w:val="21"/>
              </w:rPr>
            </w:pPr>
          </w:p>
        </w:tc>
      </w:tr>
      <w:tr w:rsidR="003E78B5" w:rsidRPr="009263D7" w:rsidTr="003E78B5">
        <w:trPr>
          <w:trHeight w:val="285"/>
        </w:trPr>
        <w:tc>
          <w:tcPr>
            <w:tcW w:w="816" w:type="dxa"/>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10" w:type="dxa"/>
            <w:gridSpan w:val="3"/>
            <w:tcBorders>
              <w:top w:val="nil"/>
              <w:left w:val="nil"/>
              <w:bottom w:val="nil"/>
              <w:right w:val="nil"/>
            </w:tcBorders>
          </w:tcPr>
          <w:p w:rsidR="003E78B5" w:rsidRPr="009263D7" w:rsidRDefault="003E78B5" w:rsidP="00675CD0">
            <w:pPr>
              <w:widowControl/>
              <w:jc w:val="left"/>
              <w:rPr>
                <w:rFonts w:ascii="宋体" w:hAnsi="宋体" w:cs="宋体"/>
                <w:color w:val="000000" w:themeColor="text1"/>
                <w:kern w:val="0"/>
                <w:sz w:val="18"/>
                <w:szCs w:val="18"/>
              </w:rPr>
            </w:pPr>
          </w:p>
        </w:tc>
        <w:tc>
          <w:tcPr>
            <w:tcW w:w="708"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560"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0"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1"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850"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09" w:type="dxa"/>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2"/>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1134" w:type="dxa"/>
            <w:gridSpan w:val="3"/>
            <w:tcBorders>
              <w:top w:val="nil"/>
              <w:left w:val="nil"/>
              <w:bottom w:val="nil"/>
              <w:right w:val="nil"/>
            </w:tcBorders>
            <w:shd w:val="clear" w:color="auto" w:fill="auto"/>
            <w:noWrap/>
            <w:vAlign w:val="center"/>
          </w:tcPr>
          <w:p w:rsidR="003E78B5" w:rsidRPr="009263D7" w:rsidRDefault="003E78B5" w:rsidP="00675CD0">
            <w:pPr>
              <w:widowControl/>
              <w:jc w:val="left"/>
              <w:rPr>
                <w:rFonts w:ascii="宋体" w:hAnsi="宋体" w:cs="宋体"/>
                <w:color w:val="000000" w:themeColor="text1"/>
                <w:kern w:val="0"/>
                <w:sz w:val="18"/>
                <w:szCs w:val="18"/>
              </w:rPr>
            </w:pPr>
          </w:p>
        </w:tc>
        <w:tc>
          <w:tcPr>
            <w:tcW w:w="709" w:type="dxa"/>
            <w:tcBorders>
              <w:top w:val="nil"/>
              <w:left w:val="nil"/>
              <w:bottom w:val="nil"/>
              <w:right w:val="nil"/>
            </w:tcBorders>
            <w:shd w:val="clear" w:color="auto" w:fill="auto"/>
            <w:vAlign w:val="center"/>
          </w:tcPr>
          <w:p w:rsidR="003E78B5" w:rsidRPr="009263D7" w:rsidRDefault="003E78B5" w:rsidP="00675CD0">
            <w:pPr>
              <w:widowControl/>
              <w:jc w:val="left"/>
              <w:rPr>
                <w:rFonts w:ascii="Calibri" w:hAnsi="Calibri" w:cs="宋体"/>
                <w:color w:val="000000" w:themeColor="text1"/>
                <w:kern w:val="0"/>
                <w:szCs w:val="21"/>
              </w:rPr>
            </w:pPr>
          </w:p>
        </w:tc>
      </w:tr>
      <w:tr w:rsidR="003E78B5" w:rsidRPr="009263D7" w:rsidTr="003E78B5">
        <w:trPr>
          <w:trHeight w:val="300"/>
        </w:trPr>
        <w:tc>
          <w:tcPr>
            <w:tcW w:w="816" w:type="dxa"/>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10" w:type="dxa"/>
            <w:gridSpan w:val="3"/>
            <w:tcBorders>
              <w:top w:val="nil"/>
              <w:left w:val="nil"/>
              <w:bottom w:val="single" w:sz="8" w:space="0" w:color="auto"/>
              <w:right w:val="nil"/>
            </w:tcBorders>
          </w:tcPr>
          <w:p w:rsidR="003E78B5" w:rsidRPr="009263D7" w:rsidRDefault="003E78B5" w:rsidP="00675CD0">
            <w:pPr>
              <w:widowControl/>
              <w:jc w:val="left"/>
              <w:rPr>
                <w:rFonts w:ascii="宋体" w:hAnsi="宋体" w:cs="宋体"/>
                <w:color w:val="000000" w:themeColor="text1"/>
                <w:kern w:val="0"/>
                <w:sz w:val="18"/>
                <w:szCs w:val="18"/>
              </w:rPr>
            </w:pPr>
          </w:p>
        </w:tc>
        <w:tc>
          <w:tcPr>
            <w:tcW w:w="708"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60"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50"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51"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50"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09" w:type="dxa"/>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34" w:type="dxa"/>
            <w:gridSpan w:val="2"/>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34" w:type="dxa"/>
            <w:gridSpan w:val="3"/>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09" w:type="dxa"/>
            <w:tcBorders>
              <w:top w:val="nil"/>
              <w:left w:val="nil"/>
              <w:bottom w:val="single" w:sz="8" w:space="0" w:color="auto"/>
              <w:right w:val="nil"/>
            </w:tcBorders>
            <w:shd w:val="clear" w:color="auto" w:fill="auto"/>
            <w:noWrap/>
            <w:vAlign w:val="center"/>
          </w:tcPr>
          <w:p w:rsidR="003E78B5" w:rsidRPr="009263D7" w:rsidRDefault="00CB4B9E" w:rsidP="00675CD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6A3355" w:rsidRPr="009263D7" w:rsidRDefault="00CB4B9E" w:rsidP="006A3355">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tabs>
          <w:tab w:val="left" w:pos="6930"/>
        </w:tabs>
        <w:spacing w:line="240" w:lineRule="exact"/>
        <w:rPr>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6A3355" w:rsidRPr="009263D7" w:rsidRDefault="006A3355" w:rsidP="006A3355">
      <w:pPr>
        <w:tabs>
          <w:tab w:val="left" w:pos="6930"/>
        </w:tabs>
        <w:spacing w:line="240" w:lineRule="exact"/>
        <w:rPr>
          <w:color w:val="000000" w:themeColor="text1"/>
          <w:sz w:val="18"/>
        </w:rPr>
      </w:pPr>
    </w:p>
    <w:p w:rsidR="00D35AC5" w:rsidRPr="009263D7" w:rsidRDefault="00D35AC5" w:rsidP="00D35AC5">
      <w:pPr>
        <w:spacing w:line="280" w:lineRule="exact"/>
        <w:jc w:val="left"/>
        <w:rPr>
          <w:color w:val="000000" w:themeColor="text1"/>
          <w:sz w:val="18"/>
          <w:szCs w:val="18"/>
        </w:rPr>
      </w:pPr>
    </w:p>
    <w:p w:rsidR="00D35AC5" w:rsidRPr="009263D7" w:rsidRDefault="00CB4B9E" w:rsidP="00D35AC5">
      <w:pPr>
        <w:spacing w:line="280" w:lineRule="exact"/>
        <w:ind w:leftChars="-1" w:left="1062" w:hangingChars="591" w:hanging="1064"/>
        <w:rPr>
          <w:rFonts w:ascii="宋体" w:hAnsi="宋体" w:cs="宋体"/>
          <w:color w:val="000000" w:themeColor="text1"/>
          <w:kern w:val="0"/>
          <w:sz w:val="18"/>
          <w:szCs w:val="18"/>
        </w:rPr>
      </w:pPr>
      <w:r w:rsidRPr="00CB4B9E">
        <w:rPr>
          <w:rFonts w:ascii="宋体" w:hAnsi="宋体" w:cs="宋体"/>
          <w:color w:val="000000" w:themeColor="text1"/>
          <w:kern w:val="0"/>
          <w:sz w:val="18"/>
          <w:szCs w:val="18"/>
        </w:rPr>
        <w:br w:type="page"/>
      </w:r>
    </w:p>
    <w:p w:rsidR="00D35AC5" w:rsidRPr="009263D7" w:rsidRDefault="00CB4B9E" w:rsidP="00D35AC5">
      <w:pPr>
        <w:pStyle w:val="2"/>
        <w:jc w:val="center"/>
        <w:rPr>
          <w:rFonts w:ascii="宋体" w:eastAsia="宋体" w:hAnsi="宋体"/>
          <w:b w:val="0"/>
          <w:color w:val="000000" w:themeColor="text1"/>
          <w:kern w:val="0"/>
        </w:rPr>
      </w:pPr>
      <w:bookmarkStart w:id="26" w:name="_Toc452017136"/>
      <w:r w:rsidRPr="00CB4B9E">
        <w:rPr>
          <w:rFonts w:ascii="宋体" w:eastAsia="宋体" w:hAnsi="宋体" w:hint="eastAsia"/>
          <w:b w:val="0"/>
          <w:color w:val="000000" w:themeColor="text1"/>
          <w:kern w:val="0"/>
        </w:rPr>
        <w:lastRenderedPageBreak/>
        <w:t>（四）金融衍生产品及雇员认股权</w:t>
      </w:r>
      <w:bookmarkEnd w:id="26"/>
    </w:p>
    <w:p w:rsidR="0009422E" w:rsidRPr="009263D7" w:rsidRDefault="00CB4B9E" w:rsidP="0009422E">
      <w:pPr>
        <w:tabs>
          <w:tab w:val="left" w:pos="8306"/>
        </w:tabs>
        <w:spacing w:line="240" w:lineRule="exact"/>
        <w:ind w:right="-58" w:firstLineChars="50" w:firstLine="90"/>
        <w:jc w:val="center"/>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C01表</w:t>
      </w:r>
    </w:p>
    <w:p w:rsidR="0009422E" w:rsidRPr="009263D7" w:rsidRDefault="00CB4B9E" w:rsidP="0009422E">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09422E" w:rsidRPr="009263D7" w:rsidRDefault="00CB4B9E" w:rsidP="0009422E">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09422E" w:rsidRPr="009263D7" w:rsidRDefault="00CB4B9E" w:rsidP="0009422E">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09422E" w:rsidRPr="009263D7" w:rsidRDefault="00CB4B9E" w:rsidP="0009422E">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09422E" w:rsidRPr="009263D7" w:rsidRDefault="00CB4B9E" w:rsidP="0009422E">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rPr>
        <w:t xml:space="preserve">                                  </w:t>
      </w:r>
    </w:p>
    <w:p w:rsidR="0009422E" w:rsidRPr="009263D7" w:rsidRDefault="00CB4B9E" w:rsidP="0009422E">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5135" w:type="pct"/>
        <w:tblLayout w:type="fixed"/>
        <w:tblLook w:val="04A0"/>
      </w:tblPr>
      <w:tblGrid>
        <w:gridCol w:w="775"/>
        <w:gridCol w:w="1064"/>
        <w:gridCol w:w="1246"/>
        <w:gridCol w:w="237"/>
        <w:gridCol w:w="754"/>
        <w:gridCol w:w="142"/>
        <w:gridCol w:w="708"/>
        <w:gridCol w:w="382"/>
        <w:gridCol w:w="51"/>
        <w:gridCol w:w="522"/>
        <w:gridCol w:w="261"/>
        <w:gridCol w:w="352"/>
        <w:gridCol w:w="30"/>
        <w:gridCol w:w="631"/>
        <w:gridCol w:w="123"/>
        <w:gridCol w:w="229"/>
        <w:gridCol w:w="400"/>
        <w:gridCol w:w="425"/>
        <w:gridCol w:w="388"/>
        <w:gridCol w:w="392"/>
        <w:gridCol w:w="759"/>
        <w:gridCol w:w="18"/>
      </w:tblGrid>
      <w:tr w:rsidR="00322C1E" w:rsidRPr="009263D7" w:rsidTr="004D143B">
        <w:trPr>
          <w:trHeight w:val="1350"/>
        </w:trPr>
        <w:tc>
          <w:tcPr>
            <w:tcW w:w="392" w:type="pct"/>
            <w:tcBorders>
              <w:top w:val="single" w:sz="8" w:space="0" w:color="auto"/>
              <w:left w:val="nil"/>
              <w:bottom w:val="nil"/>
              <w:right w:val="single" w:sz="2" w:space="0" w:color="auto"/>
            </w:tcBorders>
            <w:shd w:val="clear" w:color="auto" w:fill="auto"/>
            <w:vAlign w:val="center"/>
          </w:tcPr>
          <w:p w:rsidR="001645D0" w:rsidRPr="009263D7" w:rsidRDefault="00CB4B9E" w:rsidP="00E456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填报机构身份</w:t>
            </w:r>
          </w:p>
        </w:tc>
        <w:tc>
          <w:tcPr>
            <w:tcW w:w="538" w:type="pct"/>
            <w:tcBorders>
              <w:top w:val="single" w:sz="8" w:space="0" w:color="auto"/>
              <w:left w:val="single" w:sz="2" w:space="0" w:color="auto"/>
              <w:bottom w:val="nil"/>
              <w:right w:val="single" w:sz="2" w:space="0" w:color="auto"/>
            </w:tcBorders>
            <w:shd w:val="clear" w:color="auto" w:fill="auto"/>
            <w:vAlign w:val="center"/>
          </w:tcPr>
          <w:p w:rsidR="001645D0" w:rsidRPr="009263D7" w:rsidRDefault="00CB4B9E" w:rsidP="00B3278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居民被代理人</w:t>
            </w:r>
            <w:r w:rsidRPr="00CB4B9E">
              <w:rPr>
                <w:rFonts w:ascii="宋体" w:hAnsi="宋体" w:cs="宋体"/>
                <w:color w:val="000000" w:themeColor="text1"/>
                <w:kern w:val="0"/>
                <w:sz w:val="18"/>
                <w:szCs w:val="18"/>
              </w:rPr>
              <w:t>/委托人所属国家/地区</w:t>
            </w:r>
          </w:p>
        </w:tc>
        <w:tc>
          <w:tcPr>
            <w:tcW w:w="630" w:type="pct"/>
            <w:tcBorders>
              <w:top w:val="single" w:sz="8" w:space="0" w:color="auto"/>
              <w:left w:val="single" w:sz="2" w:space="0" w:color="auto"/>
              <w:bottom w:val="nil"/>
              <w:right w:val="single" w:sz="2" w:space="0" w:color="auto"/>
            </w:tcBorders>
            <w:shd w:val="clear" w:color="auto" w:fill="auto"/>
            <w:vAlign w:val="center"/>
          </w:tcPr>
          <w:p w:rsidR="001645D0" w:rsidRPr="009263D7" w:rsidRDefault="00CB4B9E" w:rsidP="00B3278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居民被代理人</w:t>
            </w:r>
            <w:r w:rsidRPr="00CB4B9E">
              <w:rPr>
                <w:rFonts w:ascii="宋体" w:hAnsi="宋体" w:cs="宋体"/>
                <w:color w:val="000000" w:themeColor="text1"/>
                <w:kern w:val="0"/>
                <w:sz w:val="18"/>
                <w:szCs w:val="18"/>
              </w:rPr>
              <w:t>/委托人所属部门</w:t>
            </w:r>
          </w:p>
        </w:tc>
        <w:tc>
          <w:tcPr>
            <w:tcW w:w="573" w:type="pct"/>
            <w:gridSpan w:val="3"/>
            <w:tcBorders>
              <w:top w:val="single" w:sz="8" w:space="0" w:color="auto"/>
              <w:left w:val="single" w:sz="2" w:space="0" w:color="auto"/>
              <w:bottom w:val="nil"/>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合约类别</w:t>
            </w:r>
          </w:p>
        </w:tc>
        <w:tc>
          <w:tcPr>
            <w:tcW w:w="577" w:type="pct"/>
            <w:gridSpan w:val="3"/>
            <w:tcBorders>
              <w:top w:val="single" w:sz="8" w:space="0" w:color="auto"/>
              <w:left w:val="single" w:sz="2" w:space="0" w:color="auto"/>
              <w:bottom w:val="nil"/>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金融风险类别</w:t>
            </w:r>
          </w:p>
        </w:tc>
        <w:tc>
          <w:tcPr>
            <w:tcW w:w="574" w:type="pct"/>
            <w:gridSpan w:val="3"/>
            <w:tcBorders>
              <w:top w:val="single" w:sz="8" w:space="0" w:color="auto"/>
              <w:left w:val="single" w:sz="2" w:space="0" w:color="auto"/>
              <w:bottom w:val="nil"/>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非居民交易对手所属国家</w:t>
            </w:r>
            <w:r w:rsidRPr="00CB4B9E">
              <w:rPr>
                <w:rFonts w:ascii="宋体" w:hAnsi="宋体" w:cs="宋体"/>
                <w:color w:val="000000" w:themeColor="text1"/>
                <w:kern w:val="0"/>
                <w:sz w:val="18"/>
                <w:szCs w:val="18"/>
              </w:rPr>
              <w:t>/地区</w:t>
            </w:r>
          </w:p>
        </w:tc>
        <w:tc>
          <w:tcPr>
            <w:tcW w:w="714" w:type="pct"/>
            <w:gridSpan w:val="5"/>
            <w:tcBorders>
              <w:top w:val="single" w:sz="8" w:space="0" w:color="auto"/>
              <w:left w:val="single" w:sz="2" w:space="0" w:color="auto"/>
              <w:bottom w:val="nil"/>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非居民交易对手所属部门</w:t>
            </w:r>
          </w:p>
        </w:tc>
        <w:tc>
          <w:tcPr>
            <w:tcW w:w="1002" w:type="pct"/>
            <w:gridSpan w:val="5"/>
            <w:tcBorders>
              <w:top w:val="single" w:sz="8" w:space="0" w:color="auto"/>
              <w:left w:val="single" w:sz="2" w:space="0" w:color="auto"/>
              <w:bottom w:val="nil"/>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非居民交易对手与本机构</w:t>
            </w:r>
            <w:r w:rsidRPr="00CB4B9E">
              <w:rPr>
                <w:rFonts w:ascii="宋体" w:hAnsi="宋体" w:cs="宋体"/>
                <w:color w:val="000000" w:themeColor="text1"/>
                <w:kern w:val="0"/>
                <w:sz w:val="18"/>
                <w:szCs w:val="18"/>
              </w:rPr>
              <w:t>/居民机构的关系</w:t>
            </w:r>
          </w:p>
        </w:tc>
      </w:tr>
      <w:tr w:rsidR="00322C1E" w:rsidRPr="009263D7" w:rsidTr="004D143B">
        <w:trPr>
          <w:trHeight w:val="450"/>
        </w:trPr>
        <w:tc>
          <w:tcPr>
            <w:tcW w:w="392" w:type="pct"/>
            <w:tcBorders>
              <w:top w:val="nil"/>
              <w:left w:val="nil"/>
              <w:bottom w:val="single" w:sz="4" w:space="0" w:color="auto"/>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C0101</w:t>
            </w:r>
          </w:p>
        </w:tc>
        <w:tc>
          <w:tcPr>
            <w:tcW w:w="538" w:type="pct"/>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C0102</w:t>
            </w:r>
          </w:p>
        </w:tc>
        <w:tc>
          <w:tcPr>
            <w:tcW w:w="630" w:type="pct"/>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C0103</w:t>
            </w:r>
          </w:p>
        </w:tc>
        <w:tc>
          <w:tcPr>
            <w:tcW w:w="573" w:type="pct"/>
            <w:gridSpan w:val="3"/>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C0104</w:t>
            </w:r>
          </w:p>
        </w:tc>
        <w:tc>
          <w:tcPr>
            <w:tcW w:w="577" w:type="pct"/>
            <w:gridSpan w:val="3"/>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C0105</w:t>
            </w:r>
          </w:p>
        </w:tc>
        <w:tc>
          <w:tcPr>
            <w:tcW w:w="574" w:type="pct"/>
            <w:gridSpan w:val="3"/>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C0106</w:t>
            </w:r>
          </w:p>
        </w:tc>
        <w:tc>
          <w:tcPr>
            <w:tcW w:w="714" w:type="pct"/>
            <w:gridSpan w:val="5"/>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C0107</w:t>
            </w:r>
          </w:p>
        </w:tc>
        <w:tc>
          <w:tcPr>
            <w:tcW w:w="1002" w:type="pct"/>
            <w:gridSpan w:val="5"/>
            <w:tcBorders>
              <w:top w:val="nil"/>
              <w:left w:val="single" w:sz="2" w:space="0" w:color="auto"/>
              <w:bottom w:val="single" w:sz="4"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C0108</w:t>
            </w:r>
          </w:p>
        </w:tc>
      </w:tr>
      <w:tr w:rsidR="001645D0" w:rsidRPr="009263D7" w:rsidTr="004D143B">
        <w:trPr>
          <w:trHeight w:val="285"/>
        </w:trPr>
        <w:tc>
          <w:tcPr>
            <w:tcW w:w="392" w:type="pct"/>
            <w:tcBorders>
              <w:top w:val="single" w:sz="4" w:space="0" w:color="auto"/>
              <w:left w:val="nil"/>
              <w:bottom w:val="single" w:sz="2" w:space="0" w:color="auto"/>
              <w:right w:val="single" w:sz="2" w:space="0" w:color="auto"/>
            </w:tcBorders>
            <w:shd w:val="clear" w:color="auto" w:fill="auto"/>
            <w:noWrap/>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538" w:type="pct"/>
            <w:tcBorders>
              <w:top w:val="single" w:sz="4" w:space="0" w:color="auto"/>
              <w:left w:val="single" w:sz="2" w:space="0" w:color="auto"/>
              <w:bottom w:val="single" w:sz="2" w:space="0" w:color="auto"/>
              <w:right w:val="single" w:sz="2" w:space="0" w:color="auto"/>
            </w:tcBorders>
            <w:shd w:val="clear" w:color="auto" w:fill="auto"/>
            <w:noWrap/>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630" w:type="pct"/>
            <w:tcBorders>
              <w:top w:val="single" w:sz="4" w:space="0" w:color="auto"/>
              <w:left w:val="single" w:sz="2" w:space="0" w:color="auto"/>
              <w:bottom w:val="single" w:sz="2" w:space="0" w:color="auto"/>
              <w:right w:val="single" w:sz="2" w:space="0" w:color="auto"/>
            </w:tcBorders>
            <w:shd w:val="clear" w:color="auto" w:fill="auto"/>
            <w:noWrap/>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573" w:type="pct"/>
            <w:gridSpan w:val="3"/>
            <w:tcBorders>
              <w:top w:val="single" w:sz="4" w:space="0" w:color="auto"/>
              <w:left w:val="single" w:sz="2" w:space="0" w:color="auto"/>
              <w:bottom w:val="single" w:sz="2" w:space="0" w:color="auto"/>
              <w:right w:val="single" w:sz="2" w:space="0" w:color="auto"/>
            </w:tcBorders>
            <w:shd w:val="clear" w:color="auto" w:fill="auto"/>
            <w:noWrap/>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577" w:type="pct"/>
            <w:gridSpan w:val="3"/>
            <w:tcBorders>
              <w:top w:val="single" w:sz="4" w:space="0" w:color="auto"/>
              <w:left w:val="single" w:sz="2" w:space="0" w:color="auto"/>
              <w:bottom w:val="single" w:sz="2" w:space="0" w:color="auto"/>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574" w:type="pct"/>
            <w:gridSpan w:val="3"/>
            <w:tcBorders>
              <w:top w:val="single" w:sz="4" w:space="0" w:color="auto"/>
              <w:left w:val="single" w:sz="2" w:space="0" w:color="auto"/>
              <w:bottom w:val="single" w:sz="2" w:space="0" w:color="auto"/>
              <w:right w:val="single" w:sz="2" w:space="0" w:color="auto"/>
            </w:tcBorders>
            <w:shd w:val="clear" w:color="auto" w:fill="auto"/>
            <w:noWrap/>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714" w:type="pct"/>
            <w:gridSpan w:val="5"/>
            <w:tcBorders>
              <w:top w:val="single" w:sz="4" w:space="0" w:color="auto"/>
              <w:left w:val="single" w:sz="2" w:space="0" w:color="auto"/>
              <w:bottom w:val="single" w:sz="2" w:space="0" w:color="auto"/>
              <w:right w:val="single" w:sz="2" w:space="0" w:color="auto"/>
            </w:tcBorders>
            <w:shd w:val="clear" w:color="auto" w:fill="auto"/>
            <w:noWrap/>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庚</w:t>
            </w:r>
          </w:p>
        </w:tc>
        <w:tc>
          <w:tcPr>
            <w:tcW w:w="1002" w:type="pct"/>
            <w:gridSpan w:val="5"/>
            <w:tcBorders>
              <w:top w:val="single" w:sz="4" w:space="0" w:color="auto"/>
              <w:left w:val="single" w:sz="2" w:space="0" w:color="auto"/>
              <w:bottom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r>
      <w:tr w:rsidR="004D143B" w:rsidRPr="009263D7" w:rsidTr="004D143B">
        <w:trPr>
          <w:gridAfter w:val="3"/>
          <w:wAfter w:w="591" w:type="pct"/>
          <w:trHeight w:val="285"/>
        </w:trPr>
        <w:tc>
          <w:tcPr>
            <w:tcW w:w="392" w:type="pct"/>
            <w:tcBorders>
              <w:top w:val="single" w:sz="2" w:space="0" w:color="auto"/>
              <w:left w:val="nil"/>
              <w:bottom w:val="nil"/>
              <w:right w:val="nil"/>
            </w:tcBorders>
            <w:shd w:val="clear" w:color="auto" w:fill="auto"/>
            <w:noWrap/>
            <w:vAlign w:val="center"/>
          </w:tcPr>
          <w:p w:rsidR="004D143B" w:rsidRPr="009263D7" w:rsidRDefault="004D143B" w:rsidP="008E2D8C">
            <w:pPr>
              <w:keepNext/>
              <w:widowControl/>
              <w:spacing w:line="320" w:lineRule="exact"/>
              <w:jc w:val="left"/>
              <w:outlineLvl w:val="0"/>
              <w:rPr>
                <w:color w:val="000000" w:themeColor="text1"/>
                <w:kern w:val="0"/>
                <w:szCs w:val="21"/>
              </w:rPr>
            </w:pPr>
          </w:p>
        </w:tc>
        <w:tc>
          <w:tcPr>
            <w:tcW w:w="538" w:type="pct"/>
            <w:tcBorders>
              <w:top w:val="single" w:sz="2" w:space="0" w:color="auto"/>
              <w:left w:val="nil"/>
              <w:bottom w:val="nil"/>
              <w:right w:val="nil"/>
            </w:tcBorders>
            <w:shd w:val="clear" w:color="auto" w:fill="auto"/>
            <w:noWrap/>
            <w:vAlign w:val="center"/>
          </w:tcPr>
          <w:p w:rsidR="004D143B" w:rsidRPr="009263D7" w:rsidRDefault="004D143B" w:rsidP="008E2D8C">
            <w:pPr>
              <w:keepNext/>
              <w:widowControl/>
              <w:spacing w:line="320" w:lineRule="exact"/>
              <w:jc w:val="left"/>
              <w:outlineLvl w:val="0"/>
              <w:rPr>
                <w:rFonts w:ascii="宋体" w:hAnsi="宋体" w:cs="宋体"/>
                <w:color w:val="000000" w:themeColor="text1"/>
                <w:kern w:val="0"/>
                <w:sz w:val="24"/>
              </w:rPr>
            </w:pPr>
          </w:p>
        </w:tc>
        <w:tc>
          <w:tcPr>
            <w:tcW w:w="630" w:type="pct"/>
            <w:tcBorders>
              <w:top w:val="single" w:sz="2" w:space="0" w:color="auto"/>
              <w:left w:val="nil"/>
              <w:bottom w:val="nil"/>
              <w:right w:val="nil"/>
            </w:tcBorders>
            <w:shd w:val="clear" w:color="auto" w:fill="auto"/>
            <w:noWrap/>
            <w:vAlign w:val="center"/>
          </w:tcPr>
          <w:p w:rsidR="004D143B" w:rsidRPr="009263D7" w:rsidRDefault="004D143B" w:rsidP="008E2D8C">
            <w:pPr>
              <w:keepNext/>
              <w:widowControl/>
              <w:spacing w:line="320" w:lineRule="exact"/>
              <w:jc w:val="left"/>
              <w:outlineLvl w:val="0"/>
              <w:rPr>
                <w:rFonts w:ascii="宋体" w:hAnsi="宋体" w:cs="宋体"/>
                <w:color w:val="000000" w:themeColor="text1"/>
                <w:kern w:val="0"/>
                <w:sz w:val="24"/>
              </w:rPr>
            </w:pPr>
          </w:p>
        </w:tc>
        <w:tc>
          <w:tcPr>
            <w:tcW w:w="120" w:type="pct"/>
            <w:tcBorders>
              <w:top w:val="single" w:sz="2" w:space="0" w:color="auto"/>
              <w:left w:val="nil"/>
              <w:bottom w:val="nil"/>
              <w:right w:val="nil"/>
            </w:tcBorders>
            <w:shd w:val="clear" w:color="auto" w:fill="auto"/>
            <w:noWrap/>
            <w:vAlign w:val="center"/>
          </w:tcPr>
          <w:p w:rsidR="004D143B" w:rsidRPr="009263D7" w:rsidRDefault="004D143B" w:rsidP="008E2D8C">
            <w:pPr>
              <w:keepNext/>
              <w:widowControl/>
              <w:spacing w:line="320" w:lineRule="exact"/>
              <w:jc w:val="left"/>
              <w:outlineLvl w:val="0"/>
              <w:rPr>
                <w:rFonts w:ascii="宋体" w:hAnsi="宋体" w:cs="宋体"/>
                <w:color w:val="000000" w:themeColor="text1"/>
                <w:kern w:val="0"/>
                <w:sz w:val="24"/>
              </w:rPr>
            </w:pPr>
          </w:p>
        </w:tc>
        <w:tc>
          <w:tcPr>
            <w:tcW w:w="1004" w:type="pct"/>
            <w:gridSpan w:val="4"/>
            <w:tcBorders>
              <w:top w:val="single" w:sz="2" w:space="0" w:color="auto"/>
              <w:left w:val="nil"/>
              <w:bottom w:val="nil"/>
              <w:right w:val="nil"/>
            </w:tcBorders>
            <w:shd w:val="clear" w:color="auto" w:fill="auto"/>
            <w:noWrap/>
            <w:vAlign w:val="center"/>
          </w:tcPr>
          <w:p w:rsidR="004D143B" w:rsidRPr="009263D7" w:rsidRDefault="004D143B" w:rsidP="008E2D8C">
            <w:pPr>
              <w:keepNext/>
              <w:widowControl/>
              <w:spacing w:line="320" w:lineRule="exact"/>
              <w:jc w:val="left"/>
              <w:outlineLvl w:val="0"/>
              <w:rPr>
                <w:rFonts w:ascii="宋体" w:hAnsi="宋体" w:cs="宋体"/>
                <w:color w:val="000000" w:themeColor="text1"/>
                <w:kern w:val="0"/>
                <w:sz w:val="24"/>
              </w:rPr>
            </w:pPr>
          </w:p>
        </w:tc>
        <w:tc>
          <w:tcPr>
            <w:tcW w:w="422" w:type="pct"/>
            <w:gridSpan w:val="3"/>
            <w:tcBorders>
              <w:top w:val="single" w:sz="2" w:space="0" w:color="auto"/>
              <w:left w:val="nil"/>
              <w:bottom w:val="nil"/>
              <w:right w:val="nil"/>
            </w:tcBorders>
            <w:shd w:val="clear" w:color="auto" w:fill="auto"/>
            <w:noWrap/>
            <w:vAlign w:val="center"/>
          </w:tcPr>
          <w:p w:rsidR="004D143B" w:rsidRPr="009263D7" w:rsidRDefault="004D143B" w:rsidP="008E2D8C">
            <w:pPr>
              <w:keepNext/>
              <w:widowControl/>
              <w:spacing w:line="320" w:lineRule="exact"/>
              <w:jc w:val="left"/>
              <w:outlineLvl w:val="0"/>
              <w:rPr>
                <w:rFonts w:ascii="宋体" w:hAnsi="宋体" w:cs="宋体"/>
                <w:color w:val="000000" w:themeColor="text1"/>
                <w:kern w:val="0"/>
                <w:sz w:val="24"/>
              </w:rPr>
            </w:pPr>
          </w:p>
        </w:tc>
        <w:tc>
          <w:tcPr>
            <w:tcW w:w="574" w:type="pct"/>
            <w:gridSpan w:val="4"/>
            <w:tcBorders>
              <w:top w:val="single" w:sz="2" w:space="0" w:color="auto"/>
              <w:left w:val="nil"/>
              <w:bottom w:val="nil"/>
              <w:right w:val="nil"/>
            </w:tcBorders>
            <w:shd w:val="clear" w:color="auto" w:fill="auto"/>
            <w:noWrap/>
            <w:vAlign w:val="center"/>
          </w:tcPr>
          <w:p w:rsidR="004D143B" w:rsidRPr="009263D7" w:rsidRDefault="004D143B" w:rsidP="008E2D8C">
            <w:pPr>
              <w:keepNext/>
              <w:widowControl/>
              <w:spacing w:line="320" w:lineRule="exact"/>
              <w:jc w:val="left"/>
              <w:outlineLvl w:val="0"/>
              <w:rPr>
                <w:rFonts w:ascii="宋体" w:hAnsi="宋体" w:cs="宋体"/>
                <w:color w:val="000000" w:themeColor="text1"/>
                <w:kern w:val="0"/>
                <w:sz w:val="24"/>
              </w:rPr>
            </w:pPr>
          </w:p>
        </w:tc>
        <w:tc>
          <w:tcPr>
            <w:tcW w:w="729" w:type="pct"/>
            <w:gridSpan w:val="4"/>
            <w:tcBorders>
              <w:top w:val="single" w:sz="2" w:space="0" w:color="auto"/>
              <w:left w:val="nil"/>
              <w:bottom w:val="nil"/>
              <w:right w:val="nil"/>
            </w:tcBorders>
            <w:shd w:val="clear" w:color="auto" w:fill="auto"/>
            <w:noWrap/>
            <w:vAlign w:val="center"/>
          </w:tcPr>
          <w:p w:rsidR="004D143B" w:rsidRPr="009263D7" w:rsidRDefault="004D143B" w:rsidP="008E2D8C">
            <w:pPr>
              <w:keepNext/>
              <w:widowControl/>
              <w:spacing w:line="320" w:lineRule="exact"/>
              <w:jc w:val="left"/>
              <w:outlineLvl w:val="0"/>
              <w:rPr>
                <w:rFonts w:ascii="宋体" w:hAnsi="宋体" w:cs="宋体"/>
                <w:color w:val="000000" w:themeColor="text1"/>
                <w:kern w:val="0"/>
                <w:sz w:val="24"/>
              </w:rPr>
            </w:pPr>
          </w:p>
        </w:tc>
      </w:tr>
      <w:tr w:rsidR="001645D0" w:rsidRPr="009263D7">
        <w:trPr>
          <w:trHeight w:val="285"/>
        </w:trPr>
        <w:tc>
          <w:tcPr>
            <w:tcW w:w="392" w:type="pct"/>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center"/>
              <w:outlineLvl w:val="0"/>
              <w:rPr>
                <w:color w:val="000000" w:themeColor="text1"/>
                <w:kern w:val="0"/>
                <w:szCs w:val="21"/>
              </w:rPr>
            </w:pPr>
          </w:p>
        </w:tc>
        <w:tc>
          <w:tcPr>
            <w:tcW w:w="538" w:type="pct"/>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630" w:type="pct"/>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120" w:type="pct"/>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1004" w:type="pct"/>
            <w:gridSpan w:val="4"/>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422" w:type="pct"/>
            <w:gridSpan w:val="3"/>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574" w:type="pct"/>
            <w:gridSpan w:val="4"/>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729" w:type="pct"/>
            <w:gridSpan w:val="4"/>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591" w:type="pct"/>
            <w:gridSpan w:val="3"/>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r>
      <w:tr w:rsidR="001645D0" w:rsidRPr="009263D7">
        <w:trPr>
          <w:trHeight w:val="285"/>
        </w:trPr>
        <w:tc>
          <w:tcPr>
            <w:tcW w:w="392" w:type="pct"/>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center"/>
              <w:outlineLvl w:val="0"/>
              <w:rPr>
                <w:color w:val="000000" w:themeColor="text1"/>
                <w:kern w:val="0"/>
                <w:szCs w:val="21"/>
              </w:rPr>
            </w:pPr>
          </w:p>
        </w:tc>
        <w:tc>
          <w:tcPr>
            <w:tcW w:w="538" w:type="pct"/>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630" w:type="pct"/>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120" w:type="pct"/>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1004" w:type="pct"/>
            <w:gridSpan w:val="4"/>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422" w:type="pct"/>
            <w:gridSpan w:val="3"/>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574" w:type="pct"/>
            <w:gridSpan w:val="4"/>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729" w:type="pct"/>
            <w:gridSpan w:val="4"/>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c>
          <w:tcPr>
            <w:tcW w:w="591" w:type="pct"/>
            <w:gridSpan w:val="3"/>
            <w:tcBorders>
              <w:top w:val="nil"/>
              <w:left w:val="nil"/>
              <w:bottom w:val="nil"/>
              <w:right w:val="nil"/>
            </w:tcBorders>
            <w:shd w:val="clear" w:color="auto" w:fill="auto"/>
            <w:noWrap/>
            <w:vAlign w:val="center"/>
          </w:tcPr>
          <w:p w:rsidR="0009422E" w:rsidRPr="009263D7" w:rsidRDefault="0009422E" w:rsidP="008E2D8C">
            <w:pPr>
              <w:keepNext/>
              <w:widowControl/>
              <w:spacing w:line="320" w:lineRule="exact"/>
              <w:jc w:val="left"/>
              <w:outlineLvl w:val="0"/>
              <w:rPr>
                <w:rFonts w:ascii="宋体" w:hAnsi="宋体" w:cs="宋体"/>
                <w:color w:val="000000" w:themeColor="text1"/>
                <w:kern w:val="0"/>
                <w:sz w:val="24"/>
              </w:rPr>
            </w:pPr>
          </w:p>
        </w:tc>
      </w:tr>
      <w:tr w:rsidR="001645D0" w:rsidRPr="009263D7">
        <w:trPr>
          <w:trHeight w:val="300"/>
        </w:trPr>
        <w:tc>
          <w:tcPr>
            <w:tcW w:w="392" w:type="pct"/>
            <w:tcBorders>
              <w:top w:val="nil"/>
              <w:left w:val="nil"/>
              <w:bottom w:val="single" w:sz="8" w:space="0" w:color="auto"/>
              <w:right w:val="nil"/>
            </w:tcBorders>
            <w:shd w:val="clear" w:color="auto" w:fill="auto"/>
            <w:noWrap/>
            <w:vAlign w:val="center"/>
          </w:tcPr>
          <w:p w:rsidR="0009422E" w:rsidRPr="009263D7" w:rsidRDefault="00CB4B9E" w:rsidP="008E2D8C">
            <w:pPr>
              <w:widowControl/>
              <w:rPr>
                <w:color w:val="000000" w:themeColor="text1"/>
                <w:kern w:val="0"/>
                <w:szCs w:val="21"/>
              </w:rPr>
            </w:pPr>
            <w:r w:rsidRPr="00CB4B9E">
              <w:rPr>
                <w:rFonts w:hint="eastAsia"/>
                <w:color w:val="000000" w:themeColor="text1"/>
                <w:kern w:val="0"/>
                <w:szCs w:val="21"/>
              </w:rPr>
              <w:t xml:space="preserve">　</w:t>
            </w:r>
          </w:p>
        </w:tc>
        <w:tc>
          <w:tcPr>
            <w:tcW w:w="538" w:type="pct"/>
            <w:tcBorders>
              <w:top w:val="nil"/>
              <w:left w:val="nil"/>
              <w:bottom w:val="single" w:sz="8" w:space="0" w:color="auto"/>
              <w:right w:val="nil"/>
            </w:tcBorders>
            <w:shd w:val="clear" w:color="auto" w:fill="auto"/>
            <w:noWrap/>
            <w:vAlign w:val="center"/>
          </w:tcPr>
          <w:p w:rsidR="0009422E"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30" w:type="pct"/>
            <w:tcBorders>
              <w:top w:val="nil"/>
              <w:left w:val="nil"/>
              <w:bottom w:val="single" w:sz="8" w:space="0" w:color="auto"/>
              <w:right w:val="nil"/>
            </w:tcBorders>
            <w:shd w:val="clear" w:color="auto" w:fill="auto"/>
            <w:noWrap/>
            <w:vAlign w:val="center"/>
          </w:tcPr>
          <w:p w:rsidR="0009422E"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20" w:type="pct"/>
            <w:tcBorders>
              <w:top w:val="nil"/>
              <w:left w:val="nil"/>
              <w:bottom w:val="single" w:sz="8" w:space="0" w:color="auto"/>
              <w:right w:val="nil"/>
            </w:tcBorders>
            <w:shd w:val="clear" w:color="auto" w:fill="auto"/>
            <w:noWrap/>
            <w:vAlign w:val="center"/>
          </w:tcPr>
          <w:p w:rsidR="0009422E"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004" w:type="pct"/>
            <w:gridSpan w:val="4"/>
            <w:tcBorders>
              <w:top w:val="nil"/>
              <w:left w:val="nil"/>
              <w:bottom w:val="single" w:sz="8" w:space="0" w:color="auto"/>
              <w:right w:val="nil"/>
            </w:tcBorders>
            <w:shd w:val="clear" w:color="auto" w:fill="auto"/>
            <w:noWrap/>
            <w:vAlign w:val="center"/>
          </w:tcPr>
          <w:p w:rsidR="0009422E"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422" w:type="pct"/>
            <w:gridSpan w:val="3"/>
            <w:tcBorders>
              <w:top w:val="nil"/>
              <w:left w:val="nil"/>
              <w:bottom w:val="single" w:sz="8" w:space="0" w:color="auto"/>
              <w:right w:val="nil"/>
            </w:tcBorders>
            <w:shd w:val="clear" w:color="auto" w:fill="auto"/>
            <w:noWrap/>
            <w:vAlign w:val="center"/>
          </w:tcPr>
          <w:p w:rsidR="0009422E"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574" w:type="pct"/>
            <w:gridSpan w:val="4"/>
            <w:tcBorders>
              <w:top w:val="nil"/>
              <w:left w:val="nil"/>
              <w:bottom w:val="single" w:sz="8" w:space="0" w:color="auto"/>
              <w:right w:val="nil"/>
            </w:tcBorders>
            <w:shd w:val="clear" w:color="auto" w:fill="auto"/>
            <w:noWrap/>
            <w:vAlign w:val="center"/>
          </w:tcPr>
          <w:p w:rsidR="0009422E"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29" w:type="pct"/>
            <w:gridSpan w:val="4"/>
            <w:tcBorders>
              <w:top w:val="nil"/>
              <w:left w:val="nil"/>
              <w:bottom w:val="single" w:sz="8" w:space="0" w:color="auto"/>
              <w:right w:val="nil"/>
            </w:tcBorders>
            <w:shd w:val="clear" w:color="auto" w:fill="auto"/>
            <w:noWrap/>
            <w:vAlign w:val="center"/>
          </w:tcPr>
          <w:p w:rsidR="0009422E"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591" w:type="pct"/>
            <w:gridSpan w:val="3"/>
            <w:tcBorders>
              <w:top w:val="nil"/>
              <w:left w:val="nil"/>
              <w:bottom w:val="single" w:sz="8" w:space="0" w:color="auto"/>
              <w:right w:val="nil"/>
            </w:tcBorders>
            <w:shd w:val="clear" w:color="auto" w:fill="auto"/>
            <w:noWrap/>
            <w:vAlign w:val="center"/>
          </w:tcPr>
          <w:p w:rsidR="0009422E"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r w:rsidR="001645D0" w:rsidRPr="009263D7">
        <w:trPr>
          <w:trHeight w:val="300"/>
        </w:trPr>
        <w:tc>
          <w:tcPr>
            <w:tcW w:w="392" w:type="pct"/>
            <w:tcBorders>
              <w:top w:val="nil"/>
              <w:left w:val="nil"/>
              <w:bottom w:val="single" w:sz="8" w:space="0" w:color="auto"/>
              <w:right w:val="nil"/>
            </w:tcBorders>
            <w:shd w:val="clear" w:color="auto" w:fill="auto"/>
            <w:noWrap/>
            <w:vAlign w:val="center"/>
          </w:tcPr>
          <w:p w:rsidR="0009422E" w:rsidRPr="009263D7" w:rsidRDefault="00CB4B9E" w:rsidP="008E2D8C">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538" w:type="pct"/>
            <w:tcBorders>
              <w:top w:val="nil"/>
              <w:left w:val="nil"/>
              <w:bottom w:val="single" w:sz="8" w:space="0" w:color="auto"/>
              <w:right w:val="nil"/>
            </w:tcBorders>
            <w:shd w:val="clear" w:color="auto" w:fill="auto"/>
            <w:noWrap/>
            <w:vAlign w:val="center"/>
          </w:tcPr>
          <w:p w:rsidR="0009422E" w:rsidRPr="009263D7" w:rsidRDefault="0009422E" w:rsidP="008E2D8C">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630" w:type="pct"/>
            <w:tcBorders>
              <w:top w:val="nil"/>
              <w:left w:val="nil"/>
              <w:bottom w:val="single" w:sz="8" w:space="0" w:color="auto"/>
              <w:right w:val="nil"/>
            </w:tcBorders>
            <w:shd w:val="clear" w:color="auto" w:fill="auto"/>
            <w:noWrap/>
            <w:vAlign w:val="center"/>
          </w:tcPr>
          <w:p w:rsidR="0009422E" w:rsidRPr="009263D7" w:rsidRDefault="0009422E" w:rsidP="008E2D8C">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20" w:type="pct"/>
            <w:tcBorders>
              <w:top w:val="nil"/>
              <w:left w:val="nil"/>
              <w:bottom w:val="single" w:sz="8" w:space="0" w:color="auto"/>
              <w:right w:val="nil"/>
            </w:tcBorders>
            <w:shd w:val="clear" w:color="auto" w:fill="auto"/>
            <w:noWrap/>
            <w:vAlign w:val="center"/>
          </w:tcPr>
          <w:p w:rsidR="0009422E" w:rsidRPr="009263D7" w:rsidRDefault="0009422E" w:rsidP="008E2D8C">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004" w:type="pct"/>
            <w:gridSpan w:val="4"/>
            <w:tcBorders>
              <w:top w:val="nil"/>
              <w:left w:val="nil"/>
              <w:bottom w:val="single" w:sz="8" w:space="0" w:color="auto"/>
              <w:right w:val="nil"/>
            </w:tcBorders>
            <w:shd w:val="clear" w:color="auto" w:fill="auto"/>
            <w:noWrap/>
            <w:vAlign w:val="center"/>
          </w:tcPr>
          <w:p w:rsidR="0009422E" w:rsidRPr="009263D7" w:rsidRDefault="0009422E" w:rsidP="008E2D8C">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422" w:type="pct"/>
            <w:gridSpan w:val="3"/>
            <w:tcBorders>
              <w:top w:val="nil"/>
              <w:left w:val="nil"/>
              <w:bottom w:val="single" w:sz="8" w:space="0" w:color="auto"/>
              <w:right w:val="nil"/>
            </w:tcBorders>
            <w:shd w:val="clear" w:color="auto" w:fill="auto"/>
            <w:noWrap/>
            <w:vAlign w:val="center"/>
          </w:tcPr>
          <w:p w:rsidR="0009422E" w:rsidRPr="009263D7" w:rsidRDefault="0009422E" w:rsidP="008E2D8C">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574" w:type="pct"/>
            <w:gridSpan w:val="4"/>
            <w:tcBorders>
              <w:top w:val="nil"/>
              <w:left w:val="nil"/>
              <w:bottom w:val="single" w:sz="8" w:space="0" w:color="auto"/>
              <w:right w:val="nil"/>
            </w:tcBorders>
            <w:shd w:val="clear" w:color="auto" w:fill="auto"/>
            <w:noWrap/>
            <w:vAlign w:val="center"/>
          </w:tcPr>
          <w:p w:rsidR="0009422E" w:rsidRPr="009263D7" w:rsidRDefault="0009422E" w:rsidP="008E2D8C">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729" w:type="pct"/>
            <w:gridSpan w:val="4"/>
            <w:tcBorders>
              <w:top w:val="nil"/>
              <w:left w:val="nil"/>
              <w:bottom w:val="single" w:sz="8" w:space="0" w:color="auto"/>
              <w:right w:val="nil"/>
            </w:tcBorders>
            <w:shd w:val="clear" w:color="auto" w:fill="auto"/>
            <w:noWrap/>
            <w:vAlign w:val="center"/>
          </w:tcPr>
          <w:p w:rsidR="0009422E" w:rsidRPr="009263D7" w:rsidRDefault="0009422E" w:rsidP="008E2D8C">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591" w:type="pct"/>
            <w:gridSpan w:val="3"/>
            <w:tcBorders>
              <w:top w:val="nil"/>
              <w:left w:val="nil"/>
              <w:bottom w:val="single" w:sz="8" w:space="0" w:color="auto"/>
              <w:right w:val="nil"/>
            </w:tcBorders>
            <w:shd w:val="clear" w:color="auto" w:fill="auto"/>
            <w:noWrap/>
            <w:vAlign w:val="center"/>
          </w:tcPr>
          <w:p w:rsidR="0009422E" w:rsidRPr="009263D7" w:rsidRDefault="0009422E" w:rsidP="008E2D8C">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r>
      <w:tr w:rsidR="00322C1E" w:rsidRPr="009263D7" w:rsidTr="004E7BB4">
        <w:trPr>
          <w:gridAfter w:val="1"/>
          <w:wAfter w:w="9" w:type="pct"/>
          <w:trHeight w:val="808"/>
        </w:trPr>
        <w:tc>
          <w:tcPr>
            <w:tcW w:w="392" w:type="pct"/>
            <w:vMerge w:val="restart"/>
            <w:tcBorders>
              <w:top w:val="single" w:sz="8" w:space="0" w:color="auto"/>
              <w:left w:val="nil"/>
              <w:bottom w:val="nil"/>
              <w:right w:val="single" w:sz="2" w:space="0" w:color="auto"/>
            </w:tcBorders>
            <w:shd w:val="clear" w:color="auto" w:fill="auto"/>
            <w:vAlign w:val="center"/>
          </w:tcPr>
          <w:p w:rsidR="0035038B"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结算的原始</w:t>
            </w:r>
          </w:p>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币种</w:t>
            </w:r>
          </w:p>
        </w:tc>
        <w:tc>
          <w:tcPr>
            <w:tcW w:w="538" w:type="pct"/>
            <w:vMerge w:val="restart"/>
            <w:tcBorders>
              <w:top w:val="single" w:sz="8" w:space="0" w:color="auto"/>
              <w:left w:val="single" w:sz="2" w:space="0" w:color="auto"/>
              <w:bottom w:val="nil"/>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上月末头寸市值</w:t>
            </w:r>
          </w:p>
        </w:tc>
        <w:tc>
          <w:tcPr>
            <w:tcW w:w="630" w:type="pct"/>
            <w:vMerge w:val="restart"/>
            <w:tcBorders>
              <w:top w:val="single" w:sz="8" w:space="0" w:color="auto"/>
              <w:left w:val="single" w:sz="2" w:space="0" w:color="auto"/>
              <w:right w:val="single" w:sz="2" w:space="0" w:color="auto"/>
            </w:tcBorders>
            <w:shd w:val="clear" w:color="auto" w:fill="auto"/>
            <w:vAlign w:val="center"/>
          </w:tcPr>
          <w:p w:rsidR="001645D0" w:rsidRPr="009263D7" w:rsidRDefault="00CB4B9E" w:rsidP="003D7DA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本月（现金）结算付款额</w:t>
            </w:r>
          </w:p>
        </w:tc>
        <w:tc>
          <w:tcPr>
            <w:tcW w:w="501" w:type="pct"/>
            <w:gridSpan w:val="2"/>
            <w:vMerge w:val="restart"/>
            <w:tcBorders>
              <w:top w:val="single" w:sz="8" w:space="0" w:color="auto"/>
              <w:left w:val="single" w:sz="2"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本月（现金）结算收款额</w:t>
            </w:r>
          </w:p>
        </w:tc>
        <w:tc>
          <w:tcPr>
            <w:tcW w:w="1735" w:type="pct"/>
            <w:gridSpan w:val="11"/>
            <w:tcBorders>
              <w:top w:val="single" w:sz="8" w:space="0" w:color="auto"/>
              <w:left w:val="single" w:sz="2" w:space="0" w:color="auto"/>
              <w:bottom w:val="nil"/>
              <w:right w:val="single" w:sz="2" w:space="0" w:color="auto"/>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417" w:type="pct"/>
            <w:gridSpan w:val="2"/>
            <w:vMerge w:val="restart"/>
            <w:tcBorders>
              <w:top w:val="single" w:sz="8" w:space="0" w:color="auto"/>
              <w:left w:val="single" w:sz="2" w:space="0" w:color="auto"/>
              <w:bottom w:val="nil"/>
              <w:right w:val="nil"/>
            </w:tcBorders>
            <w:shd w:val="clear" w:color="auto" w:fill="auto"/>
            <w:vAlign w:val="center"/>
          </w:tcPr>
          <w:p w:rsidR="0035038B"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本月末头寸</w:t>
            </w:r>
          </w:p>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市值</w:t>
            </w:r>
          </w:p>
        </w:tc>
        <w:tc>
          <w:tcPr>
            <w:tcW w:w="394" w:type="pct"/>
            <w:gridSpan w:val="2"/>
            <w:vMerge w:val="restart"/>
            <w:tcBorders>
              <w:top w:val="single" w:sz="8" w:space="0" w:color="auto"/>
              <w:left w:val="single" w:sz="2" w:space="0" w:color="auto"/>
              <w:bottom w:val="nil"/>
              <w:right w:val="nil"/>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名义本金币种</w:t>
            </w:r>
          </w:p>
        </w:tc>
        <w:tc>
          <w:tcPr>
            <w:tcW w:w="384" w:type="pct"/>
            <w:vMerge w:val="restart"/>
            <w:tcBorders>
              <w:top w:val="single" w:sz="8" w:space="0" w:color="auto"/>
              <w:left w:val="single" w:sz="2" w:space="0" w:color="auto"/>
              <w:bottom w:val="nil"/>
              <w:right w:val="nil"/>
            </w:tcBorders>
            <w:shd w:val="clear" w:color="auto" w:fill="auto"/>
            <w:vAlign w:val="center"/>
          </w:tcPr>
          <w:p w:rsidR="001645D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本月末名义本金金额</w:t>
            </w:r>
          </w:p>
        </w:tc>
      </w:tr>
      <w:tr w:rsidR="00322C1E" w:rsidRPr="009263D7" w:rsidTr="004E7BB4">
        <w:trPr>
          <w:gridAfter w:val="1"/>
          <w:wAfter w:w="9" w:type="pct"/>
          <w:trHeight w:val="285"/>
        </w:trPr>
        <w:tc>
          <w:tcPr>
            <w:tcW w:w="392" w:type="pct"/>
            <w:vMerge/>
            <w:tcBorders>
              <w:top w:val="single" w:sz="8" w:space="0" w:color="auto"/>
              <w:left w:val="nil"/>
              <w:bottom w:val="nil"/>
              <w:right w:val="single" w:sz="2" w:space="0" w:color="auto"/>
            </w:tcBorders>
            <w:vAlign w:val="center"/>
          </w:tcPr>
          <w:p w:rsidR="001645D0" w:rsidRPr="009263D7" w:rsidRDefault="001645D0" w:rsidP="008E2D8C">
            <w:pPr>
              <w:keepNext/>
              <w:widowControl/>
              <w:spacing w:line="320" w:lineRule="exact"/>
              <w:jc w:val="left"/>
              <w:outlineLvl w:val="0"/>
              <w:rPr>
                <w:rFonts w:ascii="宋体" w:hAnsi="宋体" w:cs="宋体"/>
                <w:color w:val="000000" w:themeColor="text1"/>
                <w:kern w:val="0"/>
                <w:sz w:val="18"/>
                <w:szCs w:val="18"/>
              </w:rPr>
            </w:pPr>
          </w:p>
        </w:tc>
        <w:tc>
          <w:tcPr>
            <w:tcW w:w="538" w:type="pct"/>
            <w:vMerge/>
            <w:tcBorders>
              <w:top w:val="single" w:sz="8" w:space="0" w:color="auto"/>
              <w:left w:val="single" w:sz="2" w:space="0" w:color="auto"/>
              <w:bottom w:val="nil"/>
              <w:right w:val="single" w:sz="2" w:space="0" w:color="auto"/>
            </w:tcBorders>
            <w:vAlign w:val="center"/>
          </w:tcPr>
          <w:p w:rsidR="001645D0" w:rsidRPr="009263D7" w:rsidRDefault="001645D0" w:rsidP="008E2D8C">
            <w:pPr>
              <w:keepNext/>
              <w:widowControl/>
              <w:spacing w:line="320" w:lineRule="exact"/>
              <w:jc w:val="left"/>
              <w:outlineLvl w:val="0"/>
              <w:rPr>
                <w:rFonts w:ascii="宋体" w:hAnsi="宋体" w:cs="宋体"/>
                <w:color w:val="000000" w:themeColor="text1"/>
                <w:kern w:val="0"/>
                <w:sz w:val="18"/>
                <w:szCs w:val="18"/>
              </w:rPr>
            </w:pPr>
          </w:p>
        </w:tc>
        <w:tc>
          <w:tcPr>
            <w:tcW w:w="630" w:type="pct"/>
            <w:vMerge/>
            <w:tcBorders>
              <w:left w:val="single" w:sz="2" w:space="0" w:color="auto"/>
              <w:bottom w:val="nil"/>
              <w:right w:val="single" w:sz="2" w:space="0" w:color="auto"/>
            </w:tcBorders>
            <w:vAlign w:val="center"/>
          </w:tcPr>
          <w:p w:rsidR="001645D0" w:rsidRPr="009263D7" w:rsidRDefault="001645D0" w:rsidP="008E2D8C">
            <w:pPr>
              <w:keepNext/>
              <w:widowControl/>
              <w:spacing w:line="320" w:lineRule="exact"/>
              <w:jc w:val="left"/>
              <w:outlineLvl w:val="0"/>
              <w:rPr>
                <w:rFonts w:ascii="宋体" w:hAnsi="宋体" w:cs="宋体"/>
                <w:color w:val="000000" w:themeColor="text1"/>
                <w:kern w:val="0"/>
                <w:sz w:val="18"/>
                <w:szCs w:val="18"/>
              </w:rPr>
            </w:pPr>
          </w:p>
        </w:tc>
        <w:tc>
          <w:tcPr>
            <w:tcW w:w="501" w:type="pct"/>
            <w:gridSpan w:val="2"/>
            <w:vMerge/>
            <w:tcBorders>
              <w:left w:val="single" w:sz="2" w:space="0" w:color="auto"/>
              <w:bottom w:val="nil"/>
              <w:right w:val="single" w:sz="2" w:space="0" w:color="auto"/>
            </w:tcBorders>
            <w:vAlign w:val="center"/>
          </w:tcPr>
          <w:p w:rsidR="001645D0" w:rsidRPr="009263D7" w:rsidRDefault="001645D0" w:rsidP="008E2D8C">
            <w:pPr>
              <w:keepNext/>
              <w:widowControl/>
              <w:spacing w:line="320" w:lineRule="exact"/>
              <w:jc w:val="left"/>
              <w:outlineLvl w:val="0"/>
              <w:rPr>
                <w:rFonts w:ascii="宋体" w:hAnsi="宋体" w:cs="宋体"/>
                <w:color w:val="000000" w:themeColor="text1"/>
                <w:kern w:val="0"/>
                <w:sz w:val="18"/>
                <w:szCs w:val="18"/>
              </w:rPr>
            </w:pPr>
          </w:p>
        </w:tc>
        <w:tc>
          <w:tcPr>
            <w:tcW w:w="430" w:type="pct"/>
            <w:gridSpan w:val="2"/>
            <w:tcBorders>
              <w:top w:val="nil"/>
              <w:left w:val="single" w:sz="2" w:space="0" w:color="auto"/>
              <w:bottom w:val="nil"/>
              <w:right w:val="single" w:sz="2" w:space="0" w:color="auto"/>
            </w:tcBorders>
            <w:shd w:val="clear" w:color="auto" w:fill="auto"/>
            <w:vAlign w:val="center"/>
          </w:tcPr>
          <w:p w:rsidR="001645D0" w:rsidRPr="009263D7" w:rsidRDefault="001645D0" w:rsidP="008E2D8C">
            <w:pPr>
              <w:keepNext/>
              <w:widowControl/>
              <w:spacing w:line="320" w:lineRule="exact"/>
              <w:jc w:val="center"/>
              <w:outlineLvl w:val="0"/>
              <w:rPr>
                <w:rFonts w:ascii="宋体" w:hAnsi="宋体" w:cs="宋体"/>
                <w:color w:val="000000" w:themeColor="text1"/>
                <w:kern w:val="0"/>
                <w:sz w:val="18"/>
                <w:szCs w:val="18"/>
              </w:rPr>
            </w:pPr>
          </w:p>
        </w:tc>
        <w:tc>
          <w:tcPr>
            <w:tcW w:w="808" w:type="pct"/>
            <w:gridSpan w:val="6"/>
            <w:tcBorders>
              <w:top w:val="single" w:sz="2" w:space="0" w:color="auto"/>
              <w:left w:val="single" w:sz="2" w:space="0" w:color="auto"/>
              <w:bottom w:val="nil"/>
              <w:right w:val="single" w:sz="2" w:space="0" w:color="auto"/>
            </w:tcBorders>
            <w:shd w:val="clear" w:color="auto" w:fill="auto"/>
            <w:vAlign w:val="center"/>
          </w:tcPr>
          <w:p w:rsidR="001645D0" w:rsidRPr="009263D7" w:rsidRDefault="00CB4B9E" w:rsidP="0034322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注销、调整及重新分类至其他报表统计的金额</w:t>
            </w:r>
          </w:p>
        </w:tc>
        <w:tc>
          <w:tcPr>
            <w:tcW w:w="497" w:type="pct"/>
            <w:gridSpan w:val="3"/>
            <w:tcBorders>
              <w:top w:val="single" w:sz="2" w:space="0" w:color="auto"/>
              <w:left w:val="single" w:sz="2" w:space="0" w:color="auto"/>
              <w:bottom w:val="nil"/>
              <w:right w:val="single" w:sz="2" w:space="0" w:color="auto"/>
            </w:tcBorders>
            <w:shd w:val="clear" w:color="auto" w:fill="auto"/>
            <w:vAlign w:val="center"/>
          </w:tcPr>
          <w:p w:rsidR="001645D0" w:rsidRPr="009263D7" w:rsidRDefault="00CB4B9E" w:rsidP="00F2779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价值重估因素</w:t>
            </w:r>
          </w:p>
        </w:tc>
        <w:tc>
          <w:tcPr>
            <w:tcW w:w="417" w:type="pct"/>
            <w:gridSpan w:val="2"/>
            <w:vMerge/>
            <w:tcBorders>
              <w:top w:val="single" w:sz="8" w:space="0" w:color="auto"/>
              <w:left w:val="single" w:sz="2" w:space="0" w:color="auto"/>
              <w:bottom w:val="nil"/>
              <w:right w:val="nil"/>
            </w:tcBorders>
            <w:vAlign w:val="center"/>
          </w:tcPr>
          <w:p w:rsidR="001645D0" w:rsidRPr="009263D7" w:rsidRDefault="001645D0" w:rsidP="008E2D8C">
            <w:pPr>
              <w:keepNext/>
              <w:widowControl/>
              <w:spacing w:line="320" w:lineRule="exact"/>
              <w:jc w:val="left"/>
              <w:outlineLvl w:val="0"/>
              <w:rPr>
                <w:rFonts w:ascii="宋体" w:hAnsi="宋体" w:cs="宋体"/>
                <w:color w:val="000000" w:themeColor="text1"/>
                <w:kern w:val="0"/>
                <w:sz w:val="18"/>
                <w:szCs w:val="18"/>
              </w:rPr>
            </w:pPr>
          </w:p>
        </w:tc>
        <w:tc>
          <w:tcPr>
            <w:tcW w:w="394" w:type="pct"/>
            <w:gridSpan w:val="2"/>
            <w:vMerge/>
            <w:tcBorders>
              <w:top w:val="single" w:sz="8" w:space="0" w:color="auto"/>
              <w:left w:val="single" w:sz="2" w:space="0" w:color="auto"/>
              <w:bottom w:val="nil"/>
              <w:right w:val="nil"/>
            </w:tcBorders>
            <w:vAlign w:val="center"/>
          </w:tcPr>
          <w:p w:rsidR="001645D0" w:rsidRPr="009263D7" w:rsidRDefault="001645D0" w:rsidP="008E2D8C">
            <w:pPr>
              <w:keepNext/>
              <w:widowControl/>
              <w:spacing w:line="320" w:lineRule="exact"/>
              <w:jc w:val="left"/>
              <w:outlineLvl w:val="0"/>
              <w:rPr>
                <w:rFonts w:ascii="宋体" w:hAnsi="宋体" w:cs="宋体"/>
                <w:color w:val="000000" w:themeColor="text1"/>
                <w:kern w:val="0"/>
                <w:sz w:val="18"/>
                <w:szCs w:val="18"/>
              </w:rPr>
            </w:pPr>
          </w:p>
        </w:tc>
        <w:tc>
          <w:tcPr>
            <w:tcW w:w="384" w:type="pct"/>
            <w:vMerge/>
            <w:tcBorders>
              <w:top w:val="single" w:sz="8" w:space="0" w:color="auto"/>
              <w:left w:val="single" w:sz="2" w:space="0" w:color="auto"/>
              <w:bottom w:val="nil"/>
              <w:right w:val="nil"/>
            </w:tcBorders>
            <w:vAlign w:val="center"/>
          </w:tcPr>
          <w:p w:rsidR="001645D0" w:rsidRPr="009263D7" w:rsidRDefault="001645D0" w:rsidP="008E2D8C">
            <w:pPr>
              <w:keepNext/>
              <w:widowControl/>
              <w:spacing w:line="320" w:lineRule="exact"/>
              <w:jc w:val="left"/>
              <w:outlineLvl w:val="0"/>
              <w:rPr>
                <w:rFonts w:ascii="宋体" w:hAnsi="宋体" w:cs="宋体"/>
                <w:color w:val="000000" w:themeColor="text1"/>
                <w:kern w:val="0"/>
                <w:sz w:val="18"/>
                <w:szCs w:val="18"/>
              </w:rPr>
            </w:pPr>
          </w:p>
        </w:tc>
      </w:tr>
      <w:tr w:rsidR="00322C1E" w:rsidRPr="009263D7" w:rsidTr="004E7BB4">
        <w:trPr>
          <w:gridAfter w:val="1"/>
          <w:wAfter w:w="9" w:type="pct"/>
          <w:trHeight w:val="450"/>
        </w:trPr>
        <w:tc>
          <w:tcPr>
            <w:tcW w:w="392" w:type="pct"/>
            <w:tcBorders>
              <w:top w:val="nil"/>
              <w:left w:val="nil"/>
              <w:bottom w:val="single" w:sz="4"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C0109</w:t>
            </w:r>
          </w:p>
        </w:tc>
        <w:tc>
          <w:tcPr>
            <w:tcW w:w="538" w:type="pct"/>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C0110</w:t>
            </w:r>
          </w:p>
        </w:tc>
        <w:tc>
          <w:tcPr>
            <w:tcW w:w="630" w:type="pct"/>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C0111</w:t>
            </w:r>
          </w:p>
        </w:tc>
        <w:tc>
          <w:tcPr>
            <w:tcW w:w="501" w:type="pct"/>
            <w:gridSpan w:val="2"/>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C0112</w:t>
            </w:r>
          </w:p>
        </w:tc>
        <w:tc>
          <w:tcPr>
            <w:tcW w:w="430" w:type="pct"/>
            <w:gridSpan w:val="2"/>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C0113</w:t>
            </w:r>
          </w:p>
        </w:tc>
        <w:tc>
          <w:tcPr>
            <w:tcW w:w="808" w:type="pct"/>
            <w:gridSpan w:val="6"/>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C0114</w:t>
            </w:r>
          </w:p>
        </w:tc>
        <w:tc>
          <w:tcPr>
            <w:tcW w:w="497" w:type="pct"/>
            <w:gridSpan w:val="3"/>
            <w:tcBorders>
              <w:top w:val="nil"/>
              <w:left w:val="single" w:sz="2" w:space="0" w:color="auto"/>
              <w:bottom w:val="single" w:sz="4" w:space="0" w:color="auto"/>
              <w:right w:val="single" w:sz="2" w:space="0" w:color="auto"/>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C0115</w:t>
            </w:r>
          </w:p>
        </w:tc>
        <w:tc>
          <w:tcPr>
            <w:tcW w:w="417" w:type="pct"/>
            <w:gridSpan w:val="2"/>
            <w:tcBorders>
              <w:top w:val="nil"/>
              <w:left w:val="single" w:sz="2" w:space="0" w:color="auto"/>
              <w:bottom w:val="single" w:sz="4" w:space="0" w:color="auto"/>
              <w:right w:val="nil"/>
            </w:tcBorders>
            <w:shd w:val="clear" w:color="auto" w:fill="auto"/>
            <w:vAlign w:val="center"/>
          </w:tcPr>
          <w:p w:rsidR="001645D0"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C0116</w:t>
            </w:r>
          </w:p>
        </w:tc>
        <w:tc>
          <w:tcPr>
            <w:tcW w:w="394" w:type="pct"/>
            <w:gridSpan w:val="2"/>
            <w:tcBorders>
              <w:top w:val="nil"/>
              <w:left w:val="single" w:sz="2" w:space="0" w:color="auto"/>
              <w:bottom w:val="single" w:sz="4" w:space="0" w:color="auto"/>
              <w:right w:val="nil"/>
            </w:tcBorders>
            <w:shd w:val="clear" w:color="auto" w:fill="auto"/>
            <w:vAlign w:val="center"/>
          </w:tcPr>
          <w:p w:rsidR="001645D0" w:rsidRPr="009263D7" w:rsidRDefault="00CB4B9E" w:rsidP="001645D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C0117</w:t>
            </w:r>
          </w:p>
        </w:tc>
        <w:tc>
          <w:tcPr>
            <w:tcW w:w="384" w:type="pct"/>
            <w:tcBorders>
              <w:top w:val="nil"/>
              <w:left w:val="single" w:sz="2" w:space="0" w:color="auto"/>
              <w:bottom w:val="single" w:sz="4" w:space="0" w:color="auto"/>
              <w:right w:val="nil"/>
            </w:tcBorders>
            <w:shd w:val="clear" w:color="auto" w:fill="auto"/>
            <w:vAlign w:val="center"/>
          </w:tcPr>
          <w:p w:rsidR="001645D0" w:rsidRPr="009263D7" w:rsidRDefault="00CB4B9E" w:rsidP="001645D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C0118</w:t>
            </w:r>
          </w:p>
        </w:tc>
      </w:tr>
      <w:tr w:rsidR="003608F4" w:rsidRPr="009263D7" w:rsidTr="004E7BB4">
        <w:trPr>
          <w:gridAfter w:val="1"/>
          <w:wAfter w:w="9" w:type="pct"/>
          <w:trHeight w:val="285"/>
        </w:trPr>
        <w:tc>
          <w:tcPr>
            <w:tcW w:w="392" w:type="pct"/>
            <w:tcBorders>
              <w:top w:val="nil"/>
              <w:left w:val="nil"/>
              <w:bottom w:val="single" w:sz="2" w:space="0" w:color="auto"/>
              <w:right w:val="single" w:sz="2" w:space="0" w:color="auto"/>
            </w:tcBorders>
            <w:shd w:val="clear" w:color="auto" w:fill="auto"/>
            <w:vAlign w:val="center"/>
          </w:tcPr>
          <w:p w:rsidR="003608F4"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壬</w:t>
            </w:r>
          </w:p>
        </w:tc>
        <w:tc>
          <w:tcPr>
            <w:tcW w:w="538" w:type="pct"/>
            <w:tcBorders>
              <w:top w:val="nil"/>
              <w:left w:val="single" w:sz="2" w:space="0" w:color="auto"/>
              <w:bottom w:val="single" w:sz="2" w:space="0" w:color="auto"/>
              <w:right w:val="single" w:sz="2" w:space="0" w:color="auto"/>
            </w:tcBorders>
            <w:shd w:val="clear" w:color="auto" w:fill="auto"/>
            <w:vAlign w:val="center"/>
          </w:tcPr>
          <w:p w:rsidR="003608F4"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630" w:type="pct"/>
            <w:tcBorders>
              <w:top w:val="nil"/>
              <w:left w:val="single" w:sz="2" w:space="0" w:color="auto"/>
              <w:bottom w:val="single" w:sz="2" w:space="0" w:color="auto"/>
              <w:right w:val="single" w:sz="2" w:space="0" w:color="auto"/>
            </w:tcBorders>
            <w:shd w:val="clear" w:color="auto" w:fill="auto"/>
            <w:vAlign w:val="center"/>
          </w:tcPr>
          <w:p w:rsidR="003608F4"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501" w:type="pct"/>
            <w:gridSpan w:val="2"/>
            <w:tcBorders>
              <w:top w:val="nil"/>
              <w:left w:val="single" w:sz="2" w:space="0" w:color="auto"/>
              <w:bottom w:val="single" w:sz="2" w:space="0" w:color="auto"/>
              <w:right w:val="single" w:sz="2" w:space="0" w:color="auto"/>
            </w:tcBorders>
            <w:shd w:val="clear" w:color="auto" w:fill="auto"/>
            <w:vAlign w:val="center"/>
          </w:tcPr>
          <w:p w:rsidR="003608F4" w:rsidRPr="009263D7" w:rsidRDefault="00CB4B9E" w:rsidP="001645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430" w:type="pct"/>
            <w:gridSpan w:val="2"/>
            <w:tcBorders>
              <w:top w:val="nil"/>
              <w:left w:val="single" w:sz="2" w:space="0" w:color="auto"/>
              <w:bottom w:val="single" w:sz="2" w:space="0" w:color="auto"/>
              <w:right w:val="single" w:sz="2" w:space="0" w:color="auto"/>
            </w:tcBorders>
            <w:shd w:val="clear" w:color="auto" w:fill="auto"/>
            <w:vAlign w:val="center"/>
          </w:tcPr>
          <w:p w:rsidR="003608F4"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808" w:type="pct"/>
            <w:gridSpan w:val="6"/>
            <w:tcBorders>
              <w:top w:val="nil"/>
              <w:left w:val="single" w:sz="2" w:space="0" w:color="auto"/>
              <w:bottom w:val="single" w:sz="2" w:space="0" w:color="auto"/>
              <w:right w:val="single" w:sz="2" w:space="0" w:color="auto"/>
            </w:tcBorders>
            <w:shd w:val="clear" w:color="auto" w:fill="auto"/>
            <w:vAlign w:val="center"/>
          </w:tcPr>
          <w:p w:rsidR="003608F4"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497" w:type="pct"/>
            <w:gridSpan w:val="3"/>
            <w:tcBorders>
              <w:top w:val="nil"/>
              <w:left w:val="single" w:sz="2" w:space="0" w:color="auto"/>
              <w:bottom w:val="single" w:sz="2" w:space="0" w:color="auto"/>
              <w:right w:val="single" w:sz="2" w:space="0" w:color="auto"/>
            </w:tcBorders>
            <w:shd w:val="clear" w:color="auto" w:fill="auto"/>
            <w:vAlign w:val="center"/>
          </w:tcPr>
          <w:p w:rsidR="003608F4"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417" w:type="pct"/>
            <w:gridSpan w:val="2"/>
            <w:tcBorders>
              <w:top w:val="nil"/>
              <w:left w:val="single" w:sz="2" w:space="0" w:color="auto"/>
              <w:bottom w:val="single" w:sz="2" w:space="0" w:color="auto"/>
              <w:right w:val="nil"/>
            </w:tcBorders>
            <w:shd w:val="clear" w:color="auto" w:fill="auto"/>
            <w:vAlign w:val="center"/>
          </w:tcPr>
          <w:p w:rsidR="003608F4" w:rsidRPr="009263D7" w:rsidRDefault="00CB4B9E" w:rsidP="00BF1E6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394" w:type="pct"/>
            <w:gridSpan w:val="2"/>
            <w:tcBorders>
              <w:top w:val="nil"/>
              <w:left w:val="single" w:sz="2" w:space="0" w:color="auto"/>
              <w:bottom w:val="single" w:sz="2" w:space="0" w:color="auto"/>
              <w:right w:val="nil"/>
            </w:tcBorders>
            <w:shd w:val="clear" w:color="auto" w:fill="auto"/>
            <w:vAlign w:val="center"/>
          </w:tcPr>
          <w:p w:rsidR="003608F4" w:rsidRPr="009263D7" w:rsidRDefault="00CB4B9E" w:rsidP="008E2D8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癸</w:t>
            </w:r>
          </w:p>
        </w:tc>
        <w:tc>
          <w:tcPr>
            <w:tcW w:w="384" w:type="pct"/>
            <w:tcBorders>
              <w:top w:val="nil"/>
              <w:left w:val="single" w:sz="2" w:space="0" w:color="auto"/>
              <w:bottom w:val="single" w:sz="2" w:space="0" w:color="auto"/>
              <w:right w:val="nil"/>
            </w:tcBorders>
            <w:shd w:val="clear" w:color="auto" w:fill="auto"/>
            <w:vAlign w:val="center"/>
          </w:tcPr>
          <w:p w:rsidR="003608F4" w:rsidRPr="009263D7" w:rsidRDefault="00CB4B9E" w:rsidP="00BF1E6F">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r>
      <w:tr w:rsidR="003608F4" w:rsidRPr="009263D7">
        <w:trPr>
          <w:trHeight w:val="285"/>
        </w:trPr>
        <w:tc>
          <w:tcPr>
            <w:tcW w:w="392" w:type="pct"/>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center"/>
              <w:outlineLvl w:val="0"/>
              <w:rPr>
                <w:color w:val="000000" w:themeColor="text1"/>
                <w:kern w:val="0"/>
                <w:szCs w:val="21"/>
              </w:rPr>
            </w:pPr>
          </w:p>
        </w:tc>
        <w:tc>
          <w:tcPr>
            <w:tcW w:w="538" w:type="pct"/>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630" w:type="pct"/>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120" w:type="pct"/>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1004" w:type="pct"/>
            <w:gridSpan w:val="4"/>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290" w:type="pct"/>
            <w:gridSpan w:val="2"/>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644" w:type="pct"/>
            <w:gridSpan w:val="4"/>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791" w:type="pct"/>
            <w:gridSpan w:val="5"/>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591" w:type="pct"/>
            <w:gridSpan w:val="3"/>
            <w:tcBorders>
              <w:top w:val="single" w:sz="2" w:space="0" w:color="auto"/>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r>
      <w:tr w:rsidR="003608F4" w:rsidRPr="009263D7">
        <w:trPr>
          <w:trHeight w:val="285"/>
        </w:trPr>
        <w:tc>
          <w:tcPr>
            <w:tcW w:w="392" w:type="pct"/>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center"/>
              <w:outlineLvl w:val="0"/>
              <w:rPr>
                <w:color w:val="000000" w:themeColor="text1"/>
                <w:kern w:val="0"/>
                <w:szCs w:val="21"/>
              </w:rPr>
            </w:pPr>
          </w:p>
        </w:tc>
        <w:tc>
          <w:tcPr>
            <w:tcW w:w="538" w:type="pct"/>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630" w:type="pct"/>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120" w:type="pct"/>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1004" w:type="pct"/>
            <w:gridSpan w:val="4"/>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290" w:type="pct"/>
            <w:gridSpan w:val="2"/>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644" w:type="pct"/>
            <w:gridSpan w:val="4"/>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791" w:type="pct"/>
            <w:gridSpan w:val="5"/>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591" w:type="pct"/>
            <w:gridSpan w:val="3"/>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r>
      <w:tr w:rsidR="003608F4" w:rsidRPr="009263D7">
        <w:trPr>
          <w:trHeight w:val="285"/>
        </w:trPr>
        <w:tc>
          <w:tcPr>
            <w:tcW w:w="392" w:type="pct"/>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center"/>
              <w:outlineLvl w:val="0"/>
              <w:rPr>
                <w:color w:val="000000" w:themeColor="text1"/>
                <w:kern w:val="0"/>
                <w:szCs w:val="21"/>
              </w:rPr>
            </w:pPr>
          </w:p>
        </w:tc>
        <w:tc>
          <w:tcPr>
            <w:tcW w:w="538" w:type="pct"/>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630" w:type="pct"/>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120" w:type="pct"/>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1004" w:type="pct"/>
            <w:gridSpan w:val="4"/>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290" w:type="pct"/>
            <w:gridSpan w:val="2"/>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644" w:type="pct"/>
            <w:gridSpan w:val="4"/>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791" w:type="pct"/>
            <w:gridSpan w:val="5"/>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c>
          <w:tcPr>
            <w:tcW w:w="591" w:type="pct"/>
            <w:gridSpan w:val="3"/>
            <w:tcBorders>
              <w:top w:val="nil"/>
              <w:left w:val="nil"/>
              <w:bottom w:val="nil"/>
              <w:right w:val="nil"/>
            </w:tcBorders>
            <w:shd w:val="clear" w:color="auto" w:fill="auto"/>
            <w:noWrap/>
            <w:vAlign w:val="center"/>
          </w:tcPr>
          <w:p w:rsidR="003608F4" w:rsidRPr="009263D7" w:rsidRDefault="003608F4" w:rsidP="008E2D8C">
            <w:pPr>
              <w:keepNext/>
              <w:widowControl/>
              <w:spacing w:line="320" w:lineRule="exact"/>
              <w:jc w:val="left"/>
              <w:outlineLvl w:val="0"/>
              <w:rPr>
                <w:rFonts w:ascii="宋体" w:hAnsi="宋体" w:cs="宋体"/>
                <w:color w:val="000000" w:themeColor="text1"/>
                <w:kern w:val="0"/>
                <w:sz w:val="24"/>
              </w:rPr>
            </w:pPr>
          </w:p>
        </w:tc>
      </w:tr>
      <w:tr w:rsidR="003608F4" w:rsidRPr="009263D7">
        <w:trPr>
          <w:trHeight w:val="300"/>
        </w:trPr>
        <w:tc>
          <w:tcPr>
            <w:tcW w:w="392" w:type="pct"/>
            <w:tcBorders>
              <w:top w:val="nil"/>
              <w:left w:val="nil"/>
              <w:bottom w:val="single" w:sz="8" w:space="0" w:color="auto"/>
              <w:right w:val="nil"/>
            </w:tcBorders>
            <w:shd w:val="clear" w:color="auto" w:fill="auto"/>
            <w:noWrap/>
            <w:vAlign w:val="center"/>
          </w:tcPr>
          <w:p w:rsidR="003608F4" w:rsidRPr="009263D7" w:rsidRDefault="00CB4B9E" w:rsidP="008E2D8C">
            <w:pPr>
              <w:widowControl/>
              <w:rPr>
                <w:color w:val="000000" w:themeColor="text1"/>
                <w:kern w:val="0"/>
                <w:szCs w:val="21"/>
              </w:rPr>
            </w:pPr>
            <w:r w:rsidRPr="00CB4B9E">
              <w:rPr>
                <w:rFonts w:hint="eastAsia"/>
                <w:color w:val="000000" w:themeColor="text1"/>
                <w:kern w:val="0"/>
                <w:szCs w:val="21"/>
              </w:rPr>
              <w:t xml:space="preserve">　</w:t>
            </w:r>
          </w:p>
        </w:tc>
        <w:tc>
          <w:tcPr>
            <w:tcW w:w="538" w:type="pct"/>
            <w:tcBorders>
              <w:top w:val="nil"/>
              <w:left w:val="nil"/>
              <w:bottom w:val="single" w:sz="8" w:space="0" w:color="auto"/>
              <w:right w:val="nil"/>
            </w:tcBorders>
            <w:shd w:val="clear" w:color="auto" w:fill="auto"/>
            <w:noWrap/>
            <w:vAlign w:val="center"/>
          </w:tcPr>
          <w:p w:rsidR="003608F4"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30" w:type="pct"/>
            <w:tcBorders>
              <w:top w:val="nil"/>
              <w:left w:val="nil"/>
              <w:bottom w:val="single" w:sz="8" w:space="0" w:color="auto"/>
              <w:right w:val="nil"/>
            </w:tcBorders>
            <w:shd w:val="clear" w:color="auto" w:fill="auto"/>
            <w:noWrap/>
            <w:vAlign w:val="center"/>
          </w:tcPr>
          <w:p w:rsidR="003608F4"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20" w:type="pct"/>
            <w:tcBorders>
              <w:top w:val="nil"/>
              <w:left w:val="nil"/>
              <w:bottom w:val="single" w:sz="8" w:space="0" w:color="auto"/>
              <w:right w:val="nil"/>
            </w:tcBorders>
            <w:shd w:val="clear" w:color="auto" w:fill="auto"/>
            <w:noWrap/>
            <w:vAlign w:val="center"/>
          </w:tcPr>
          <w:p w:rsidR="003608F4"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004" w:type="pct"/>
            <w:gridSpan w:val="4"/>
            <w:tcBorders>
              <w:top w:val="nil"/>
              <w:left w:val="nil"/>
              <w:bottom w:val="single" w:sz="8" w:space="0" w:color="auto"/>
              <w:right w:val="nil"/>
            </w:tcBorders>
            <w:shd w:val="clear" w:color="auto" w:fill="auto"/>
            <w:noWrap/>
            <w:vAlign w:val="center"/>
          </w:tcPr>
          <w:p w:rsidR="003608F4"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290" w:type="pct"/>
            <w:gridSpan w:val="2"/>
            <w:tcBorders>
              <w:top w:val="nil"/>
              <w:left w:val="nil"/>
              <w:bottom w:val="single" w:sz="8" w:space="0" w:color="auto"/>
              <w:right w:val="nil"/>
            </w:tcBorders>
            <w:shd w:val="clear" w:color="auto" w:fill="auto"/>
            <w:noWrap/>
            <w:vAlign w:val="center"/>
          </w:tcPr>
          <w:p w:rsidR="003608F4"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44" w:type="pct"/>
            <w:gridSpan w:val="4"/>
            <w:tcBorders>
              <w:top w:val="nil"/>
              <w:left w:val="nil"/>
              <w:bottom w:val="single" w:sz="8" w:space="0" w:color="auto"/>
              <w:right w:val="nil"/>
            </w:tcBorders>
            <w:shd w:val="clear" w:color="auto" w:fill="auto"/>
            <w:noWrap/>
            <w:vAlign w:val="center"/>
          </w:tcPr>
          <w:p w:rsidR="003608F4"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91" w:type="pct"/>
            <w:gridSpan w:val="5"/>
            <w:tcBorders>
              <w:top w:val="nil"/>
              <w:left w:val="nil"/>
              <w:bottom w:val="single" w:sz="8" w:space="0" w:color="auto"/>
              <w:right w:val="nil"/>
            </w:tcBorders>
            <w:shd w:val="clear" w:color="auto" w:fill="auto"/>
            <w:noWrap/>
            <w:vAlign w:val="center"/>
          </w:tcPr>
          <w:p w:rsidR="003608F4"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591" w:type="pct"/>
            <w:gridSpan w:val="3"/>
            <w:tcBorders>
              <w:top w:val="nil"/>
              <w:left w:val="nil"/>
              <w:bottom w:val="single" w:sz="8" w:space="0" w:color="auto"/>
              <w:right w:val="nil"/>
            </w:tcBorders>
            <w:shd w:val="clear" w:color="auto" w:fill="auto"/>
            <w:noWrap/>
            <w:vAlign w:val="center"/>
          </w:tcPr>
          <w:p w:rsidR="003608F4" w:rsidRPr="009263D7" w:rsidRDefault="00CB4B9E" w:rsidP="008E2D8C">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09422E" w:rsidRPr="009263D7" w:rsidRDefault="00CB4B9E" w:rsidP="0009422E">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tabs>
          <w:tab w:val="left" w:pos="6930"/>
        </w:tabs>
        <w:spacing w:line="240" w:lineRule="exact"/>
        <w:rPr>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09422E" w:rsidRPr="009263D7" w:rsidRDefault="0009422E" w:rsidP="0009422E">
      <w:pPr>
        <w:ind w:firstLineChars="200" w:firstLine="480"/>
        <w:rPr>
          <w:rFonts w:ascii="黑体" w:eastAsia="黑体"/>
          <w:color w:val="000000" w:themeColor="text1"/>
          <w:sz w:val="24"/>
        </w:rPr>
      </w:pPr>
    </w:p>
    <w:p w:rsidR="0009422E" w:rsidRPr="009263D7" w:rsidRDefault="0009422E" w:rsidP="0009422E">
      <w:pPr>
        <w:ind w:firstLineChars="200" w:firstLine="480"/>
        <w:rPr>
          <w:rFonts w:ascii="黑体" w:eastAsia="黑体"/>
          <w:color w:val="000000" w:themeColor="text1"/>
          <w:sz w:val="24"/>
        </w:rPr>
      </w:pPr>
    </w:p>
    <w:p w:rsidR="0009422E" w:rsidRPr="009263D7" w:rsidRDefault="0009422E" w:rsidP="0009422E">
      <w:pPr>
        <w:ind w:firstLineChars="200" w:firstLine="480"/>
        <w:rPr>
          <w:rFonts w:ascii="黑体" w:eastAsia="黑体"/>
          <w:color w:val="000000" w:themeColor="text1"/>
          <w:sz w:val="24"/>
        </w:rPr>
      </w:pPr>
    </w:p>
    <w:p w:rsidR="00D35AC5" w:rsidRPr="009263D7" w:rsidRDefault="00CB4B9E" w:rsidP="00C56782">
      <w:pPr>
        <w:spacing w:line="280" w:lineRule="exact"/>
        <w:ind w:leftChars="-1" w:left="1239" w:hangingChars="591" w:hanging="1241"/>
        <w:rPr>
          <w:rFonts w:ascii="宋体" w:hAnsi="宋体" w:cs="宋体"/>
          <w:color w:val="000000" w:themeColor="text1"/>
          <w:kern w:val="0"/>
          <w:sz w:val="18"/>
          <w:szCs w:val="18"/>
        </w:rPr>
      </w:pPr>
      <w:r w:rsidRPr="00CB4B9E">
        <w:rPr>
          <w:color w:val="000000" w:themeColor="text1"/>
        </w:rPr>
        <w:br w:type="page"/>
      </w:r>
    </w:p>
    <w:p w:rsidR="00D35AC5" w:rsidRPr="009263D7" w:rsidRDefault="00CB4B9E" w:rsidP="00D35AC5">
      <w:pPr>
        <w:pStyle w:val="2"/>
        <w:jc w:val="center"/>
        <w:rPr>
          <w:rFonts w:ascii="宋体" w:eastAsia="宋体" w:hAnsi="宋体"/>
          <w:b w:val="0"/>
          <w:color w:val="000000" w:themeColor="text1"/>
          <w:kern w:val="0"/>
        </w:rPr>
      </w:pPr>
      <w:bookmarkStart w:id="27" w:name="_Toc452017137"/>
      <w:r w:rsidRPr="00CB4B9E">
        <w:rPr>
          <w:rFonts w:ascii="宋体" w:eastAsia="宋体" w:hAnsi="宋体" w:hint="eastAsia"/>
          <w:b w:val="0"/>
          <w:color w:val="000000" w:themeColor="text1"/>
          <w:kern w:val="0"/>
        </w:rPr>
        <w:lastRenderedPageBreak/>
        <w:t>（五）存贷款、应收应付款及非公司制机构股权等其他投资</w:t>
      </w:r>
      <w:bookmarkEnd w:id="27"/>
    </w:p>
    <w:p w:rsidR="005533E4" w:rsidRPr="009263D7" w:rsidRDefault="005533E4" w:rsidP="008C769C">
      <w:pPr>
        <w:rPr>
          <w:color w:val="000000" w:themeColor="text1"/>
          <w:sz w:val="18"/>
          <w:szCs w:val="18"/>
        </w:rPr>
      </w:pPr>
    </w:p>
    <w:p w:rsidR="005533E4" w:rsidRPr="009263D7" w:rsidRDefault="00CB4B9E" w:rsidP="005533E4">
      <w:pPr>
        <w:pStyle w:val="3"/>
        <w:jc w:val="center"/>
        <w:rPr>
          <w:rFonts w:ascii="宋体" w:hAnsi="宋体"/>
          <w:b w:val="0"/>
          <w:color w:val="000000" w:themeColor="text1"/>
          <w:kern w:val="0"/>
          <w:sz w:val="28"/>
          <w:szCs w:val="28"/>
        </w:rPr>
      </w:pPr>
      <w:bookmarkStart w:id="28" w:name="_Toc452017138"/>
      <w:r w:rsidRPr="00CB4B9E">
        <w:rPr>
          <w:rFonts w:ascii="宋体" w:hAnsi="宋体" w:hint="eastAsia"/>
          <w:b w:val="0"/>
          <w:color w:val="000000" w:themeColor="text1"/>
          <w:kern w:val="0"/>
          <w:sz w:val="28"/>
          <w:szCs w:val="28"/>
        </w:rPr>
        <w:t>货币与存款（含存放银行同业和联行）（资产）</w:t>
      </w:r>
      <w:bookmarkEnd w:id="28"/>
    </w:p>
    <w:p w:rsidR="005533E4" w:rsidRPr="009263D7" w:rsidRDefault="00CB4B9E" w:rsidP="004A1C28">
      <w:pPr>
        <w:spacing w:line="240" w:lineRule="exact"/>
        <w:ind w:firstLineChars="3543" w:firstLine="6377"/>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D01</w:t>
      </w:r>
      <w:r w:rsidRPr="00CB4B9E">
        <w:rPr>
          <w:rFonts w:ascii="宋体" w:hAnsi="宋体" w:cs="宋体" w:hint="eastAsia"/>
          <w:color w:val="000000" w:themeColor="text1"/>
          <w:kern w:val="0"/>
          <w:sz w:val="18"/>
          <w:szCs w:val="18"/>
        </w:rPr>
        <w:t>表</w:t>
      </w:r>
    </w:p>
    <w:p w:rsidR="005533E4" w:rsidRPr="009263D7" w:rsidRDefault="00CB4B9E" w:rsidP="005533E4">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5533E4" w:rsidRPr="009263D7" w:rsidRDefault="00CB4B9E" w:rsidP="005533E4">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5533E4" w:rsidRPr="009263D7" w:rsidRDefault="00CB4B9E" w:rsidP="005533E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5533E4" w:rsidRPr="009263D7" w:rsidRDefault="00CB4B9E" w:rsidP="005533E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5533E4" w:rsidRPr="009263D7" w:rsidRDefault="00CB4B9E" w:rsidP="009F56E8">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ascii="宋体" w:hAnsi="宋体" w:cs="宋体"/>
          <w:color w:val="000000" w:themeColor="text1"/>
          <w:kern w:val="0"/>
          <w:sz w:val="22"/>
          <w:szCs w:val="22"/>
        </w:rPr>
        <w:t xml:space="preserve">                                 </w:t>
      </w:r>
    </w:p>
    <w:p w:rsidR="005533E4" w:rsidRPr="009263D7" w:rsidRDefault="00CB4B9E" w:rsidP="005533E4">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5369" w:type="pct"/>
        <w:tblLayout w:type="fixed"/>
        <w:tblLook w:val="04A0"/>
      </w:tblPr>
      <w:tblGrid>
        <w:gridCol w:w="675"/>
        <w:gridCol w:w="712"/>
        <w:gridCol w:w="707"/>
        <w:gridCol w:w="709"/>
        <w:gridCol w:w="480"/>
        <w:gridCol w:w="215"/>
        <w:gridCol w:w="217"/>
        <w:gridCol w:w="507"/>
        <w:gridCol w:w="711"/>
        <w:gridCol w:w="711"/>
        <w:gridCol w:w="711"/>
        <w:gridCol w:w="850"/>
        <w:gridCol w:w="848"/>
        <w:gridCol w:w="848"/>
        <w:gridCol w:w="713"/>
        <w:gridCol w:w="726"/>
      </w:tblGrid>
      <w:tr w:rsidR="004D143B" w:rsidRPr="009263D7" w:rsidTr="004D143B">
        <w:trPr>
          <w:trHeight w:val="504"/>
        </w:trPr>
        <w:tc>
          <w:tcPr>
            <w:tcW w:w="326" w:type="pct"/>
            <w:vMerge w:val="restart"/>
            <w:tcBorders>
              <w:top w:val="single" w:sz="8" w:space="0" w:color="auto"/>
              <w:left w:val="nil"/>
              <w:right w:val="single" w:sz="2" w:space="0" w:color="auto"/>
            </w:tcBorders>
            <w:shd w:val="clear" w:color="auto" w:fill="auto"/>
            <w:vAlign w:val="center"/>
          </w:tcPr>
          <w:p w:rsidR="00D00BF9" w:rsidRPr="009263D7" w:rsidRDefault="00CB4B9E" w:rsidP="000C6DD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业务类别</w:t>
            </w:r>
          </w:p>
        </w:tc>
        <w:tc>
          <w:tcPr>
            <w:tcW w:w="344" w:type="pct"/>
            <w:vMerge w:val="restart"/>
            <w:tcBorders>
              <w:top w:val="single" w:sz="8" w:space="0" w:color="auto"/>
              <w:left w:val="single" w:sz="2" w:space="0" w:color="auto"/>
              <w:right w:val="single" w:sz="2" w:space="0" w:color="auto"/>
            </w:tcBorders>
            <w:shd w:val="clear" w:color="auto" w:fill="auto"/>
            <w:vAlign w:val="center"/>
          </w:tcPr>
          <w:p w:rsidR="00D00BF9" w:rsidRPr="009263D7" w:rsidRDefault="00CB4B9E" w:rsidP="000C6DD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对方国家</w:t>
            </w:r>
            <w:r w:rsidRPr="00CB4B9E">
              <w:rPr>
                <w:rFonts w:ascii="宋体" w:hAnsi="宋体" w:cs="宋体"/>
                <w:color w:val="000000" w:themeColor="text1"/>
                <w:kern w:val="0"/>
                <w:sz w:val="18"/>
                <w:szCs w:val="18"/>
              </w:rPr>
              <w:t>/地区</w:t>
            </w:r>
          </w:p>
        </w:tc>
        <w:tc>
          <w:tcPr>
            <w:tcW w:w="342" w:type="pct"/>
            <w:vMerge w:val="restart"/>
            <w:tcBorders>
              <w:top w:val="single" w:sz="8" w:space="0" w:color="auto"/>
              <w:left w:val="single" w:sz="2" w:space="0" w:color="auto"/>
              <w:right w:val="single" w:sz="2" w:space="0" w:color="auto"/>
            </w:tcBorders>
            <w:shd w:val="clear" w:color="auto" w:fill="auto"/>
            <w:vAlign w:val="center"/>
          </w:tcPr>
          <w:p w:rsidR="00D00BF9" w:rsidRPr="009263D7" w:rsidRDefault="00CB4B9E" w:rsidP="000C6DD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对方部门</w:t>
            </w:r>
          </w:p>
        </w:tc>
        <w:tc>
          <w:tcPr>
            <w:tcW w:w="343" w:type="pct"/>
            <w:vMerge w:val="restart"/>
            <w:tcBorders>
              <w:top w:val="single" w:sz="8" w:space="0" w:color="auto"/>
              <w:left w:val="single" w:sz="2" w:space="0" w:color="auto"/>
              <w:right w:val="single" w:sz="2" w:space="0" w:color="auto"/>
            </w:tcBorders>
            <w:shd w:val="clear" w:color="auto" w:fill="auto"/>
            <w:vAlign w:val="center"/>
          </w:tcPr>
          <w:p w:rsidR="00D00BF9" w:rsidRPr="009263D7" w:rsidRDefault="00CB4B9E" w:rsidP="000C6DD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对方与本机构的关系</w:t>
            </w:r>
          </w:p>
        </w:tc>
        <w:tc>
          <w:tcPr>
            <w:tcW w:w="336" w:type="pct"/>
            <w:gridSpan w:val="2"/>
            <w:vMerge w:val="restart"/>
            <w:tcBorders>
              <w:top w:val="single" w:sz="8" w:space="0" w:color="auto"/>
              <w:left w:val="single" w:sz="2" w:space="0" w:color="auto"/>
              <w:right w:val="single" w:sz="2" w:space="0" w:color="auto"/>
            </w:tcBorders>
            <w:shd w:val="clear" w:color="auto" w:fill="auto"/>
            <w:vAlign w:val="center"/>
          </w:tcPr>
          <w:p w:rsidR="00D00BF9" w:rsidRPr="009263D7" w:rsidRDefault="00CB4B9E" w:rsidP="0092515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原始期限</w:t>
            </w:r>
          </w:p>
        </w:tc>
        <w:tc>
          <w:tcPr>
            <w:tcW w:w="3309" w:type="pct"/>
            <w:gridSpan w:val="10"/>
            <w:tcBorders>
              <w:top w:val="single" w:sz="8" w:space="0" w:color="auto"/>
              <w:left w:val="single" w:sz="2" w:space="0" w:color="auto"/>
              <w:bottom w:val="single" w:sz="2" w:space="0" w:color="auto"/>
            </w:tcBorders>
            <w:shd w:val="clear" w:color="auto" w:fill="auto"/>
            <w:vAlign w:val="center"/>
          </w:tcPr>
          <w:p w:rsidR="00D00BF9"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按原始币种填列</w:t>
            </w:r>
          </w:p>
        </w:tc>
      </w:tr>
      <w:tr w:rsidR="004D143B" w:rsidRPr="009263D7" w:rsidTr="004D143B">
        <w:trPr>
          <w:trHeight w:val="546"/>
        </w:trPr>
        <w:tc>
          <w:tcPr>
            <w:tcW w:w="326" w:type="pct"/>
            <w:vMerge/>
            <w:tcBorders>
              <w:left w:val="nil"/>
              <w:right w:val="single" w:sz="2" w:space="0" w:color="auto"/>
            </w:tcBorders>
            <w:shd w:val="clear" w:color="auto" w:fill="auto"/>
            <w:vAlign w:val="center"/>
          </w:tcPr>
          <w:p w:rsidR="00301DDF" w:rsidRPr="009263D7" w:rsidRDefault="00301DDF" w:rsidP="000C6DDE">
            <w:pPr>
              <w:keepNext/>
              <w:widowControl/>
              <w:spacing w:line="320" w:lineRule="exact"/>
              <w:jc w:val="center"/>
              <w:outlineLvl w:val="0"/>
              <w:rPr>
                <w:rFonts w:ascii="宋体" w:hAnsi="宋体" w:cs="宋体"/>
                <w:color w:val="000000" w:themeColor="text1"/>
                <w:kern w:val="0"/>
                <w:sz w:val="18"/>
                <w:szCs w:val="18"/>
              </w:rPr>
            </w:pPr>
          </w:p>
        </w:tc>
        <w:tc>
          <w:tcPr>
            <w:tcW w:w="344" w:type="pct"/>
            <w:vMerge/>
            <w:tcBorders>
              <w:left w:val="single" w:sz="2" w:space="0" w:color="auto"/>
              <w:right w:val="single" w:sz="2" w:space="0" w:color="auto"/>
            </w:tcBorders>
            <w:shd w:val="clear" w:color="auto" w:fill="auto"/>
            <w:vAlign w:val="center"/>
          </w:tcPr>
          <w:p w:rsidR="00301DDF" w:rsidRPr="009263D7" w:rsidRDefault="00301DDF" w:rsidP="000C6DDE">
            <w:pPr>
              <w:keepNext/>
              <w:widowControl/>
              <w:spacing w:line="320" w:lineRule="exact"/>
              <w:jc w:val="center"/>
              <w:outlineLvl w:val="0"/>
              <w:rPr>
                <w:rFonts w:ascii="宋体" w:hAnsi="宋体" w:cs="宋体"/>
                <w:color w:val="000000" w:themeColor="text1"/>
                <w:kern w:val="0"/>
                <w:sz w:val="18"/>
                <w:szCs w:val="18"/>
              </w:rPr>
            </w:pPr>
          </w:p>
        </w:tc>
        <w:tc>
          <w:tcPr>
            <w:tcW w:w="342" w:type="pct"/>
            <w:vMerge/>
            <w:tcBorders>
              <w:left w:val="single" w:sz="2" w:space="0" w:color="auto"/>
              <w:right w:val="single" w:sz="2" w:space="0" w:color="auto"/>
            </w:tcBorders>
            <w:shd w:val="clear" w:color="auto" w:fill="auto"/>
            <w:vAlign w:val="center"/>
          </w:tcPr>
          <w:p w:rsidR="00301DDF" w:rsidRPr="009263D7" w:rsidRDefault="00301DDF" w:rsidP="000C6DDE">
            <w:pPr>
              <w:keepNext/>
              <w:widowControl/>
              <w:spacing w:line="320" w:lineRule="exact"/>
              <w:jc w:val="center"/>
              <w:outlineLvl w:val="0"/>
              <w:rPr>
                <w:rFonts w:ascii="宋体" w:hAnsi="宋体" w:cs="宋体"/>
                <w:color w:val="000000" w:themeColor="text1"/>
                <w:kern w:val="0"/>
                <w:sz w:val="18"/>
                <w:szCs w:val="18"/>
              </w:rPr>
            </w:pPr>
          </w:p>
        </w:tc>
        <w:tc>
          <w:tcPr>
            <w:tcW w:w="343" w:type="pct"/>
            <w:vMerge/>
            <w:tcBorders>
              <w:left w:val="single" w:sz="2" w:space="0" w:color="auto"/>
              <w:right w:val="single" w:sz="2" w:space="0" w:color="auto"/>
            </w:tcBorders>
            <w:shd w:val="clear" w:color="auto" w:fill="auto"/>
            <w:vAlign w:val="center"/>
          </w:tcPr>
          <w:p w:rsidR="00301DDF" w:rsidRPr="009263D7" w:rsidRDefault="00301DDF" w:rsidP="000C6DDE">
            <w:pPr>
              <w:keepNext/>
              <w:widowControl/>
              <w:spacing w:line="320" w:lineRule="exact"/>
              <w:jc w:val="center"/>
              <w:outlineLvl w:val="0"/>
              <w:rPr>
                <w:rFonts w:ascii="宋体" w:hAnsi="宋体" w:cs="宋体"/>
                <w:color w:val="000000" w:themeColor="text1"/>
                <w:kern w:val="0"/>
                <w:sz w:val="18"/>
                <w:szCs w:val="18"/>
              </w:rPr>
            </w:pPr>
          </w:p>
        </w:tc>
        <w:tc>
          <w:tcPr>
            <w:tcW w:w="336" w:type="pct"/>
            <w:gridSpan w:val="2"/>
            <w:vMerge/>
            <w:tcBorders>
              <w:left w:val="single" w:sz="2" w:space="0" w:color="auto"/>
              <w:right w:val="single" w:sz="2" w:space="0" w:color="auto"/>
            </w:tcBorders>
            <w:shd w:val="clear" w:color="auto" w:fill="auto"/>
            <w:vAlign w:val="center"/>
          </w:tcPr>
          <w:p w:rsidR="00301DDF" w:rsidRPr="009263D7" w:rsidRDefault="00301DDF" w:rsidP="000C6DDE">
            <w:pPr>
              <w:keepNext/>
              <w:widowControl/>
              <w:spacing w:line="320" w:lineRule="exact"/>
              <w:jc w:val="center"/>
              <w:outlineLvl w:val="0"/>
              <w:rPr>
                <w:rFonts w:ascii="宋体" w:hAnsi="宋体" w:cs="宋体"/>
                <w:color w:val="000000" w:themeColor="text1"/>
                <w:kern w:val="0"/>
                <w:sz w:val="18"/>
                <w:szCs w:val="18"/>
              </w:rPr>
            </w:pPr>
          </w:p>
        </w:tc>
        <w:tc>
          <w:tcPr>
            <w:tcW w:w="350" w:type="pct"/>
            <w:gridSpan w:val="2"/>
            <w:vMerge w:val="restart"/>
            <w:tcBorders>
              <w:top w:val="single" w:sz="2" w:space="0" w:color="auto"/>
              <w:left w:val="single" w:sz="2" w:space="0" w:color="auto"/>
              <w:right w:val="single" w:sz="2" w:space="0" w:color="auto"/>
            </w:tcBorders>
            <w:shd w:val="clear" w:color="auto" w:fill="auto"/>
            <w:vAlign w:val="center"/>
          </w:tcPr>
          <w:p w:rsidR="00301DDF"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344" w:type="pct"/>
            <w:vMerge w:val="restart"/>
            <w:tcBorders>
              <w:top w:val="single" w:sz="2" w:space="0" w:color="auto"/>
              <w:left w:val="single" w:sz="2" w:space="0" w:color="auto"/>
              <w:right w:val="single" w:sz="2" w:space="0" w:color="auto"/>
            </w:tcBorders>
            <w:shd w:val="clear" w:color="auto" w:fill="auto"/>
            <w:vAlign w:val="center"/>
          </w:tcPr>
          <w:p w:rsidR="00301DDF"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上月末本金余额</w:t>
            </w:r>
          </w:p>
        </w:tc>
        <w:tc>
          <w:tcPr>
            <w:tcW w:w="344" w:type="pct"/>
            <w:vMerge w:val="restart"/>
            <w:tcBorders>
              <w:top w:val="single" w:sz="2" w:space="0" w:color="auto"/>
              <w:left w:val="single" w:sz="2" w:space="0" w:color="auto"/>
              <w:right w:val="single" w:sz="2" w:space="0" w:color="auto"/>
            </w:tcBorders>
            <w:shd w:val="clear" w:color="auto" w:fill="auto"/>
            <w:vAlign w:val="center"/>
          </w:tcPr>
          <w:p w:rsidR="00301DDF" w:rsidRPr="009263D7" w:rsidRDefault="00CB4B9E" w:rsidP="009F6FB6">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上月末应收利息余额</w:t>
            </w:r>
          </w:p>
        </w:tc>
        <w:tc>
          <w:tcPr>
            <w:tcW w:w="755" w:type="pct"/>
            <w:gridSpan w:val="2"/>
            <w:tcBorders>
              <w:top w:val="single" w:sz="2" w:space="0" w:color="auto"/>
              <w:left w:val="single" w:sz="2" w:space="0" w:color="auto"/>
              <w:right w:val="single" w:sz="2" w:space="0" w:color="auto"/>
            </w:tcBorders>
            <w:shd w:val="clear" w:color="auto" w:fill="auto"/>
            <w:vAlign w:val="center"/>
          </w:tcPr>
          <w:p w:rsidR="00301DDF" w:rsidRPr="009263D7" w:rsidRDefault="00CB4B9E" w:rsidP="00E52994">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本月末本金余额</w:t>
            </w:r>
          </w:p>
        </w:tc>
        <w:tc>
          <w:tcPr>
            <w:tcW w:w="410" w:type="pct"/>
            <w:vMerge w:val="restart"/>
            <w:tcBorders>
              <w:top w:val="single" w:sz="2" w:space="0" w:color="auto"/>
              <w:left w:val="single" w:sz="2" w:space="0" w:color="auto"/>
              <w:right w:val="single" w:sz="2" w:space="0" w:color="auto"/>
            </w:tcBorders>
            <w:shd w:val="clear" w:color="auto" w:fill="auto"/>
            <w:vAlign w:val="center"/>
          </w:tcPr>
          <w:p w:rsidR="00301DDF"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本月末应收利息余额</w:t>
            </w:r>
          </w:p>
        </w:tc>
        <w:tc>
          <w:tcPr>
            <w:tcW w:w="410" w:type="pct"/>
            <w:vMerge w:val="restart"/>
            <w:tcBorders>
              <w:top w:val="single" w:sz="2" w:space="0" w:color="auto"/>
              <w:left w:val="single" w:sz="2" w:space="0" w:color="auto"/>
              <w:right w:val="single" w:sz="2" w:space="0" w:color="auto"/>
            </w:tcBorders>
            <w:shd w:val="clear" w:color="auto" w:fill="auto"/>
            <w:vAlign w:val="center"/>
          </w:tcPr>
          <w:p w:rsidR="00301DDF"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345" w:type="pct"/>
            <w:vMerge w:val="restart"/>
            <w:tcBorders>
              <w:top w:val="single" w:sz="2" w:space="0" w:color="auto"/>
              <w:left w:val="single" w:sz="2" w:space="0" w:color="auto"/>
              <w:right w:val="single" w:sz="2" w:space="0" w:color="auto"/>
            </w:tcBorders>
            <w:shd w:val="clear" w:color="auto" w:fill="auto"/>
            <w:vAlign w:val="center"/>
          </w:tcPr>
          <w:p w:rsidR="00301DDF"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c>
          <w:tcPr>
            <w:tcW w:w="351" w:type="pct"/>
            <w:vMerge w:val="restart"/>
            <w:tcBorders>
              <w:top w:val="single" w:sz="2" w:space="0" w:color="auto"/>
              <w:left w:val="single" w:sz="2" w:space="0" w:color="auto"/>
              <w:right w:val="nil"/>
            </w:tcBorders>
            <w:shd w:val="clear" w:color="auto" w:fill="auto"/>
            <w:vAlign w:val="center"/>
          </w:tcPr>
          <w:p w:rsidR="00301DDF"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本月利息收入</w:t>
            </w:r>
          </w:p>
        </w:tc>
      </w:tr>
      <w:tr w:rsidR="004D143B" w:rsidRPr="009263D7" w:rsidTr="004D143B">
        <w:trPr>
          <w:trHeight w:val="1440"/>
        </w:trPr>
        <w:tc>
          <w:tcPr>
            <w:tcW w:w="326" w:type="pct"/>
            <w:vMerge/>
            <w:tcBorders>
              <w:left w:val="nil"/>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44" w:type="pct"/>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42" w:type="pct"/>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43" w:type="pct"/>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36" w:type="pct"/>
            <w:gridSpan w:val="2"/>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50" w:type="pct"/>
            <w:gridSpan w:val="2"/>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44" w:type="pct"/>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44" w:type="pct"/>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9F6FB6">
            <w:pPr>
              <w:keepNext/>
              <w:widowControl/>
              <w:spacing w:line="320" w:lineRule="exact"/>
              <w:jc w:val="center"/>
              <w:outlineLvl w:val="0"/>
              <w:rPr>
                <w:rFonts w:ascii="宋体" w:hAnsi="宋体" w:cs="宋体"/>
                <w:color w:val="000000" w:themeColor="text1"/>
                <w:kern w:val="0"/>
                <w:sz w:val="18"/>
                <w:szCs w:val="18"/>
              </w:rPr>
            </w:pPr>
          </w:p>
        </w:tc>
        <w:tc>
          <w:tcPr>
            <w:tcW w:w="344" w:type="pct"/>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27A71">
            <w:pPr>
              <w:keepNext/>
              <w:spacing w:line="320" w:lineRule="exact"/>
              <w:jc w:val="center"/>
              <w:outlineLvl w:val="0"/>
              <w:rPr>
                <w:rFonts w:ascii="宋体" w:hAnsi="宋体" w:cs="宋体"/>
                <w:color w:val="000000" w:themeColor="text1"/>
                <w:kern w:val="0"/>
                <w:sz w:val="18"/>
                <w:szCs w:val="18"/>
              </w:rPr>
            </w:pPr>
          </w:p>
        </w:tc>
        <w:tc>
          <w:tcPr>
            <w:tcW w:w="411" w:type="pct"/>
            <w:tcBorders>
              <w:top w:val="single" w:sz="2" w:space="0" w:color="auto"/>
              <w:left w:val="single" w:sz="2" w:space="0" w:color="auto"/>
              <w:bottom w:val="single" w:sz="8" w:space="0" w:color="000000" w:themeColor="text1"/>
              <w:right w:val="single" w:sz="2" w:space="0" w:color="auto"/>
            </w:tcBorders>
            <w:shd w:val="clear" w:color="auto" w:fill="auto"/>
            <w:vAlign w:val="center"/>
          </w:tcPr>
          <w:p w:rsidR="00D00BF9" w:rsidRPr="009263D7" w:rsidDel="00D00BF9" w:rsidRDefault="00CB4B9E" w:rsidP="000C6DD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410" w:type="pct"/>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410" w:type="pct"/>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45" w:type="pct"/>
            <w:vMerge/>
            <w:tcBorders>
              <w:left w:val="single" w:sz="2" w:space="0" w:color="auto"/>
              <w:bottom w:val="single" w:sz="8" w:space="0" w:color="000000" w:themeColor="text1"/>
              <w:right w:val="single" w:sz="2" w:space="0" w:color="auto"/>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c>
          <w:tcPr>
            <w:tcW w:w="351" w:type="pct"/>
            <w:vMerge/>
            <w:tcBorders>
              <w:left w:val="single" w:sz="2" w:space="0" w:color="auto"/>
              <w:bottom w:val="single" w:sz="8" w:space="0" w:color="000000" w:themeColor="text1"/>
              <w:right w:val="nil"/>
            </w:tcBorders>
            <w:shd w:val="clear" w:color="auto" w:fill="auto"/>
            <w:vAlign w:val="center"/>
          </w:tcPr>
          <w:p w:rsidR="00D00BF9" w:rsidRPr="009263D7" w:rsidRDefault="00D00BF9" w:rsidP="000C6DDE">
            <w:pPr>
              <w:keepNext/>
              <w:widowControl/>
              <w:spacing w:line="320" w:lineRule="exact"/>
              <w:jc w:val="center"/>
              <w:outlineLvl w:val="0"/>
              <w:rPr>
                <w:rFonts w:ascii="宋体" w:hAnsi="宋体" w:cs="宋体"/>
                <w:color w:val="000000" w:themeColor="text1"/>
                <w:kern w:val="0"/>
                <w:sz w:val="18"/>
                <w:szCs w:val="18"/>
              </w:rPr>
            </w:pPr>
          </w:p>
        </w:tc>
      </w:tr>
      <w:tr w:rsidR="004D143B" w:rsidRPr="009263D7" w:rsidTr="004D143B">
        <w:trPr>
          <w:trHeight w:val="285"/>
        </w:trPr>
        <w:tc>
          <w:tcPr>
            <w:tcW w:w="326" w:type="pct"/>
            <w:tcBorders>
              <w:top w:val="single" w:sz="8" w:space="0" w:color="FFFFFF" w:themeColor="background1"/>
              <w:left w:val="nil"/>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D0101</w:t>
            </w:r>
          </w:p>
        </w:tc>
        <w:tc>
          <w:tcPr>
            <w:tcW w:w="344"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D0102</w:t>
            </w:r>
          </w:p>
        </w:tc>
        <w:tc>
          <w:tcPr>
            <w:tcW w:w="342"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D0103</w:t>
            </w:r>
          </w:p>
        </w:tc>
        <w:tc>
          <w:tcPr>
            <w:tcW w:w="343"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D0104</w:t>
            </w:r>
          </w:p>
        </w:tc>
        <w:tc>
          <w:tcPr>
            <w:tcW w:w="336" w:type="pct"/>
            <w:gridSpan w:val="2"/>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D0105</w:t>
            </w:r>
          </w:p>
        </w:tc>
        <w:tc>
          <w:tcPr>
            <w:tcW w:w="350" w:type="pct"/>
            <w:gridSpan w:val="2"/>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D0106</w:t>
            </w:r>
          </w:p>
        </w:tc>
        <w:tc>
          <w:tcPr>
            <w:tcW w:w="344"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D0107</w:t>
            </w:r>
          </w:p>
        </w:tc>
        <w:tc>
          <w:tcPr>
            <w:tcW w:w="344"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D0108</w:t>
            </w:r>
          </w:p>
        </w:tc>
        <w:tc>
          <w:tcPr>
            <w:tcW w:w="344"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D0109</w:t>
            </w:r>
          </w:p>
        </w:tc>
        <w:tc>
          <w:tcPr>
            <w:tcW w:w="411"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D0110</w:t>
            </w:r>
          </w:p>
        </w:tc>
        <w:tc>
          <w:tcPr>
            <w:tcW w:w="410"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D0111</w:t>
            </w:r>
          </w:p>
        </w:tc>
        <w:tc>
          <w:tcPr>
            <w:tcW w:w="410"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D0112</w:t>
            </w:r>
          </w:p>
        </w:tc>
        <w:tc>
          <w:tcPr>
            <w:tcW w:w="345" w:type="pct"/>
            <w:tcBorders>
              <w:top w:val="single" w:sz="8" w:space="0" w:color="FFFFFF" w:themeColor="background1"/>
              <w:left w:val="single" w:sz="2" w:space="0" w:color="auto"/>
              <w:right w:val="single" w:sz="2" w:space="0" w:color="auto"/>
            </w:tcBorders>
            <w:shd w:val="clear" w:color="auto" w:fill="auto"/>
            <w:vAlign w:val="center"/>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D0113</w:t>
            </w:r>
          </w:p>
        </w:tc>
        <w:tc>
          <w:tcPr>
            <w:tcW w:w="351" w:type="pct"/>
            <w:tcBorders>
              <w:top w:val="single" w:sz="8" w:space="0" w:color="FFFFFF" w:themeColor="background1"/>
              <w:left w:val="single" w:sz="2" w:space="0" w:color="auto"/>
              <w:right w:val="nil"/>
            </w:tcBorders>
            <w:shd w:val="clear" w:color="auto" w:fill="auto"/>
            <w:vAlign w:val="center"/>
          </w:tcPr>
          <w:p w:rsidR="0092515E" w:rsidRPr="009263D7" w:rsidRDefault="00CB4B9E" w:rsidP="009F6FB6">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D0114</w:t>
            </w:r>
          </w:p>
        </w:tc>
      </w:tr>
      <w:tr w:rsidR="004D143B" w:rsidRPr="009263D7" w:rsidTr="004D143B">
        <w:trPr>
          <w:trHeight w:val="285"/>
        </w:trPr>
        <w:tc>
          <w:tcPr>
            <w:tcW w:w="326" w:type="pct"/>
            <w:tcBorders>
              <w:left w:val="nil"/>
              <w:bottom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344"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342"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2B6FDA">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343"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336" w:type="pct"/>
            <w:gridSpan w:val="2"/>
            <w:tcBorders>
              <w:left w:val="single" w:sz="2" w:space="0" w:color="auto"/>
              <w:bottom w:val="single" w:sz="2" w:space="0" w:color="auto"/>
              <w:right w:val="single" w:sz="2" w:space="0" w:color="auto"/>
            </w:tcBorders>
            <w:shd w:val="clear" w:color="auto" w:fill="auto"/>
            <w:vAlign w:val="center"/>
          </w:tcPr>
          <w:p w:rsidR="0092515E" w:rsidRPr="009263D7" w:rsidRDefault="00CB4B9E" w:rsidP="00E5299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350" w:type="pct"/>
            <w:gridSpan w:val="2"/>
            <w:tcBorders>
              <w:left w:val="single" w:sz="2" w:space="0" w:color="auto"/>
              <w:bottom w:val="single" w:sz="2" w:space="0" w:color="auto"/>
              <w:right w:val="single" w:sz="2" w:space="0" w:color="auto"/>
            </w:tcBorders>
            <w:shd w:val="clear" w:color="auto" w:fill="auto"/>
          </w:tcPr>
          <w:p w:rsidR="0092515E" w:rsidRPr="009263D7" w:rsidRDefault="00CB4B9E" w:rsidP="00301DD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己</w:t>
            </w:r>
          </w:p>
        </w:tc>
        <w:tc>
          <w:tcPr>
            <w:tcW w:w="344"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344"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D140E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344"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411"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410"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410"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92515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345" w:type="pct"/>
            <w:tcBorders>
              <w:left w:val="single" w:sz="2" w:space="0" w:color="auto"/>
              <w:bottom w:val="single" w:sz="2" w:space="0" w:color="auto"/>
              <w:right w:val="single" w:sz="2" w:space="0" w:color="auto"/>
            </w:tcBorders>
            <w:shd w:val="clear" w:color="auto" w:fill="auto"/>
            <w:vAlign w:val="center"/>
          </w:tcPr>
          <w:p w:rsidR="0092515E" w:rsidRPr="009263D7" w:rsidRDefault="00CB4B9E" w:rsidP="000C6DD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351" w:type="pct"/>
            <w:tcBorders>
              <w:left w:val="single" w:sz="2" w:space="0" w:color="auto"/>
              <w:bottom w:val="single" w:sz="2" w:space="0" w:color="auto"/>
              <w:right w:val="nil"/>
            </w:tcBorders>
            <w:shd w:val="clear" w:color="auto" w:fill="auto"/>
            <w:vAlign w:val="center"/>
          </w:tcPr>
          <w:p w:rsidR="0092515E" w:rsidRPr="009263D7" w:rsidRDefault="00CB4B9E" w:rsidP="000C6DD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r>
      <w:tr w:rsidR="004D143B" w:rsidRPr="009263D7" w:rsidTr="004D143B">
        <w:trPr>
          <w:trHeight w:val="285"/>
        </w:trPr>
        <w:tc>
          <w:tcPr>
            <w:tcW w:w="326" w:type="pct"/>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center"/>
              <w:outlineLvl w:val="0"/>
              <w:rPr>
                <w:rFonts w:ascii="宋体" w:hAnsi="宋体" w:cs="宋体"/>
                <w:color w:val="000000" w:themeColor="text1"/>
                <w:kern w:val="0"/>
                <w:sz w:val="18"/>
                <w:szCs w:val="18"/>
              </w:rPr>
            </w:pPr>
          </w:p>
        </w:tc>
        <w:tc>
          <w:tcPr>
            <w:tcW w:w="686" w:type="pct"/>
            <w:gridSpan w:val="2"/>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43" w:type="pct"/>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32" w:type="pct"/>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09" w:type="pct"/>
            <w:gridSpan w:val="2"/>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45" w:type="pct"/>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688" w:type="pct"/>
            <w:gridSpan w:val="2"/>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44" w:type="pct"/>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411" w:type="pct"/>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1165" w:type="pct"/>
            <w:gridSpan w:val="3"/>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51" w:type="pct"/>
            <w:tcBorders>
              <w:top w:val="single" w:sz="2" w:space="0" w:color="auto"/>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r>
      <w:tr w:rsidR="004D143B" w:rsidRPr="009263D7" w:rsidTr="004D143B">
        <w:trPr>
          <w:trHeight w:val="285"/>
        </w:trPr>
        <w:tc>
          <w:tcPr>
            <w:tcW w:w="326"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center"/>
              <w:outlineLvl w:val="0"/>
              <w:rPr>
                <w:rFonts w:ascii="宋体" w:hAnsi="宋体" w:cs="宋体"/>
                <w:color w:val="000000" w:themeColor="text1"/>
                <w:kern w:val="0"/>
                <w:sz w:val="18"/>
                <w:szCs w:val="18"/>
              </w:rPr>
            </w:pPr>
          </w:p>
          <w:p w:rsidR="00B6418A" w:rsidRPr="009263D7" w:rsidRDefault="00B6418A" w:rsidP="000C6DDE">
            <w:pPr>
              <w:keepNext/>
              <w:widowControl/>
              <w:spacing w:line="320" w:lineRule="exact"/>
              <w:jc w:val="center"/>
              <w:outlineLvl w:val="0"/>
              <w:rPr>
                <w:rFonts w:ascii="宋体" w:hAnsi="宋体" w:cs="宋体"/>
                <w:color w:val="000000" w:themeColor="text1"/>
                <w:kern w:val="0"/>
                <w:sz w:val="18"/>
                <w:szCs w:val="18"/>
              </w:rPr>
            </w:pPr>
          </w:p>
          <w:p w:rsidR="00B6418A" w:rsidRPr="009263D7" w:rsidRDefault="00B6418A" w:rsidP="000C6DDE">
            <w:pPr>
              <w:keepNext/>
              <w:widowControl/>
              <w:spacing w:line="320" w:lineRule="exact"/>
              <w:jc w:val="center"/>
              <w:outlineLvl w:val="0"/>
              <w:rPr>
                <w:rFonts w:ascii="宋体" w:hAnsi="宋体" w:cs="宋体"/>
                <w:color w:val="000000" w:themeColor="text1"/>
                <w:kern w:val="0"/>
                <w:sz w:val="18"/>
                <w:szCs w:val="18"/>
              </w:rPr>
            </w:pPr>
          </w:p>
          <w:p w:rsidR="00B6418A" w:rsidRPr="009263D7" w:rsidRDefault="00B6418A" w:rsidP="000C6DDE">
            <w:pPr>
              <w:keepNext/>
              <w:widowControl/>
              <w:spacing w:line="320" w:lineRule="exact"/>
              <w:jc w:val="center"/>
              <w:outlineLvl w:val="0"/>
              <w:rPr>
                <w:rFonts w:ascii="宋体" w:hAnsi="宋体" w:cs="宋体"/>
                <w:color w:val="000000" w:themeColor="text1"/>
                <w:kern w:val="0"/>
                <w:sz w:val="18"/>
                <w:szCs w:val="18"/>
              </w:rPr>
            </w:pPr>
          </w:p>
        </w:tc>
        <w:tc>
          <w:tcPr>
            <w:tcW w:w="686" w:type="pct"/>
            <w:gridSpan w:val="2"/>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43"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32"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09" w:type="pct"/>
            <w:gridSpan w:val="2"/>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45"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688" w:type="pct"/>
            <w:gridSpan w:val="2"/>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44"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411"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1165" w:type="pct"/>
            <w:gridSpan w:val="3"/>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51"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r>
      <w:tr w:rsidR="004D143B" w:rsidRPr="009263D7" w:rsidTr="004D143B">
        <w:trPr>
          <w:trHeight w:val="285"/>
        </w:trPr>
        <w:tc>
          <w:tcPr>
            <w:tcW w:w="326"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686" w:type="pct"/>
            <w:gridSpan w:val="2"/>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43"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32"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09" w:type="pct"/>
            <w:gridSpan w:val="2"/>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245"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688" w:type="pct"/>
            <w:gridSpan w:val="2"/>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44"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411"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1165" w:type="pct"/>
            <w:gridSpan w:val="3"/>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c>
          <w:tcPr>
            <w:tcW w:w="351" w:type="pct"/>
            <w:tcBorders>
              <w:top w:val="nil"/>
              <w:left w:val="nil"/>
              <w:bottom w:val="nil"/>
              <w:right w:val="nil"/>
            </w:tcBorders>
            <w:shd w:val="clear" w:color="auto" w:fill="auto"/>
            <w:noWrap/>
            <w:vAlign w:val="center"/>
          </w:tcPr>
          <w:p w:rsidR="00B6418A" w:rsidRPr="009263D7" w:rsidRDefault="00B6418A" w:rsidP="000C6DDE">
            <w:pPr>
              <w:keepNext/>
              <w:widowControl/>
              <w:spacing w:line="320" w:lineRule="exact"/>
              <w:jc w:val="left"/>
              <w:outlineLvl w:val="0"/>
              <w:rPr>
                <w:rFonts w:ascii="宋体" w:hAnsi="宋体" w:cs="宋体"/>
                <w:color w:val="000000" w:themeColor="text1"/>
                <w:kern w:val="0"/>
                <w:sz w:val="24"/>
              </w:rPr>
            </w:pPr>
          </w:p>
        </w:tc>
      </w:tr>
      <w:tr w:rsidR="004D143B" w:rsidRPr="009263D7" w:rsidTr="004D143B">
        <w:trPr>
          <w:trHeight w:val="300"/>
        </w:trPr>
        <w:tc>
          <w:tcPr>
            <w:tcW w:w="326" w:type="pct"/>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86" w:type="pct"/>
            <w:gridSpan w:val="2"/>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43" w:type="pct"/>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232" w:type="pct"/>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209" w:type="pct"/>
            <w:gridSpan w:val="2"/>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245" w:type="pct"/>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88" w:type="pct"/>
            <w:gridSpan w:val="2"/>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44" w:type="pct"/>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411" w:type="pct"/>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165" w:type="pct"/>
            <w:gridSpan w:val="3"/>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51" w:type="pct"/>
            <w:tcBorders>
              <w:top w:val="nil"/>
              <w:left w:val="nil"/>
              <w:bottom w:val="single" w:sz="8" w:space="0" w:color="auto"/>
              <w:right w:val="nil"/>
            </w:tcBorders>
            <w:shd w:val="clear" w:color="auto" w:fill="auto"/>
            <w:noWrap/>
            <w:vAlign w:val="center"/>
          </w:tcPr>
          <w:p w:rsidR="00B6418A" w:rsidRPr="009263D7" w:rsidRDefault="00CB4B9E" w:rsidP="000C6DDE">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5533E4" w:rsidRPr="009263D7" w:rsidRDefault="00CB4B9E" w:rsidP="005533E4">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spacing w:line="28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5533E4" w:rsidRPr="009263D7" w:rsidRDefault="00CB4B9E" w:rsidP="005533E4">
      <w:pPr>
        <w:spacing w:line="280" w:lineRule="exact"/>
        <w:ind w:leftChars="179" w:left="900" w:hangingChars="291" w:hanging="524"/>
        <w:rPr>
          <w:rFonts w:ascii="宋体"/>
          <w:color w:val="000000" w:themeColor="text1"/>
          <w:sz w:val="18"/>
        </w:rPr>
      </w:pPr>
      <w:r w:rsidRPr="00CB4B9E">
        <w:rPr>
          <w:rFonts w:ascii="宋体"/>
          <w:color w:val="000000" w:themeColor="text1"/>
          <w:sz w:val="18"/>
        </w:rPr>
        <w:t xml:space="preserve">   </w:t>
      </w:r>
    </w:p>
    <w:p w:rsidR="005533E4" w:rsidRPr="009263D7" w:rsidRDefault="005533E4" w:rsidP="005533E4">
      <w:pPr>
        <w:rPr>
          <w:rFonts w:ascii="宋体"/>
          <w:color w:val="000000" w:themeColor="text1"/>
          <w:sz w:val="18"/>
        </w:rPr>
      </w:pPr>
    </w:p>
    <w:p w:rsidR="005533E4" w:rsidRPr="009263D7" w:rsidRDefault="005533E4" w:rsidP="005533E4">
      <w:pPr>
        <w:rPr>
          <w:rFonts w:ascii="宋体"/>
          <w:color w:val="000000" w:themeColor="text1"/>
          <w:sz w:val="18"/>
        </w:rPr>
      </w:pPr>
    </w:p>
    <w:p w:rsidR="005533E4" w:rsidRPr="009263D7" w:rsidRDefault="005533E4" w:rsidP="005533E4">
      <w:pPr>
        <w:rPr>
          <w:rFonts w:ascii="宋体"/>
          <w:color w:val="000000" w:themeColor="text1"/>
          <w:sz w:val="18"/>
        </w:rPr>
      </w:pPr>
    </w:p>
    <w:p w:rsidR="005533E4" w:rsidRPr="009263D7" w:rsidRDefault="005533E4" w:rsidP="005533E4">
      <w:pPr>
        <w:rPr>
          <w:rFonts w:ascii="宋体"/>
          <w:color w:val="000000" w:themeColor="text1"/>
          <w:sz w:val="18"/>
        </w:rPr>
      </w:pPr>
    </w:p>
    <w:p w:rsidR="005533E4" w:rsidRPr="009263D7" w:rsidRDefault="00CB4B9E" w:rsidP="005533E4">
      <w:pPr>
        <w:rPr>
          <w:rFonts w:ascii="宋体"/>
          <w:color w:val="000000" w:themeColor="text1"/>
          <w:sz w:val="18"/>
        </w:rPr>
      </w:pPr>
      <w:r w:rsidRPr="00CB4B9E">
        <w:rPr>
          <w:rFonts w:ascii="宋体"/>
          <w:color w:val="000000" w:themeColor="text1"/>
          <w:sz w:val="18"/>
        </w:rPr>
        <w:br w:type="page"/>
      </w:r>
    </w:p>
    <w:p w:rsidR="005533E4" w:rsidRPr="009263D7" w:rsidRDefault="005533E4" w:rsidP="005533E4">
      <w:pPr>
        <w:rPr>
          <w:rFonts w:ascii="宋体"/>
          <w:color w:val="000000" w:themeColor="text1"/>
          <w:sz w:val="18"/>
        </w:rPr>
      </w:pPr>
    </w:p>
    <w:p w:rsidR="005533E4" w:rsidRPr="009263D7" w:rsidRDefault="00CB4B9E" w:rsidP="005533E4">
      <w:pPr>
        <w:pStyle w:val="3"/>
        <w:jc w:val="center"/>
        <w:rPr>
          <w:rFonts w:ascii="宋体" w:hAnsi="宋体" w:cs="宋体"/>
          <w:b w:val="0"/>
          <w:color w:val="000000" w:themeColor="text1"/>
          <w:kern w:val="0"/>
          <w:sz w:val="28"/>
          <w:szCs w:val="28"/>
        </w:rPr>
      </w:pPr>
      <w:bookmarkStart w:id="29" w:name="_Toc452017139"/>
      <w:r w:rsidRPr="00CB4B9E">
        <w:rPr>
          <w:rFonts w:ascii="宋体" w:hAnsi="宋体" w:cs="宋体" w:hint="eastAsia"/>
          <w:b w:val="0"/>
          <w:color w:val="000000" w:themeColor="text1"/>
          <w:kern w:val="0"/>
          <w:sz w:val="28"/>
          <w:szCs w:val="28"/>
        </w:rPr>
        <w:t>贷款（含拆放银行同业及联行）（资产）</w:t>
      </w:r>
      <w:bookmarkEnd w:id="29"/>
    </w:p>
    <w:p w:rsidR="005533E4" w:rsidRPr="009263D7" w:rsidRDefault="00CB4B9E" w:rsidP="00F44AAA">
      <w:pPr>
        <w:spacing w:line="240" w:lineRule="exact"/>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D02</w:t>
      </w:r>
      <w:r w:rsidRPr="00CB4B9E">
        <w:rPr>
          <w:rFonts w:ascii="宋体" w:hAnsi="宋体" w:cs="宋体" w:hint="eastAsia"/>
          <w:color w:val="000000" w:themeColor="text1"/>
          <w:kern w:val="0"/>
          <w:sz w:val="18"/>
          <w:szCs w:val="18"/>
        </w:rPr>
        <w:t>表</w:t>
      </w:r>
    </w:p>
    <w:p w:rsidR="005533E4" w:rsidRPr="009263D7" w:rsidRDefault="00CB4B9E" w:rsidP="005533E4">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5533E4" w:rsidRPr="009263D7" w:rsidRDefault="00CB4B9E" w:rsidP="005533E4">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5533E4" w:rsidRPr="009263D7" w:rsidRDefault="00CB4B9E" w:rsidP="005533E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5533E4" w:rsidRPr="009263D7" w:rsidRDefault="00CB4B9E" w:rsidP="005533E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5533E4" w:rsidRPr="009263D7" w:rsidRDefault="00CB4B9E" w:rsidP="009F3631">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5533E4" w:rsidRPr="009263D7" w:rsidRDefault="00CB4B9E" w:rsidP="005533E4">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5521" w:type="pct"/>
        <w:tblInd w:w="-34" w:type="dxa"/>
        <w:tblLayout w:type="fixed"/>
        <w:tblLook w:val="04A0"/>
      </w:tblPr>
      <w:tblGrid>
        <w:gridCol w:w="671"/>
        <w:gridCol w:w="713"/>
        <w:gridCol w:w="712"/>
        <w:gridCol w:w="689"/>
        <w:gridCol w:w="712"/>
        <w:gridCol w:w="710"/>
        <w:gridCol w:w="342"/>
        <w:gridCol w:w="236"/>
        <w:gridCol w:w="139"/>
        <w:gridCol w:w="98"/>
        <w:gridCol w:w="612"/>
        <w:gridCol w:w="721"/>
        <w:gridCol w:w="668"/>
        <w:gridCol w:w="719"/>
        <w:gridCol w:w="712"/>
        <w:gridCol w:w="689"/>
        <w:gridCol w:w="783"/>
        <w:gridCol w:w="706"/>
      </w:tblGrid>
      <w:tr w:rsidR="004D143B" w:rsidRPr="009263D7" w:rsidTr="004D143B">
        <w:trPr>
          <w:trHeight w:val="504"/>
        </w:trPr>
        <w:tc>
          <w:tcPr>
            <w:tcW w:w="315" w:type="pct"/>
            <w:vMerge w:val="restart"/>
            <w:tcBorders>
              <w:top w:val="single" w:sz="8" w:space="0" w:color="auto"/>
              <w:left w:val="nil"/>
              <w:right w:val="single" w:sz="2" w:space="0" w:color="auto"/>
            </w:tcBorders>
            <w:shd w:val="clear" w:color="auto" w:fill="auto"/>
            <w:vAlign w:val="center"/>
          </w:tcPr>
          <w:p w:rsidR="008E4D61" w:rsidRPr="009263D7" w:rsidRDefault="00CB4B9E" w:rsidP="0098676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是否委托贷款</w:t>
            </w:r>
          </w:p>
        </w:tc>
        <w:tc>
          <w:tcPr>
            <w:tcW w:w="335" w:type="pct"/>
            <w:vMerge w:val="restart"/>
            <w:tcBorders>
              <w:top w:val="single" w:sz="8" w:space="0" w:color="auto"/>
              <w:left w:val="single" w:sz="2" w:space="0" w:color="auto"/>
              <w:right w:val="single" w:sz="2" w:space="0" w:color="auto"/>
            </w:tcBorders>
            <w:shd w:val="clear" w:color="auto" w:fill="auto"/>
            <w:vAlign w:val="center"/>
          </w:tcPr>
          <w:p w:rsidR="008E4D61" w:rsidRPr="009263D7" w:rsidRDefault="00CB4B9E" w:rsidP="0098676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委托人所属部门</w:t>
            </w:r>
          </w:p>
        </w:tc>
        <w:tc>
          <w:tcPr>
            <w:tcW w:w="335" w:type="pct"/>
            <w:vMerge w:val="restart"/>
            <w:tcBorders>
              <w:top w:val="single" w:sz="8" w:space="0" w:color="auto"/>
              <w:left w:val="single" w:sz="2" w:space="0" w:color="auto"/>
              <w:right w:val="single" w:sz="2" w:space="0" w:color="auto"/>
            </w:tcBorders>
            <w:shd w:val="clear" w:color="auto" w:fill="auto"/>
            <w:vAlign w:val="center"/>
          </w:tcPr>
          <w:p w:rsidR="008E4D61" w:rsidRPr="009263D7" w:rsidRDefault="00CB4B9E" w:rsidP="0098676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对方国家</w:t>
            </w:r>
            <w:r w:rsidRPr="00CB4B9E">
              <w:rPr>
                <w:rFonts w:ascii="宋体" w:hAnsi="宋体" w:cs="宋体"/>
                <w:color w:val="000000" w:themeColor="text1"/>
                <w:kern w:val="0"/>
                <w:sz w:val="18"/>
                <w:szCs w:val="18"/>
              </w:rPr>
              <w:t>/地区</w:t>
            </w:r>
          </w:p>
        </w:tc>
        <w:tc>
          <w:tcPr>
            <w:tcW w:w="324" w:type="pct"/>
            <w:vMerge w:val="restart"/>
            <w:tcBorders>
              <w:top w:val="single" w:sz="8" w:space="0" w:color="auto"/>
              <w:left w:val="single" w:sz="2" w:space="0" w:color="auto"/>
              <w:right w:val="single" w:sz="2" w:space="0" w:color="auto"/>
            </w:tcBorders>
            <w:shd w:val="clear" w:color="auto" w:fill="auto"/>
            <w:vAlign w:val="center"/>
          </w:tcPr>
          <w:p w:rsidR="008E4D61" w:rsidRPr="009263D7" w:rsidRDefault="00CB4B9E" w:rsidP="0098676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对方部门</w:t>
            </w:r>
          </w:p>
        </w:tc>
        <w:tc>
          <w:tcPr>
            <w:tcW w:w="335" w:type="pct"/>
            <w:vMerge w:val="restart"/>
            <w:tcBorders>
              <w:top w:val="single" w:sz="8" w:space="0" w:color="auto"/>
              <w:left w:val="single" w:sz="2" w:space="0" w:color="auto"/>
              <w:right w:val="single" w:sz="2" w:space="0" w:color="auto"/>
            </w:tcBorders>
            <w:shd w:val="clear" w:color="auto" w:fill="auto"/>
            <w:vAlign w:val="center"/>
          </w:tcPr>
          <w:p w:rsidR="008E4D61" w:rsidRPr="009263D7" w:rsidRDefault="00CB4B9E" w:rsidP="0098676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对方与本机构</w:t>
            </w:r>
            <w:r w:rsidRPr="00CB4B9E">
              <w:rPr>
                <w:rFonts w:ascii="黑体" w:eastAsia="黑体" w:hAnsi="宋体"/>
                <w:color w:val="000000" w:themeColor="text1"/>
                <w:szCs w:val="21"/>
              </w:rPr>
              <w:t>/</w:t>
            </w:r>
            <w:r w:rsidRPr="00CB4B9E">
              <w:rPr>
                <w:rFonts w:ascii="宋体" w:hAnsi="宋体" w:cs="宋体" w:hint="eastAsia"/>
                <w:color w:val="000000" w:themeColor="text1"/>
                <w:kern w:val="0"/>
                <w:sz w:val="18"/>
                <w:szCs w:val="18"/>
              </w:rPr>
              <w:t>委托人的关系</w:t>
            </w:r>
          </w:p>
        </w:tc>
        <w:tc>
          <w:tcPr>
            <w:tcW w:w="334" w:type="pct"/>
            <w:vMerge w:val="restart"/>
            <w:tcBorders>
              <w:top w:val="single" w:sz="8" w:space="0" w:color="auto"/>
              <w:left w:val="single" w:sz="2" w:space="0" w:color="auto"/>
              <w:right w:val="single" w:sz="2" w:space="0" w:color="auto"/>
            </w:tcBorders>
            <w:shd w:val="clear" w:color="auto" w:fill="auto"/>
            <w:vAlign w:val="center"/>
          </w:tcPr>
          <w:p w:rsidR="008E4D61" w:rsidRPr="009263D7" w:rsidRDefault="00CB4B9E" w:rsidP="00E52994">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原始期限</w:t>
            </w:r>
          </w:p>
        </w:tc>
        <w:tc>
          <w:tcPr>
            <w:tcW w:w="3021" w:type="pct"/>
            <w:gridSpan w:val="12"/>
            <w:tcBorders>
              <w:top w:val="single" w:sz="8" w:space="0" w:color="auto"/>
              <w:left w:val="single" w:sz="2" w:space="0" w:color="auto"/>
              <w:bottom w:val="single" w:sz="2" w:space="0" w:color="auto"/>
            </w:tcBorders>
            <w:shd w:val="clear" w:color="auto" w:fill="auto"/>
            <w:vAlign w:val="center"/>
          </w:tcPr>
          <w:p w:rsidR="008E4D61"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按原始币种填列</w:t>
            </w:r>
          </w:p>
        </w:tc>
      </w:tr>
      <w:tr w:rsidR="004D143B" w:rsidRPr="009263D7" w:rsidTr="004D143B">
        <w:trPr>
          <w:trHeight w:val="819"/>
        </w:trPr>
        <w:tc>
          <w:tcPr>
            <w:tcW w:w="315" w:type="pct"/>
            <w:vMerge/>
            <w:tcBorders>
              <w:left w:val="nil"/>
              <w:right w:val="single" w:sz="2" w:space="0" w:color="auto"/>
            </w:tcBorders>
            <w:shd w:val="clear" w:color="auto" w:fill="auto"/>
            <w:vAlign w:val="center"/>
          </w:tcPr>
          <w:p w:rsidR="00792025" w:rsidRPr="009263D7" w:rsidRDefault="00792025" w:rsidP="00986765">
            <w:pPr>
              <w:keepNext/>
              <w:widowControl/>
              <w:spacing w:line="320" w:lineRule="exact"/>
              <w:jc w:val="center"/>
              <w:outlineLvl w:val="0"/>
              <w:rPr>
                <w:rFonts w:ascii="宋体" w:hAnsi="宋体" w:cs="宋体"/>
                <w:color w:val="000000" w:themeColor="text1"/>
                <w:kern w:val="0"/>
                <w:sz w:val="18"/>
                <w:szCs w:val="18"/>
              </w:rPr>
            </w:pPr>
          </w:p>
        </w:tc>
        <w:tc>
          <w:tcPr>
            <w:tcW w:w="335" w:type="pct"/>
            <w:vMerge/>
            <w:tcBorders>
              <w:left w:val="single" w:sz="2" w:space="0" w:color="auto"/>
              <w:right w:val="single" w:sz="2" w:space="0" w:color="auto"/>
            </w:tcBorders>
            <w:shd w:val="clear" w:color="auto" w:fill="auto"/>
            <w:vAlign w:val="center"/>
          </w:tcPr>
          <w:p w:rsidR="00792025" w:rsidRPr="009263D7" w:rsidRDefault="00792025" w:rsidP="00986765">
            <w:pPr>
              <w:keepNext/>
              <w:widowControl/>
              <w:spacing w:line="320" w:lineRule="exact"/>
              <w:jc w:val="center"/>
              <w:outlineLvl w:val="0"/>
              <w:rPr>
                <w:rFonts w:ascii="宋体" w:hAnsi="宋体" w:cs="宋体"/>
                <w:color w:val="000000" w:themeColor="text1"/>
                <w:kern w:val="0"/>
                <w:sz w:val="18"/>
                <w:szCs w:val="18"/>
              </w:rPr>
            </w:pPr>
          </w:p>
        </w:tc>
        <w:tc>
          <w:tcPr>
            <w:tcW w:w="335" w:type="pct"/>
            <w:vMerge/>
            <w:tcBorders>
              <w:left w:val="single" w:sz="2" w:space="0" w:color="auto"/>
              <w:right w:val="single" w:sz="2" w:space="0" w:color="auto"/>
            </w:tcBorders>
            <w:shd w:val="clear" w:color="auto" w:fill="auto"/>
            <w:vAlign w:val="center"/>
          </w:tcPr>
          <w:p w:rsidR="00792025" w:rsidRPr="009263D7" w:rsidRDefault="00792025" w:rsidP="00986765">
            <w:pPr>
              <w:keepNext/>
              <w:widowControl/>
              <w:spacing w:line="320" w:lineRule="exact"/>
              <w:jc w:val="center"/>
              <w:outlineLvl w:val="0"/>
              <w:rPr>
                <w:rFonts w:ascii="宋体" w:hAnsi="宋体" w:cs="宋体"/>
                <w:color w:val="000000" w:themeColor="text1"/>
                <w:kern w:val="0"/>
                <w:sz w:val="18"/>
                <w:szCs w:val="18"/>
              </w:rPr>
            </w:pPr>
          </w:p>
        </w:tc>
        <w:tc>
          <w:tcPr>
            <w:tcW w:w="324" w:type="pct"/>
            <w:vMerge/>
            <w:tcBorders>
              <w:left w:val="single" w:sz="2" w:space="0" w:color="auto"/>
              <w:right w:val="single" w:sz="2" w:space="0" w:color="auto"/>
            </w:tcBorders>
            <w:shd w:val="clear" w:color="auto" w:fill="auto"/>
            <w:vAlign w:val="center"/>
          </w:tcPr>
          <w:p w:rsidR="00792025" w:rsidRPr="009263D7" w:rsidRDefault="00792025" w:rsidP="00986765">
            <w:pPr>
              <w:keepNext/>
              <w:widowControl/>
              <w:spacing w:line="320" w:lineRule="exact"/>
              <w:jc w:val="center"/>
              <w:outlineLvl w:val="0"/>
              <w:rPr>
                <w:rFonts w:ascii="宋体" w:hAnsi="宋体" w:cs="宋体"/>
                <w:color w:val="000000" w:themeColor="text1"/>
                <w:kern w:val="0"/>
                <w:sz w:val="18"/>
                <w:szCs w:val="18"/>
              </w:rPr>
            </w:pPr>
          </w:p>
        </w:tc>
        <w:tc>
          <w:tcPr>
            <w:tcW w:w="335" w:type="pct"/>
            <w:vMerge/>
            <w:tcBorders>
              <w:left w:val="single" w:sz="2" w:space="0" w:color="auto"/>
              <w:right w:val="single" w:sz="2" w:space="0" w:color="auto"/>
            </w:tcBorders>
            <w:shd w:val="clear" w:color="auto" w:fill="auto"/>
            <w:vAlign w:val="center"/>
          </w:tcPr>
          <w:p w:rsidR="00792025" w:rsidRPr="009263D7" w:rsidRDefault="00792025" w:rsidP="00986765">
            <w:pPr>
              <w:keepNext/>
              <w:widowControl/>
              <w:spacing w:line="320" w:lineRule="exact"/>
              <w:jc w:val="center"/>
              <w:outlineLvl w:val="0"/>
              <w:rPr>
                <w:rFonts w:ascii="宋体" w:hAnsi="宋体" w:cs="宋体"/>
                <w:color w:val="000000" w:themeColor="text1"/>
                <w:kern w:val="0"/>
                <w:sz w:val="18"/>
                <w:szCs w:val="18"/>
              </w:rPr>
            </w:pPr>
          </w:p>
        </w:tc>
        <w:tc>
          <w:tcPr>
            <w:tcW w:w="334" w:type="pct"/>
            <w:vMerge/>
            <w:tcBorders>
              <w:left w:val="single" w:sz="2" w:space="0" w:color="auto"/>
              <w:right w:val="single" w:sz="2" w:space="0" w:color="auto"/>
            </w:tcBorders>
            <w:shd w:val="clear" w:color="auto" w:fill="auto"/>
            <w:vAlign w:val="center"/>
          </w:tcPr>
          <w:p w:rsidR="00792025" w:rsidRPr="009263D7" w:rsidRDefault="00792025" w:rsidP="00986765">
            <w:pPr>
              <w:keepNext/>
              <w:widowControl/>
              <w:spacing w:line="320" w:lineRule="exact"/>
              <w:jc w:val="center"/>
              <w:outlineLvl w:val="0"/>
              <w:rPr>
                <w:rFonts w:ascii="宋体" w:hAnsi="宋体" w:cs="宋体"/>
                <w:color w:val="000000" w:themeColor="text1"/>
                <w:kern w:val="0"/>
                <w:sz w:val="18"/>
                <w:szCs w:val="18"/>
              </w:rPr>
            </w:pPr>
          </w:p>
        </w:tc>
        <w:tc>
          <w:tcPr>
            <w:tcW w:w="337" w:type="pct"/>
            <w:gridSpan w:val="3"/>
            <w:vMerge w:val="restart"/>
            <w:tcBorders>
              <w:top w:val="single" w:sz="2" w:space="0" w:color="auto"/>
              <w:left w:val="single" w:sz="2" w:space="0" w:color="auto"/>
              <w:right w:val="single" w:sz="2" w:space="0" w:color="auto"/>
            </w:tcBorders>
            <w:shd w:val="clear" w:color="auto" w:fill="auto"/>
            <w:vAlign w:val="center"/>
          </w:tcPr>
          <w:p w:rsidR="00792025"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334" w:type="pct"/>
            <w:gridSpan w:val="2"/>
            <w:vMerge w:val="restart"/>
            <w:tcBorders>
              <w:top w:val="single" w:sz="2" w:space="0" w:color="auto"/>
              <w:left w:val="single" w:sz="2" w:space="0" w:color="auto"/>
              <w:right w:val="single" w:sz="2" w:space="0" w:color="auto"/>
            </w:tcBorders>
            <w:shd w:val="clear" w:color="auto" w:fill="auto"/>
            <w:vAlign w:val="center"/>
          </w:tcPr>
          <w:p w:rsidR="00792025"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上月末本金余额</w:t>
            </w:r>
          </w:p>
        </w:tc>
        <w:tc>
          <w:tcPr>
            <w:tcW w:w="339" w:type="pct"/>
            <w:vMerge w:val="restart"/>
            <w:tcBorders>
              <w:top w:val="single" w:sz="2" w:space="0" w:color="auto"/>
              <w:left w:val="single" w:sz="2" w:space="0" w:color="auto"/>
              <w:right w:val="single" w:sz="2" w:space="0" w:color="auto"/>
            </w:tcBorders>
            <w:shd w:val="clear" w:color="auto" w:fill="auto"/>
            <w:vAlign w:val="center"/>
          </w:tcPr>
          <w:p w:rsidR="00792025" w:rsidRPr="009263D7" w:rsidRDefault="00CB4B9E" w:rsidP="00F46C7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上月末应收利息余额</w:t>
            </w:r>
          </w:p>
        </w:tc>
        <w:tc>
          <w:tcPr>
            <w:tcW w:w="652" w:type="pct"/>
            <w:gridSpan w:val="2"/>
            <w:tcBorders>
              <w:top w:val="single" w:sz="2" w:space="0" w:color="auto"/>
              <w:left w:val="single" w:sz="2" w:space="0" w:color="auto"/>
              <w:right w:val="single" w:sz="2" w:space="0" w:color="auto"/>
            </w:tcBorders>
            <w:shd w:val="clear" w:color="auto" w:fill="auto"/>
            <w:vAlign w:val="center"/>
          </w:tcPr>
          <w:p w:rsidR="00792025" w:rsidRPr="009263D7" w:rsidRDefault="00CB4B9E" w:rsidP="00DF5816">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本月末本金余额</w:t>
            </w:r>
          </w:p>
        </w:tc>
        <w:tc>
          <w:tcPr>
            <w:tcW w:w="335" w:type="pct"/>
            <w:vMerge w:val="restart"/>
            <w:tcBorders>
              <w:top w:val="single" w:sz="2" w:space="0" w:color="auto"/>
              <w:left w:val="single" w:sz="2" w:space="0" w:color="auto"/>
              <w:right w:val="single" w:sz="2" w:space="0" w:color="auto"/>
            </w:tcBorders>
            <w:shd w:val="clear" w:color="auto" w:fill="auto"/>
            <w:vAlign w:val="center"/>
          </w:tcPr>
          <w:p w:rsidR="00792025"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本月末应收利息余额</w:t>
            </w:r>
          </w:p>
        </w:tc>
        <w:tc>
          <w:tcPr>
            <w:tcW w:w="324" w:type="pct"/>
            <w:vMerge w:val="restart"/>
            <w:tcBorders>
              <w:top w:val="single" w:sz="2" w:space="0" w:color="auto"/>
              <w:left w:val="single" w:sz="2" w:space="0" w:color="auto"/>
              <w:right w:val="single" w:sz="2" w:space="0" w:color="auto"/>
            </w:tcBorders>
            <w:shd w:val="clear" w:color="auto" w:fill="auto"/>
            <w:vAlign w:val="center"/>
          </w:tcPr>
          <w:p w:rsidR="00792025"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368" w:type="pct"/>
            <w:vMerge w:val="restart"/>
            <w:tcBorders>
              <w:top w:val="single" w:sz="2" w:space="0" w:color="auto"/>
              <w:left w:val="single" w:sz="2" w:space="0" w:color="auto"/>
              <w:right w:val="single" w:sz="2" w:space="0" w:color="auto"/>
            </w:tcBorders>
            <w:shd w:val="clear" w:color="auto" w:fill="auto"/>
            <w:vAlign w:val="center"/>
          </w:tcPr>
          <w:p w:rsidR="00792025"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c>
          <w:tcPr>
            <w:tcW w:w="332" w:type="pct"/>
            <w:vMerge w:val="restart"/>
            <w:tcBorders>
              <w:top w:val="single" w:sz="2" w:space="0" w:color="auto"/>
              <w:left w:val="single" w:sz="2" w:space="0" w:color="auto"/>
              <w:right w:val="nil"/>
            </w:tcBorders>
            <w:shd w:val="clear" w:color="auto" w:fill="auto"/>
            <w:vAlign w:val="center"/>
          </w:tcPr>
          <w:p w:rsidR="00792025"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本月利息收入</w:t>
            </w:r>
          </w:p>
        </w:tc>
      </w:tr>
      <w:tr w:rsidR="004D143B" w:rsidRPr="009263D7" w:rsidTr="004D143B">
        <w:trPr>
          <w:trHeight w:val="1350"/>
        </w:trPr>
        <w:tc>
          <w:tcPr>
            <w:tcW w:w="315" w:type="pct"/>
            <w:vMerge/>
            <w:tcBorders>
              <w:left w:val="nil"/>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35" w:type="pct"/>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35" w:type="pct"/>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24" w:type="pct"/>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35" w:type="pct"/>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34" w:type="pct"/>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37" w:type="pct"/>
            <w:gridSpan w:val="3"/>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34" w:type="pct"/>
            <w:gridSpan w:val="2"/>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39" w:type="pct"/>
            <w:vMerge/>
            <w:tcBorders>
              <w:left w:val="single" w:sz="2" w:space="0" w:color="auto"/>
              <w:bottom w:val="nil"/>
              <w:right w:val="single" w:sz="2" w:space="0" w:color="auto"/>
            </w:tcBorders>
            <w:shd w:val="clear" w:color="auto" w:fill="auto"/>
            <w:vAlign w:val="center"/>
          </w:tcPr>
          <w:p w:rsidR="008E4D61" w:rsidRPr="009263D7" w:rsidRDefault="008E4D61" w:rsidP="00F46C7F">
            <w:pPr>
              <w:keepNext/>
              <w:widowControl/>
              <w:spacing w:line="320" w:lineRule="exact"/>
              <w:jc w:val="center"/>
              <w:outlineLvl w:val="0"/>
              <w:rPr>
                <w:rFonts w:ascii="宋体" w:hAnsi="宋体" w:cs="宋体"/>
                <w:color w:val="000000" w:themeColor="text1"/>
                <w:kern w:val="0"/>
                <w:sz w:val="18"/>
                <w:szCs w:val="18"/>
              </w:rPr>
            </w:pPr>
          </w:p>
        </w:tc>
        <w:tc>
          <w:tcPr>
            <w:tcW w:w="314" w:type="pct"/>
            <w:tcBorders>
              <w:left w:val="single" w:sz="2" w:space="0" w:color="auto"/>
              <w:bottom w:val="nil"/>
              <w:right w:val="single" w:sz="2" w:space="0" w:color="auto"/>
            </w:tcBorders>
            <w:shd w:val="clear" w:color="auto" w:fill="auto"/>
            <w:vAlign w:val="center"/>
          </w:tcPr>
          <w:p w:rsidR="008E4D61" w:rsidRPr="009263D7" w:rsidRDefault="008E4D61" w:rsidP="00DF5816">
            <w:pPr>
              <w:keepNext/>
              <w:spacing w:line="320" w:lineRule="exact"/>
              <w:jc w:val="center"/>
              <w:outlineLvl w:val="0"/>
              <w:rPr>
                <w:rFonts w:ascii="宋体" w:hAnsi="宋体" w:cs="宋体"/>
                <w:color w:val="000000" w:themeColor="text1"/>
                <w:kern w:val="0"/>
                <w:sz w:val="18"/>
                <w:szCs w:val="18"/>
              </w:rPr>
            </w:pPr>
          </w:p>
        </w:tc>
        <w:tc>
          <w:tcPr>
            <w:tcW w:w="338" w:type="pct"/>
            <w:tcBorders>
              <w:top w:val="single" w:sz="2" w:space="0" w:color="auto"/>
              <w:left w:val="single" w:sz="2" w:space="0" w:color="auto"/>
              <w:bottom w:val="nil"/>
              <w:right w:val="single" w:sz="2" w:space="0" w:color="auto"/>
            </w:tcBorders>
            <w:shd w:val="clear" w:color="auto" w:fill="auto"/>
            <w:vAlign w:val="center"/>
          </w:tcPr>
          <w:p w:rsidR="008E4D61" w:rsidRPr="009263D7" w:rsidRDefault="00CB4B9E" w:rsidP="0093605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335" w:type="pct"/>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24" w:type="pct"/>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68" w:type="pct"/>
            <w:vMerge/>
            <w:tcBorders>
              <w:left w:val="single" w:sz="2" w:space="0" w:color="auto"/>
              <w:bottom w:val="nil"/>
              <w:right w:val="single" w:sz="2" w:space="0" w:color="auto"/>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c>
          <w:tcPr>
            <w:tcW w:w="332" w:type="pct"/>
            <w:vMerge/>
            <w:tcBorders>
              <w:left w:val="single" w:sz="2" w:space="0" w:color="auto"/>
              <w:bottom w:val="nil"/>
              <w:right w:val="nil"/>
            </w:tcBorders>
            <w:shd w:val="clear" w:color="auto" w:fill="auto"/>
            <w:vAlign w:val="center"/>
          </w:tcPr>
          <w:p w:rsidR="008E4D61" w:rsidRPr="009263D7" w:rsidRDefault="008E4D61" w:rsidP="00986765">
            <w:pPr>
              <w:keepNext/>
              <w:widowControl/>
              <w:spacing w:line="320" w:lineRule="exact"/>
              <w:jc w:val="center"/>
              <w:outlineLvl w:val="0"/>
              <w:rPr>
                <w:rFonts w:ascii="宋体" w:hAnsi="宋体" w:cs="宋体"/>
                <w:color w:val="000000" w:themeColor="text1"/>
                <w:kern w:val="0"/>
                <w:sz w:val="18"/>
                <w:szCs w:val="18"/>
              </w:rPr>
            </w:pPr>
          </w:p>
        </w:tc>
      </w:tr>
      <w:tr w:rsidR="004D143B" w:rsidRPr="009263D7" w:rsidTr="004D143B">
        <w:trPr>
          <w:trHeight w:val="285"/>
        </w:trPr>
        <w:tc>
          <w:tcPr>
            <w:tcW w:w="315" w:type="pct"/>
            <w:tcBorders>
              <w:top w:val="nil"/>
              <w:left w:val="nil"/>
              <w:bottom w:val="single" w:sz="4"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D0201</w:t>
            </w:r>
          </w:p>
        </w:tc>
        <w:tc>
          <w:tcPr>
            <w:tcW w:w="335"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D0202</w:t>
            </w:r>
          </w:p>
        </w:tc>
        <w:tc>
          <w:tcPr>
            <w:tcW w:w="335"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D0203</w:t>
            </w:r>
          </w:p>
        </w:tc>
        <w:tc>
          <w:tcPr>
            <w:tcW w:w="324"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D0204</w:t>
            </w:r>
          </w:p>
        </w:tc>
        <w:tc>
          <w:tcPr>
            <w:tcW w:w="335"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D0205</w:t>
            </w:r>
          </w:p>
        </w:tc>
        <w:tc>
          <w:tcPr>
            <w:tcW w:w="334"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E5299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D0206</w:t>
            </w:r>
          </w:p>
        </w:tc>
        <w:tc>
          <w:tcPr>
            <w:tcW w:w="337" w:type="pct"/>
            <w:gridSpan w:val="3"/>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79202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D0207</w:t>
            </w:r>
          </w:p>
        </w:tc>
        <w:tc>
          <w:tcPr>
            <w:tcW w:w="334" w:type="pct"/>
            <w:gridSpan w:val="2"/>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79202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D0208</w:t>
            </w:r>
          </w:p>
        </w:tc>
        <w:tc>
          <w:tcPr>
            <w:tcW w:w="339"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79202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D0209</w:t>
            </w:r>
          </w:p>
        </w:tc>
        <w:tc>
          <w:tcPr>
            <w:tcW w:w="314"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79202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D0210</w:t>
            </w:r>
          </w:p>
        </w:tc>
        <w:tc>
          <w:tcPr>
            <w:tcW w:w="338"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A540E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D0211</w:t>
            </w:r>
          </w:p>
        </w:tc>
        <w:tc>
          <w:tcPr>
            <w:tcW w:w="335"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A540E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D0212</w:t>
            </w:r>
          </w:p>
        </w:tc>
        <w:tc>
          <w:tcPr>
            <w:tcW w:w="324"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A540E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D0213</w:t>
            </w:r>
          </w:p>
        </w:tc>
        <w:tc>
          <w:tcPr>
            <w:tcW w:w="368" w:type="pct"/>
            <w:tcBorders>
              <w:top w:val="nil"/>
              <w:left w:val="single" w:sz="2" w:space="0" w:color="auto"/>
              <w:bottom w:val="single" w:sz="4" w:space="0" w:color="auto"/>
              <w:right w:val="single" w:sz="2" w:space="0" w:color="auto"/>
            </w:tcBorders>
            <w:shd w:val="clear" w:color="auto" w:fill="auto"/>
            <w:vAlign w:val="center"/>
          </w:tcPr>
          <w:p w:rsidR="00E52994" w:rsidRPr="009263D7" w:rsidRDefault="00CB4B9E" w:rsidP="00A540E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D0214</w:t>
            </w:r>
          </w:p>
        </w:tc>
        <w:tc>
          <w:tcPr>
            <w:tcW w:w="332" w:type="pct"/>
            <w:tcBorders>
              <w:top w:val="nil"/>
              <w:left w:val="single" w:sz="2" w:space="0" w:color="auto"/>
              <w:bottom w:val="single" w:sz="4" w:space="0" w:color="auto"/>
              <w:right w:val="nil"/>
            </w:tcBorders>
            <w:shd w:val="clear" w:color="auto" w:fill="auto"/>
            <w:vAlign w:val="center"/>
          </w:tcPr>
          <w:p w:rsidR="008F1B1B" w:rsidRPr="009263D7"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D0215</w:t>
            </w:r>
          </w:p>
        </w:tc>
      </w:tr>
      <w:tr w:rsidR="004D143B" w:rsidRPr="009263D7" w:rsidTr="004D143B">
        <w:trPr>
          <w:trHeight w:val="285"/>
        </w:trPr>
        <w:tc>
          <w:tcPr>
            <w:tcW w:w="315" w:type="pct"/>
            <w:tcBorders>
              <w:top w:val="single" w:sz="4" w:space="0" w:color="auto"/>
              <w:left w:val="nil"/>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335"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335"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324"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335"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334"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BE48C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己</w:t>
            </w:r>
          </w:p>
        </w:tc>
        <w:tc>
          <w:tcPr>
            <w:tcW w:w="337" w:type="pct"/>
            <w:gridSpan w:val="3"/>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E5299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334" w:type="pct"/>
            <w:gridSpan w:val="2"/>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339"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2A6C8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314"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338"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335"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324"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368" w:type="pct"/>
            <w:tcBorders>
              <w:top w:val="single" w:sz="4" w:space="0" w:color="auto"/>
              <w:left w:val="single" w:sz="2" w:space="0" w:color="auto"/>
              <w:bottom w:val="single" w:sz="2" w:space="0" w:color="auto"/>
              <w:right w:val="single" w:sz="2" w:space="0" w:color="auto"/>
            </w:tcBorders>
            <w:shd w:val="clear" w:color="auto" w:fill="auto"/>
            <w:vAlign w:val="center"/>
          </w:tcPr>
          <w:p w:rsidR="00E52994" w:rsidRPr="009263D7" w:rsidRDefault="00CB4B9E" w:rsidP="0098676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332" w:type="pct"/>
            <w:tcBorders>
              <w:top w:val="single" w:sz="4" w:space="0" w:color="auto"/>
              <w:left w:val="single" w:sz="2" w:space="0" w:color="auto"/>
              <w:bottom w:val="single" w:sz="2" w:space="0" w:color="auto"/>
              <w:right w:val="nil"/>
            </w:tcBorders>
            <w:shd w:val="clear" w:color="auto" w:fill="auto"/>
            <w:vAlign w:val="center"/>
          </w:tcPr>
          <w:p w:rsidR="00E52994" w:rsidRPr="009263D7" w:rsidRDefault="00CB4B9E" w:rsidP="00EA1824">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r>
      <w:tr w:rsidR="004D143B" w:rsidRPr="009263D7" w:rsidTr="004D143B">
        <w:trPr>
          <w:trHeight w:val="285"/>
        </w:trPr>
        <w:tc>
          <w:tcPr>
            <w:tcW w:w="315" w:type="pct"/>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tc>
        <w:tc>
          <w:tcPr>
            <w:tcW w:w="335" w:type="pct"/>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24" w:type="pct"/>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495" w:type="pct"/>
            <w:gridSpan w:val="2"/>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111" w:type="pct"/>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111" w:type="pct"/>
            <w:gridSpan w:val="2"/>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27" w:type="pct"/>
            <w:gridSpan w:val="2"/>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52" w:type="pct"/>
            <w:gridSpan w:val="2"/>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92" w:type="pct"/>
            <w:gridSpan w:val="2"/>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2" w:type="pct"/>
            <w:tcBorders>
              <w:top w:val="single" w:sz="2" w:space="0" w:color="auto"/>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r>
      <w:tr w:rsidR="004D143B" w:rsidRPr="009263D7" w:rsidTr="004D143B">
        <w:trPr>
          <w:trHeight w:val="285"/>
        </w:trPr>
        <w:tc>
          <w:tcPr>
            <w:tcW w:w="31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tc>
        <w:tc>
          <w:tcPr>
            <w:tcW w:w="33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24"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495"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111"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111"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27"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52"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92"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2"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r>
      <w:tr w:rsidR="004D143B" w:rsidRPr="009263D7" w:rsidTr="004D143B">
        <w:trPr>
          <w:trHeight w:val="285"/>
        </w:trPr>
        <w:tc>
          <w:tcPr>
            <w:tcW w:w="31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p w:rsidR="00E8091C" w:rsidRPr="009263D7" w:rsidRDefault="00E8091C" w:rsidP="00986765">
            <w:pPr>
              <w:keepNext/>
              <w:widowControl/>
              <w:spacing w:line="320" w:lineRule="exact"/>
              <w:jc w:val="center"/>
              <w:outlineLvl w:val="0"/>
              <w:rPr>
                <w:rFonts w:ascii="宋体" w:hAnsi="宋体" w:cs="宋体"/>
                <w:color w:val="000000" w:themeColor="text1"/>
                <w:kern w:val="0"/>
                <w:sz w:val="18"/>
                <w:szCs w:val="18"/>
              </w:rPr>
            </w:pPr>
          </w:p>
        </w:tc>
        <w:tc>
          <w:tcPr>
            <w:tcW w:w="33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24"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495"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111"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111"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27"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52"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5"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692" w:type="pct"/>
            <w:gridSpan w:val="2"/>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c>
          <w:tcPr>
            <w:tcW w:w="332" w:type="pct"/>
            <w:tcBorders>
              <w:top w:val="nil"/>
              <w:left w:val="nil"/>
              <w:bottom w:val="nil"/>
              <w:right w:val="nil"/>
            </w:tcBorders>
            <w:shd w:val="clear" w:color="auto" w:fill="auto"/>
            <w:noWrap/>
            <w:vAlign w:val="center"/>
          </w:tcPr>
          <w:p w:rsidR="00E8091C" w:rsidRPr="009263D7" w:rsidRDefault="00E8091C" w:rsidP="00986765">
            <w:pPr>
              <w:keepNext/>
              <w:widowControl/>
              <w:spacing w:line="320" w:lineRule="exact"/>
              <w:jc w:val="left"/>
              <w:outlineLvl w:val="0"/>
              <w:rPr>
                <w:rFonts w:ascii="宋体" w:hAnsi="宋体" w:cs="宋体"/>
                <w:color w:val="000000" w:themeColor="text1"/>
                <w:kern w:val="0"/>
                <w:sz w:val="24"/>
              </w:rPr>
            </w:pPr>
          </w:p>
        </w:tc>
      </w:tr>
      <w:tr w:rsidR="004D143B" w:rsidRPr="009263D7" w:rsidTr="004D143B">
        <w:trPr>
          <w:trHeight w:val="300"/>
        </w:trPr>
        <w:tc>
          <w:tcPr>
            <w:tcW w:w="315" w:type="pct"/>
            <w:tcBorders>
              <w:top w:val="nil"/>
              <w:left w:val="nil"/>
              <w:bottom w:val="single" w:sz="8" w:space="0" w:color="auto"/>
              <w:right w:val="nil"/>
            </w:tcBorders>
            <w:shd w:val="clear" w:color="auto" w:fill="auto"/>
            <w:noWrap/>
            <w:vAlign w:val="center"/>
          </w:tcPr>
          <w:p w:rsidR="00E8091C" w:rsidRPr="009263D7" w:rsidRDefault="00CB4B9E" w:rsidP="00986765">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335" w:type="pct"/>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35" w:type="pct"/>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24" w:type="pct"/>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35" w:type="pct"/>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495" w:type="pct"/>
            <w:gridSpan w:val="2"/>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11" w:type="pct"/>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11" w:type="pct"/>
            <w:gridSpan w:val="2"/>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27" w:type="pct"/>
            <w:gridSpan w:val="2"/>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52" w:type="pct"/>
            <w:gridSpan w:val="2"/>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35" w:type="pct"/>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92" w:type="pct"/>
            <w:gridSpan w:val="2"/>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32" w:type="pct"/>
            <w:tcBorders>
              <w:top w:val="nil"/>
              <w:left w:val="nil"/>
              <w:bottom w:val="single" w:sz="8" w:space="0" w:color="auto"/>
              <w:right w:val="nil"/>
            </w:tcBorders>
            <w:shd w:val="clear" w:color="auto" w:fill="auto"/>
            <w:noWrap/>
            <w:vAlign w:val="center"/>
          </w:tcPr>
          <w:p w:rsidR="00E8091C" w:rsidRPr="009263D7" w:rsidRDefault="00CB4B9E" w:rsidP="0098676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5533E4" w:rsidRPr="009263D7" w:rsidRDefault="00CB4B9E" w:rsidP="0098239D">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r w:rsidRPr="00CB4B9E">
        <w:rPr>
          <w:rFonts w:ascii="宋体"/>
          <w:color w:val="000000" w:themeColor="text1"/>
          <w:sz w:val="18"/>
        </w:rPr>
        <w:t xml:space="preserve">   </w:t>
      </w:r>
    </w:p>
    <w:p w:rsidR="0052757F" w:rsidRPr="009263D7" w:rsidRDefault="0052757F" w:rsidP="0052757F">
      <w:pPr>
        <w:spacing w:line="280" w:lineRule="exact"/>
        <w:rPr>
          <w:rFonts w:ascii="宋体"/>
          <w:color w:val="000000" w:themeColor="text1"/>
          <w:sz w:val="18"/>
        </w:rPr>
      </w:pPr>
    </w:p>
    <w:p w:rsidR="005533E4" w:rsidRPr="009263D7" w:rsidRDefault="00CB4B9E" w:rsidP="0052757F">
      <w:pPr>
        <w:spacing w:line="280" w:lineRule="exact"/>
        <w:rPr>
          <w:rFonts w:ascii="宋体"/>
          <w:color w:val="000000" w:themeColor="text1"/>
          <w:sz w:val="18"/>
        </w:rPr>
      </w:pPr>
      <w:r w:rsidRPr="00CB4B9E">
        <w:rPr>
          <w:rFonts w:ascii="宋体"/>
          <w:color w:val="000000" w:themeColor="text1"/>
          <w:sz w:val="18"/>
        </w:rPr>
        <w:br w:type="page"/>
      </w:r>
    </w:p>
    <w:p w:rsidR="005533E4" w:rsidRPr="009263D7" w:rsidRDefault="00CB4B9E" w:rsidP="005533E4">
      <w:pPr>
        <w:spacing w:line="280" w:lineRule="exact"/>
        <w:ind w:leftChars="179" w:left="900" w:hangingChars="291" w:hanging="524"/>
        <w:rPr>
          <w:rFonts w:ascii="宋体"/>
          <w:color w:val="000000" w:themeColor="text1"/>
          <w:sz w:val="18"/>
        </w:rPr>
      </w:pPr>
      <w:r w:rsidRPr="00CB4B9E">
        <w:rPr>
          <w:rFonts w:ascii="宋体"/>
          <w:color w:val="000000" w:themeColor="text1"/>
          <w:sz w:val="18"/>
        </w:rPr>
        <w:lastRenderedPageBreak/>
        <w:t xml:space="preserve">      </w:t>
      </w:r>
    </w:p>
    <w:p w:rsidR="0024092D" w:rsidRPr="009263D7" w:rsidRDefault="00CB4B9E" w:rsidP="0024092D">
      <w:pPr>
        <w:pStyle w:val="3"/>
        <w:jc w:val="center"/>
        <w:rPr>
          <w:rFonts w:ascii="宋体" w:hAnsi="宋体"/>
          <w:b w:val="0"/>
          <w:color w:val="000000" w:themeColor="text1"/>
          <w:kern w:val="0"/>
          <w:sz w:val="28"/>
          <w:szCs w:val="28"/>
        </w:rPr>
      </w:pPr>
      <w:bookmarkStart w:id="30" w:name="_Toc452017140"/>
      <w:r w:rsidRPr="00CB4B9E">
        <w:rPr>
          <w:rFonts w:ascii="宋体" w:hAnsi="宋体" w:hint="eastAsia"/>
          <w:b w:val="0"/>
          <w:color w:val="000000" w:themeColor="text1"/>
          <w:kern w:val="0"/>
          <w:sz w:val="28"/>
          <w:szCs w:val="28"/>
        </w:rPr>
        <w:t>持有境外非公司制机构</w:t>
      </w:r>
      <w:r w:rsidRPr="00CB4B9E">
        <w:rPr>
          <w:rFonts w:ascii="宋体" w:hAnsi="宋体"/>
          <w:b w:val="0"/>
          <w:color w:val="000000" w:themeColor="text1"/>
          <w:kern w:val="0"/>
          <w:sz w:val="28"/>
          <w:szCs w:val="28"/>
        </w:rPr>
        <w:t>10%以下表决权和国际组织股权</w:t>
      </w:r>
      <w:r w:rsidRPr="00CB4B9E">
        <w:rPr>
          <w:rFonts w:ascii="宋体" w:hAnsi="宋体" w:hint="eastAsia"/>
          <w:b w:val="0"/>
          <w:color w:val="000000" w:themeColor="text1"/>
          <w:kern w:val="0"/>
          <w:sz w:val="28"/>
          <w:szCs w:val="28"/>
        </w:rPr>
        <w:t>（资产）</w:t>
      </w:r>
      <w:bookmarkEnd w:id="30"/>
    </w:p>
    <w:p w:rsidR="0024092D" w:rsidRPr="009263D7" w:rsidRDefault="00CB4B9E" w:rsidP="0024092D">
      <w:pPr>
        <w:spacing w:line="240" w:lineRule="exact"/>
        <w:ind w:firstLineChars="3543" w:firstLine="6377"/>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D03</w:t>
      </w:r>
      <w:r w:rsidRPr="00CB4B9E">
        <w:rPr>
          <w:rFonts w:ascii="宋体" w:hAnsi="宋体" w:cs="宋体" w:hint="eastAsia"/>
          <w:color w:val="000000" w:themeColor="text1"/>
          <w:kern w:val="0"/>
          <w:sz w:val="18"/>
          <w:szCs w:val="18"/>
        </w:rPr>
        <w:t>表</w:t>
      </w:r>
    </w:p>
    <w:p w:rsidR="0024092D" w:rsidRPr="009263D7" w:rsidRDefault="00CB4B9E" w:rsidP="0024092D">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24092D" w:rsidRPr="009263D7" w:rsidRDefault="00CB4B9E" w:rsidP="0024092D">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24092D" w:rsidRPr="009263D7" w:rsidRDefault="00CB4B9E" w:rsidP="0024092D">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24092D" w:rsidRPr="009263D7" w:rsidRDefault="00CB4B9E" w:rsidP="0024092D">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24092D" w:rsidRPr="009263D7" w:rsidRDefault="00CB4B9E" w:rsidP="0024092D">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ascii="宋体" w:hAnsi="宋体" w:cs="宋体"/>
          <w:color w:val="000000" w:themeColor="text1"/>
          <w:kern w:val="0"/>
          <w:sz w:val="22"/>
          <w:szCs w:val="22"/>
        </w:rPr>
        <w:t xml:space="preserve">                                  </w:t>
      </w:r>
    </w:p>
    <w:p w:rsidR="0024092D" w:rsidRPr="009263D7" w:rsidRDefault="00CB4B9E" w:rsidP="0024092D">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r w:rsidRPr="00CB4B9E">
        <w:rPr>
          <w:color w:val="000000" w:themeColor="text1"/>
          <w:sz w:val="18"/>
        </w:rPr>
        <w:t>%</w:t>
      </w:r>
    </w:p>
    <w:tbl>
      <w:tblPr>
        <w:tblW w:w="9486" w:type="dxa"/>
        <w:tblInd w:w="97" w:type="dxa"/>
        <w:tblLook w:val="04A0"/>
      </w:tblPr>
      <w:tblGrid>
        <w:gridCol w:w="840"/>
        <w:gridCol w:w="780"/>
        <w:gridCol w:w="720"/>
        <w:gridCol w:w="760"/>
        <w:gridCol w:w="880"/>
        <w:gridCol w:w="760"/>
        <w:gridCol w:w="666"/>
        <w:gridCol w:w="740"/>
        <w:gridCol w:w="880"/>
        <w:gridCol w:w="700"/>
        <w:gridCol w:w="940"/>
        <w:gridCol w:w="820"/>
      </w:tblGrid>
      <w:tr w:rsidR="0024092D" w:rsidRPr="009263D7">
        <w:trPr>
          <w:trHeight w:val="450"/>
        </w:trPr>
        <w:tc>
          <w:tcPr>
            <w:tcW w:w="840" w:type="dxa"/>
            <w:vMerge w:val="restart"/>
            <w:tcBorders>
              <w:top w:val="single" w:sz="8" w:space="0" w:color="auto"/>
              <w:left w:val="nil"/>
              <w:right w:val="single" w:sz="2" w:space="0" w:color="auto"/>
            </w:tcBorders>
            <w:shd w:val="clear" w:color="auto" w:fill="auto"/>
            <w:vAlign w:val="center"/>
          </w:tcPr>
          <w:p w:rsidR="0035038B"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名称</w:t>
            </w:r>
          </w:p>
        </w:tc>
        <w:tc>
          <w:tcPr>
            <w:tcW w:w="780" w:type="dxa"/>
            <w:vMerge w:val="restart"/>
            <w:tcBorders>
              <w:top w:val="single" w:sz="8" w:space="0" w:color="auto"/>
              <w:left w:val="single" w:sz="2" w:space="0" w:color="auto"/>
              <w:right w:val="single" w:sz="2" w:space="0" w:color="auto"/>
            </w:tcBorders>
            <w:shd w:val="clear" w:color="auto" w:fill="auto"/>
            <w:vAlign w:val="center"/>
          </w:tcPr>
          <w:p w:rsidR="0035038B"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代码</w:t>
            </w:r>
          </w:p>
        </w:tc>
        <w:tc>
          <w:tcPr>
            <w:tcW w:w="720" w:type="dxa"/>
            <w:vMerge w:val="restart"/>
            <w:tcBorders>
              <w:top w:val="single" w:sz="8" w:space="0" w:color="auto"/>
              <w:left w:val="single" w:sz="2" w:space="0" w:color="auto"/>
              <w:right w:val="single" w:sz="2" w:space="0" w:color="auto"/>
            </w:tcBorders>
            <w:shd w:val="clear" w:color="auto" w:fill="auto"/>
            <w:vAlign w:val="center"/>
          </w:tcPr>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对方国家</w:t>
            </w:r>
            <w:r w:rsidRPr="00CB4B9E">
              <w:rPr>
                <w:rFonts w:ascii="宋体" w:hAnsi="宋体" w:cs="宋体"/>
                <w:color w:val="000000" w:themeColor="text1"/>
                <w:kern w:val="0"/>
                <w:sz w:val="18"/>
                <w:szCs w:val="18"/>
              </w:rPr>
              <w:t>/地区</w:t>
            </w:r>
          </w:p>
        </w:tc>
        <w:tc>
          <w:tcPr>
            <w:tcW w:w="760" w:type="dxa"/>
            <w:vMerge w:val="restart"/>
            <w:tcBorders>
              <w:top w:val="single" w:sz="8" w:space="0" w:color="auto"/>
              <w:left w:val="single" w:sz="2" w:space="0" w:color="auto"/>
              <w:right w:val="single" w:sz="2" w:space="0" w:color="auto"/>
            </w:tcBorders>
            <w:shd w:val="clear" w:color="auto" w:fill="auto"/>
            <w:vAlign w:val="center"/>
          </w:tcPr>
          <w:p w:rsidR="0035038B"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部门</w:t>
            </w:r>
          </w:p>
        </w:tc>
        <w:tc>
          <w:tcPr>
            <w:tcW w:w="880" w:type="dxa"/>
            <w:vMerge w:val="restart"/>
            <w:tcBorders>
              <w:top w:val="single" w:sz="8" w:space="0" w:color="auto"/>
              <w:left w:val="single" w:sz="2" w:space="0" w:color="auto"/>
              <w:right w:val="single" w:sz="2" w:space="0" w:color="auto"/>
            </w:tcBorders>
            <w:shd w:val="clear" w:color="auto" w:fill="auto"/>
            <w:vAlign w:val="center"/>
          </w:tcPr>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对方与本机构的关系</w:t>
            </w:r>
          </w:p>
        </w:tc>
        <w:tc>
          <w:tcPr>
            <w:tcW w:w="5506" w:type="dxa"/>
            <w:gridSpan w:val="7"/>
            <w:tcBorders>
              <w:top w:val="single" w:sz="8" w:space="0" w:color="auto"/>
              <w:left w:val="single" w:sz="2" w:space="0" w:color="auto"/>
              <w:bottom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按原始币种填列</w:t>
            </w:r>
          </w:p>
        </w:tc>
      </w:tr>
      <w:tr w:rsidR="0024092D" w:rsidRPr="009263D7">
        <w:trPr>
          <w:trHeight w:val="450"/>
        </w:trPr>
        <w:tc>
          <w:tcPr>
            <w:tcW w:w="840" w:type="dxa"/>
            <w:vMerge/>
            <w:tcBorders>
              <w:left w:val="nil"/>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80" w:type="dxa"/>
            <w:vMerge/>
            <w:tcBorders>
              <w:left w:val="single" w:sz="2" w:space="0" w:color="auto"/>
              <w:right w:val="single" w:sz="2" w:space="0" w:color="auto"/>
            </w:tcBorders>
            <w:shd w:val="clear" w:color="auto" w:fill="auto"/>
            <w:vAlign w:val="center"/>
          </w:tcPr>
          <w:p w:rsidR="0024092D" w:rsidRPr="009263D7" w:rsidRDefault="0024092D" w:rsidP="000C132D">
            <w:pPr>
              <w:keepNext/>
              <w:spacing w:line="320" w:lineRule="exact"/>
              <w:jc w:val="center"/>
              <w:outlineLvl w:val="0"/>
              <w:rPr>
                <w:rFonts w:ascii="宋体" w:hAnsi="宋体" w:cs="宋体"/>
                <w:color w:val="000000" w:themeColor="text1"/>
                <w:kern w:val="0"/>
                <w:sz w:val="18"/>
                <w:szCs w:val="18"/>
              </w:rPr>
            </w:pPr>
          </w:p>
        </w:tc>
        <w:tc>
          <w:tcPr>
            <w:tcW w:w="720" w:type="dxa"/>
            <w:vMerge/>
            <w:tcBorders>
              <w:left w:val="single" w:sz="2" w:space="0" w:color="auto"/>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60" w:type="dxa"/>
            <w:vMerge/>
            <w:tcBorders>
              <w:left w:val="single" w:sz="2" w:space="0" w:color="auto"/>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880" w:type="dxa"/>
            <w:vMerge/>
            <w:tcBorders>
              <w:left w:val="single" w:sz="2" w:space="0" w:color="auto"/>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60" w:type="dxa"/>
            <w:tcBorders>
              <w:top w:val="single" w:sz="2" w:space="0" w:color="auto"/>
              <w:left w:val="single" w:sz="2" w:space="0" w:color="auto"/>
              <w:right w:val="single" w:sz="2" w:space="0" w:color="auto"/>
            </w:tcBorders>
            <w:shd w:val="clear" w:color="auto" w:fill="auto"/>
            <w:vAlign w:val="center"/>
          </w:tcPr>
          <w:p w:rsidR="0035038B"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w:t>
            </w:r>
          </w:p>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币种</w:t>
            </w:r>
          </w:p>
        </w:tc>
        <w:tc>
          <w:tcPr>
            <w:tcW w:w="666" w:type="dxa"/>
            <w:tcBorders>
              <w:top w:val="single" w:sz="2" w:space="0" w:color="auto"/>
              <w:left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上月末余额</w:t>
            </w:r>
          </w:p>
        </w:tc>
        <w:tc>
          <w:tcPr>
            <w:tcW w:w="740" w:type="dxa"/>
            <w:tcBorders>
              <w:top w:val="single" w:sz="2" w:space="0" w:color="auto"/>
              <w:left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本月末余额</w:t>
            </w:r>
          </w:p>
        </w:tc>
        <w:tc>
          <w:tcPr>
            <w:tcW w:w="880" w:type="dxa"/>
            <w:tcBorders>
              <w:top w:val="single" w:sz="2" w:space="0" w:color="auto"/>
              <w:left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700" w:type="dxa"/>
            <w:tcBorders>
              <w:top w:val="single" w:sz="2" w:space="0" w:color="auto"/>
              <w:left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c>
          <w:tcPr>
            <w:tcW w:w="940" w:type="dxa"/>
            <w:tcBorders>
              <w:top w:val="single" w:sz="2" w:space="0" w:color="auto"/>
              <w:left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本月末本机构持表决权比例（</w:t>
            </w:r>
            <w:r w:rsidRPr="00CB4B9E">
              <w:rPr>
                <w:rFonts w:ascii="宋体" w:hAnsi="宋体" w:cs="宋体"/>
                <w:color w:val="000000" w:themeColor="text1"/>
                <w:kern w:val="0"/>
                <w:sz w:val="18"/>
                <w:szCs w:val="18"/>
              </w:rPr>
              <w:t>%）</w:t>
            </w:r>
          </w:p>
        </w:tc>
        <w:tc>
          <w:tcPr>
            <w:tcW w:w="820" w:type="dxa"/>
            <w:tcBorders>
              <w:top w:val="single" w:sz="2" w:space="0" w:color="auto"/>
              <w:left w:val="single" w:sz="2" w:space="0" w:color="auto"/>
              <w:right w:val="nil"/>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本月本机构的红利</w:t>
            </w:r>
            <w:r w:rsidRPr="00CB4B9E">
              <w:rPr>
                <w:rFonts w:ascii="宋体" w:hAnsi="宋体" w:cs="宋体"/>
                <w:color w:val="000000" w:themeColor="text1"/>
                <w:kern w:val="0"/>
                <w:sz w:val="18"/>
                <w:szCs w:val="18"/>
              </w:rPr>
              <w:t>/股息/利润收入</w:t>
            </w:r>
          </w:p>
        </w:tc>
      </w:tr>
      <w:tr w:rsidR="0024092D" w:rsidRPr="009263D7">
        <w:trPr>
          <w:trHeight w:val="540"/>
        </w:trPr>
        <w:tc>
          <w:tcPr>
            <w:tcW w:w="840" w:type="dxa"/>
            <w:tcBorders>
              <w:top w:val="nil"/>
              <w:left w:val="nil"/>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D0301</w:t>
            </w:r>
          </w:p>
        </w:tc>
        <w:tc>
          <w:tcPr>
            <w:tcW w:w="78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D0302</w:t>
            </w:r>
          </w:p>
        </w:tc>
        <w:tc>
          <w:tcPr>
            <w:tcW w:w="72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D0303</w:t>
            </w:r>
          </w:p>
        </w:tc>
        <w:tc>
          <w:tcPr>
            <w:tcW w:w="76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D0304</w:t>
            </w:r>
          </w:p>
        </w:tc>
        <w:tc>
          <w:tcPr>
            <w:tcW w:w="88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D0305</w:t>
            </w:r>
          </w:p>
        </w:tc>
        <w:tc>
          <w:tcPr>
            <w:tcW w:w="76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D0306</w:t>
            </w:r>
          </w:p>
        </w:tc>
        <w:tc>
          <w:tcPr>
            <w:tcW w:w="666"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D0307</w:t>
            </w:r>
          </w:p>
        </w:tc>
        <w:tc>
          <w:tcPr>
            <w:tcW w:w="74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D0308</w:t>
            </w:r>
          </w:p>
        </w:tc>
        <w:tc>
          <w:tcPr>
            <w:tcW w:w="88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D0309</w:t>
            </w:r>
          </w:p>
        </w:tc>
        <w:tc>
          <w:tcPr>
            <w:tcW w:w="70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D0310</w:t>
            </w:r>
          </w:p>
        </w:tc>
        <w:tc>
          <w:tcPr>
            <w:tcW w:w="940" w:type="dxa"/>
            <w:tcBorders>
              <w:top w:val="nil"/>
              <w:left w:val="single" w:sz="2" w:space="0" w:color="auto"/>
              <w:bottom w:val="single" w:sz="4"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D0311</w:t>
            </w:r>
          </w:p>
        </w:tc>
        <w:tc>
          <w:tcPr>
            <w:tcW w:w="820" w:type="dxa"/>
            <w:tcBorders>
              <w:top w:val="nil"/>
              <w:left w:val="single" w:sz="2" w:space="0" w:color="auto"/>
              <w:bottom w:val="single" w:sz="4" w:space="0" w:color="auto"/>
              <w:right w:val="nil"/>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D0312</w:t>
            </w:r>
          </w:p>
        </w:tc>
      </w:tr>
      <w:tr w:rsidR="0024092D" w:rsidRPr="009263D7">
        <w:trPr>
          <w:trHeight w:val="285"/>
        </w:trPr>
        <w:tc>
          <w:tcPr>
            <w:tcW w:w="840" w:type="dxa"/>
            <w:tcBorders>
              <w:top w:val="single" w:sz="4" w:space="0" w:color="auto"/>
              <w:left w:val="nil"/>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78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72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76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88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76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己</w:t>
            </w:r>
          </w:p>
        </w:tc>
        <w:tc>
          <w:tcPr>
            <w:tcW w:w="666"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74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88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70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940" w:type="dxa"/>
            <w:tcBorders>
              <w:top w:val="single" w:sz="4"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820" w:type="dxa"/>
            <w:tcBorders>
              <w:top w:val="single" w:sz="4" w:space="0" w:color="auto"/>
              <w:left w:val="single" w:sz="2" w:space="0" w:color="auto"/>
              <w:bottom w:val="single" w:sz="2" w:space="0" w:color="auto"/>
              <w:right w:val="nil"/>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r>
      <w:tr w:rsidR="0024092D" w:rsidRPr="009263D7">
        <w:trPr>
          <w:trHeight w:val="285"/>
        </w:trPr>
        <w:tc>
          <w:tcPr>
            <w:tcW w:w="84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8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2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666"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4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0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94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2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r>
      <w:tr w:rsidR="0024092D" w:rsidRPr="009263D7">
        <w:trPr>
          <w:trHeight w:val="285"/>
        </w:trPr>
        <w:tc>
          <w:tcPr>
            <w:tcW w:w="8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666"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0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9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r>
      <w:tr w:rsidR="0024092D" w:rsidRPr="009263D7">
        <w:trPr>
          <w:trHeight w:val="285"/>
        </w:trPr>
        <w:tc>
          <w:tcPr>
            <w:tcW w:w="8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666"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0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9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r>
      <w:tr w:rsidR="0024092D" w:rsidRPr="009263D7">
        <w:trPr>
          <w:trHeight w:val="300"/>
        </w:trPr>
        <w:tc>
          <w:tcPr>
            <w:tcW w:w="840" w:type="dxa"/>
            <w:tcBorders>
              <w:top w:val="nil"/>
              <w:left w:val="nil"/>
              <w:bottom w:val="single" w:sz="8" w:space="0" w:color="auto"/>
              <w:right w:val="nil"/>
            </w:tcBorders>
            <w:shd w:val="clear" w:color="auto" w:fill="auto"/>
            <w:noWrap/>
            <w:vAlign w:val="center"/>
          </w:tcPr>
          <w:p w:rsidR="0024092D" w:rsidRPr="009263D7" w:rsidRDefault="00CB4B9E" w:rsidP="000C132D">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8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2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6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88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6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66"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4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88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0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4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82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24092D" w:rsidRPr="009263D7" w:rsidRDefault="00CB4B9E" w:rsidP="0024092D">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spacing w:line="28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24092D" w:rsidRPr="009263D7" w:rsidRDefault="00CB4B9E" w:rsidP="0024092D">
      <w:pPr>
        <w:widowControl/>
        <w:rPr>
          <w:rFonts w:ascii="宋体"/>
          <w:color w:val="000000" w:themeColor="text1"/>
          <w:sz w:val="18"/>
        </w:rPr>
      </w:pPr>
      <w:r w:rsidRPr="00CB4B9E">
        <w:rPr>
          <w:rFonts w:ascii="宋体"/>
          <w:color w:val="000000" w:themeColor="text1"/>
          <w:sz w:val="18"/>
        </w:rPr>
        <w:br w:type="page"/>
      </w:r>
    </w:p>
    <w:p w:rsidR="00E63162" w:rsidRPr="009263D7" w:rsidRDefault="00E63162" w:rsidP="00E63162">
      <w:pPr>
        <w:spacing w:line="280" w:lineRule="exact"/>
        <w:rPr>
          <w:rFonts w:ascii="宋体"/>
          <w:color w:val="000000" w:themeColor="text1"/>
          <w:sz w:val="18"/>
        </w:rPr>
      </w:pPr>
    </w:p>
    <w:p w:rsidR="00E63162" w:rsidRPr="009263D7" w:rsidRDefault="00CB4B9E" w:rsidP="00E63162">
      <w:pPr>
        <w:pStyle w:val="3"/>
        <w:jc w:val="center"/>
        <w:rPr>
          <w:rFonts w:ascii="宋体" w:hAnsi="宋体" w:cs="宋体"/>
          <w:b w:val="0"/>
          <w:color w:val="000000" w:themeColor="text1"/>
          <w:kern w:val="0"/>
          <w:sz w:val="28"/>
          <w:szCs w:val="28"/>
        </w:rPr>
      </w:pPr>
      <w:bookmarkStart w:id="31" w:name="_Toc452017141"/>
      <w:r w:rsidRPr="00CB4B9E">
        <w:rPr>
          <w:rFonts w:ascii="宋体" w:hAnsi="宋体" w:cs="宋体" w:hint="eastAsia"/>
          <w:b w:val="0"/>
          <w:color w:val="000000" w:themeColor="text1"/>
          <w:kern w:val="0"/>
          <w:sz w:val="28"/>
          <w:szCs w:val="28"/>
        </w:rPr>
        <w:t>应收款（不含应收利息）（资产）</w:t>
      </w:r>
      <w:bookmarkEnd w:id="31"/>
    </w:p>
    <w:p w:rsidR="00E63162" w:rsidRPr="009263D7" w:rsidRDefault="00CB4B9E" w:rsidP="003E2C61">
      <w:pPr>
        <w:spacing w:line="240" w:lineRule="exact"/>
        <w:ind w:firstLineChars="3543" w:firstLine="6377"/>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D04表</w:t>
      </w:r>
    </w:p>
    <w:p w:rsidR="00E63162" w:rsidRPr="009263D7" w:rsidRDefault="00CB4B9E" w:rsidP="00E63162">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E63162" w:rsidRPr="009263D7" w:rsidRDefault="00CB4B9E" w:rsidP="00E63162">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E63162" w:rsidRPr="009263D7" w:rsidRDefault="00CB4B9E" w:rsidP="00E6316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E63162" w:rsidRPr="009263D7" w:rsidRDefault="00CB4B9E" w:rsidP="00E6316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E63162" w:rsidRPr="009263D7" w:rsidRDefault="00CB4B9E" w:rsidP="00E63162">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E63162" w:rsidRPr="009263D7" w:rsidRDefault="00CB4B9E" w:rsidP="00E63162">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0" w:type="auto"/>
        <w:tblInd w:w="250" w:type="dxa"/>
        <w:tblLayout w:type="fixed"/>
        <w:tblLook w:val="04A0"/>
      </w:tblPr>
      <w:tblGrid>
        <w:gridCol w:w="944"/>
        <w:gridCol w:w="770"/>
        <w:gridCol w:w="1117"/>
        <w:gridCol w:w="770"/>
        <w:gridCol w:w="118"/>
        <w:gridCol w:w="118"/>
        <w:gridCol w:w="770"/>
        <w:gridCol w:w="839"/>
        <w:gridCol w:w="666"/>
        <w:gridCol w:w="1394"/>
        <w:gridCol w:w="978"/>
        <w:gridCol w:w="909"/>
      </w:tblGrid>
      <w:tr w:rsidR="00792025" w:rsidRPr="009263D7" w:rsidTr="0056139B">
        <w:trPr>
          <w:trHeight w:val="419"/>
        </w:trPr>
        <w:tc>
          <w:tcPr>
            <w:tcW w:w="944" w:type="dxa"/>
            <w:vMerge w:val="restart"/>
            <w:tcBorders>
              <w:top w:val="single" w:sz="8" w:space="0" w:color="auto"/>
              <w:left w:val="nil"/>
              <w:right w:val="single" w:sz="2" w:space="0" w:color="auto"/>
            </w:tcBorders>
            <w:shd w:val="clear" w:color="auto" w:fill="auto"/>
            <w:vAlign w:val="center"/>
          </w:tcPr>
          <w:p w:rsidR="00792025" w:rsidRPr="009263D7"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对方国家</w:t>
            </w:r>
            <w:r w:rsidRPr="00CB4B9E">
              <w:rPr>
                <w:rFonts w:ascii="宋体" w:hAnsi="宋体" w:cs="宋体"/>
                <w:color w:val="000000" w:themeColor="text1"/>
                <w:kern w:val="0"/>
                <w:sz w:val="18"/>
                <w:szCs w:val="18"/>
              </w:rPr>
              <w:t>/地区</w:t>
            </w:r>
          </w:p>
        </w:tc>
        <w:tc>
          <w:tcPr>
            <w:tcW w:w="770" w:type="dxa"/>
            <w:vMerge w:val="restart"/>
            <w:tcBorders>
              <w:top w:val="single" w:sz="8" w:space="0" w:color="auto"/>
              <w:left w:val="single" w:sz="2" w:space="0" w:color="auto"/>
              <w:right w:val="single" w:sz="2" w:space="0" w:color="auto"/>
            </w:tcBorders>
            <w:shd w:val="clear" w:color="auto" w:fill="auto"/>
            <w:vAlign w:val="center"/>
          </w:tcPr>
          <w:p w:rsidR="0035038B"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792025" w:rsidRPr="009263D7"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部门</w:t>
            </w:r>
          </w:p>
        </w:tc>
        <w:tc>
          <w:tcPr>
            <w:tcW w:w="1117" w:type="dxa"/>
            <w:vMerge w:val="restart"/>
            <w:tcBorders>
              <w:top w:val="single" w:sz="8" w:space="0" w:color="auto"/>
              <w:left w:val="single" w:sz="2" w:space="0" w:color="auto"/>
              <w:right w:val="single" w:sz="2" w:space="0" w:color="auto"/>
            </w:tcBorders>
            <w:shd w:val="clear" w:color="auto" w:fill="auto"/>
            <w:vAlign w:val="center"/>
          </w:tcPr>
          <w:p w:rsidR="00792025" w:rsidRPr="009263D7"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对方与本机构的关系</w:t>
            </w:r>
          </w:p>
        </w:tc>
        <w:tc>
          <w:tcPr>
            <w:tcW w:w="881" w:type="dxa"/>
            <w:gridSpan w:val="2"/>
            <w:vMerge w:val="restart"/>
            <w:tcBorders>
              <w:top w:val="single" w:sz="8" w:space="0" w:color="auto"/>
              <w:left w:val="single" w:sz="2" w:space="0" w:color="auto"/>
              <w:right w:val="single" w:sz="2" w:space="0" w:color="auto"/>
            </w:tcBorders>
            <w:shd w:val="clear" w:color="auto" w:fill="auto"/>
            <w:vAlign w:val="center"/>
          </w:tcPr>
          <w:p w:rsidR="0035038B" w:rsidRDefault="00CB4B9E" w:rsidP="006D3B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w:t>
            </w:r>
          </w:p>
          <w:p w:rsidR="00792025" w:rsidRPr="009263D7" w:rsidRDefault="00CB4B9E" w:rsidP="006D3B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期限</w:t>
            </w:r>
          </w:p>
        </w:tc>
        <w:tc>
          <w:tcPr>
            <w:tcW w:w="5667" w:type="dxa"/>
            <w:gridSpan w:val="7"/>
            <w:tcBorders>
              <w:top w:val="single" w:sz="8" w:space="0" w:color="auto"/>
              <w:left w:val="single" w:sz="2" w:space="0" w:color="auto"/>
              <w:bottom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按原始币种填列</w:t>
            </w:r>
          </w:p>
        </w:tc>
      </w:tr>
      <w:tr w:rsidR="00F45BF8" w:rsidRPr="009263D7" w:rsidTr="0056139B">
        <w:trPr>
          <w:trHeight w:val="750"/>
        </w:trPr>
        <w:tc>
          <w:tcPr>
            <w:tcW w:w="944" w:type="dxa"/>
            <w:vMerge/>
            <w:tcBorders>
              <w:left w:val="nil"/>
              <w:right w:val="single" w:sz="2" w:space="0" w:color="auto"/>
            </w:tcBorders>
            <w:shd w:val="clear" w:color="auto" w:fill="auto"/>
            <w:vAlign w:val="center"/>
          </w:tcPr>
          <w:p w:rsidR="00F45BF8" w:rsidRPr="009263D7" w:rsidRDefault="00F45BF8" w:rsidP="00675CD0">
            <w:pPr>
              <w:keepNext/>
              <w:widowControl/>
              <w:spacing w:line="320" w:lineRule="exact"/>
              <w:jc w:val="center"/>
              <w:outlineLvl w:val="0"/>
              <w:rPr>
                <w:rFonts w:ascii="宋体" w:hAnsi="宋体" w:cs="宋体"/>
                <w:color w:val="000000" w:themeColor="text1"/>
                <w:kern w:val="0"/>
                <w:sz w:val="18"/>
                <w:szCs w:val="18"/>
              </w:rPr>
            </w:pPr>
          </w:p>
        </w:tc>
        <w:tc>
          <w:tcPr>
            <w:tcW w:w="770" w:type="dxa"/>
            <w:vMerge/>
            <w:tcBorders>
              <w:left w:val="single" w:sz="2" w:space="0" w:color="auto"/>
              <w:right w:val="single" w:sz="2" w:space="0" w:color="auto"/>
            </w:tcBorders>
            <w:shd w:val="clear" w:color="auto" w:fill="auto"/>
            <w:vAlign w:val="center"/>
          </w:tcPr>
          <w:p w:rsidR="00F45BF8" w:rsidRPr="009263D7" w:rsidRDefault="00F45BF8" w:rsidP="00675CD0">
            <w:pPr>
              <w:keepNext/>
              <w:widowControl/>
              <w:spacing w:line="320" w:lineRule="exact"/>
              <w:jc w:val="center"/>
              <w:outlineLvl w:val="0"/>
              <w:rPr>
                <w:rFonts w:ascii="宋体" w:hAnsi="宋体" w:cs="宋体"/>
                <w:color w:val="000000" w:themeColor="text1"/>
                <w:kern w:val="0"/>
                <w:sz w:val="18"/>
                <w:szCs w:val="18"/>
              </w:rPr>
            </w:pPr>
          </w:p>
        </w:tc>
        <w:tc>
          <w:tcPr>
            <w:tcW w:w="1117" w:type="dxa"/>
            <w:vMerge/>
            <w:tcBorders>
              <w:left w:val="single" w:sz="2" w:space="0" w:color="auto"/>
              <w:right w:val="single" w:sz="2" w:space="0" w:color="auto"/>
            </w:tcBorders>
            <w:shd w:val="clear" w:color="auto" w:fill="auto"/>
            <w:vAlign w:val="center"/>
          </w:tcPr>
          <w:p w:rsidR="00F45BF8" w:rsidRPr="009263D7" w:rsidRDefault="00F45BF8" w:rsidP="00675CD0">
            <w:pPr>
              <w:keepNext/>
              <w:widowControl/>
              <w:spacing w:line="320" w:lineRule="exact"/>
              <w:jc w:val="center"/>
              <w:outlineLvl w:val="0"/>
              <w:rPr>
                <w:rFonts w:ascii="宋体" w:hAnsi="宋体" w:cs="宋体"/>
                <w:color w:val="000000" w:themeColor="text1"/>
                <w:kern w:val="0"/>
                <w:sz w:val="18"/>
                <w:szCs w:val="18"/>
              </w:rPr>
            </w:pPr>
          </w:p>
        </w:tc>
        <w:tc>
          <w:tcPr>
            <w:tcW w:w="881" w:type="dxa"/>
            <w:gridSpan w:val="2"/>
            <w:vMerge/>
            <w:tcBorders>
              <w:left w:val="single" w:sz="2" w:space="0" w:color="auto"/>
              <w:right w:val="single" w:sz="2" w:space="0" w:color="auto"/>
            </w:tcBorders>
            <w:shd w:val="clear" w:color="auto" w:fill="auto"/>
            <w:vAlign w:val="center"/>
          </w:tcPr>
          <w:p w:rsidR="00F45BF8" w:rsidRPr="009263D7" w:rsidRDefault="00F45BF8" w:rsidP="00675CD0">
            <w:pPr>
              <w:keepNext/>
              <w:widowControl/>
              <w:spacing w:line="320" w:lineRule="exact"/>
              <w:jc w:val="center"/>
              <w:outlineLvl w:val="0"/>
              <w:rPr>
                <w:rFonts w:ascii="宋体" w:hAnsi="宋体" w:cs="宋体"/>
                <w:color w:val="000000" w:themeColor="text1"/>
                <w:kern w:val="0"/>
                <w:sz w:val="18"/>
                <w:szCs w:val="18"/>
              </w:rPr>
            </w:pPr>
          </w:p>
        </w:tc>
        <w:tc>
          <w:tcPr>
            <w:tcW w:w="881" w:type="dxa"/>
            <w:gridSpan w:val="2"/>
            <w:vMerge w:val="restart"/>
            <w:tcBorders>
              <w:top w:val="single" w:sz="2" w:space="0" w:color="auto"/>
              <w:left w:val="single" w:sz="2" w:space="0" w:color="auto"/>
              <w:right w:val="single" w:sz="2" w:space="0" w:color="auto"/>
            </w:tcBorders>
            <w:shd w:val="clear" w:color="auto" w:fill="auto"/>
            <w:vAlign w:val="center"/>
          </w:tcPr>
          <w:p w:rsidR="0035038B"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w:t>
            </w:r>
          </w:p>
          <w:p w:rsidR="00F45BF8"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币种</w:t>
            </w:r>
          </w:p>
        </w:tc>
        <w:tc>
          <w:tcPr>
            <w:tcW w:w="839" w:type="dxa"/>
            <w:vMerge w:val="restart"/>
            <w:tcBorders>
              <w:top w:val="single" w:sz="2" w:space="0" w:color="auto"/>
              <w:left w:val="single" w:sz="2" w:space="0" w:color="auto"/>
              <w:right w:val="single" w:sz="2" w:space="0" w:color="auto"/>
            </w:tcBorders>
            <w:shd w:val="clear" w:color="auto" w:fill="auto"/>
            <w:vAlign w:val="center"/>
          </w:tcPr>
          <w:p w:rsidR="00F45BF8"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上月末余额</w:t>
            </w:r>
          </w:p>
        </w:tc>
        <w:tc>
          <w:tcPr>
            <w:tcW w:w="2060" w:type="dxa"/>
            <w:gridSpan w:val="2"/>
            <w:tcBorders>
              <w:top w:val="single" w:sz="2" w:space="0" w:color="auto"/>
              <w:left w:val="single" w:sz="2" w:space="0" w:color="auto"/>
              <w:right w:val="single" w:sz="2" w:space="0" w:color="auto"/>
            </w:tcBorders>
            <w:shd w:val="clear" w:color="auto" w:fill="auto"/>
            <w:vAlign w:val="center"/>
          </w:tcPr>
          <w:p w:rsidR="00F45BF8"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本月末余额</w:t>
            </w:r>
          </w:p>
        </w:tc>
        <w:tc>
          <w:tcPr>
            <w:tcW w:w="978" w:type="dxa"/>
            <w:vMerge w:val="restart"/>
            <w:tcBorders>
              <w:top w:val="single" w:sz="2" w:space="0" w:color="auto"/>
              <w:left w:val="single" w:sz="2" w:space="0" w:color="auto"/>
              <w:right w:val="single" w:sz="2" w:space="0" w:color="auto"/>
            </w:tcBorders>
            <w:shd w:val="clear" w:color="auto" w:fill="auto"/>
            <w:vAlign w:val="center"/>
          </w:tcPr>
          <w:p w:rsidR="00F45BF8"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909" w:type="dxa"/>
            <w:vMerge w:val="restart"/>
            <w:tcBorders>
              <w:top w:val="single" w:sz="2" w:space="0" w:color="auto"/>
              <w:left w:val="single" w:sz="2" w:space="0" w:color="auto"/>
              <w:right w:val="nil"/>
            </w:tcBorders>
            <w:shd w:val="clear" w:color="auto" w:fill="auto"/>
            <w:vAlign w:val="center"/>
          </w:tcPr>
          <w:p w:rsidR="00F45BF8"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r>
      <w:tr w:rsidR="00792025" w:rsidRPr="009263D7" w:rsidTr="0056139B">
        <w:trPr>
          <w:trHeight w:val="171"/>
        </w:trPr>
        <w:tc>
          <w:tcPr>
            <w:tcW w:w="944" w:type="dxa"/>
            <w:vMerge/>
            <w:tcBorders>
              <w:left w:val="nil"/>
              <w:bottom w:val="nil"/>
              <w:right w:val="single" w:sz="2" w:space="0" w:color="auto"/>
            </w:tcBorders>
            <w:shd w:val="clear" w:color="auto" w:fill="auto"/>
            <w:vAlign w:val="center"/>
          </w:tcPr>
          <w:p w:rsidR="00792025" w:rsidRPr="009263D7" w:rsidRDefault="00792025" w:rsidP="00675CD0">
            <w:pPr>
              <w:keepNext/>
              <w:widowControl/>
              <w:spacing w:line="320" w:lineRule="exact"/>
              <w:jc w:val="center"/>
              <w:outlineLvl w:val="0"/>
              <w:rPr>
                <w:rFonts w:ascii="宋体" w:hAnsi="宋体" w:cs="宋体"/>
                <w:color w:val="000000" w:themeColor="text1"/>
                <w:kern w:val="0"/>
                <w:sz w:val="18"/>
                <w:szCs w:val="18"/>
              </w:rPr>
            </w:pPr>
          </w:p>
        </w:tc>
        <w:tc>
          <w:tcPr>
            <w:tcW w:w="770" w:type="dxa"/>
            <w:vMerge/>
            <w:tcBorders>
              <w:left w:val="single" w:sz="2" w:space="0" w:color="auto"/>
              <w:bottom w:val="nil"/>
              <w:right w:val="single" w:sz="2" w:space="0" w:color="auto"/>
            </w:tcBorders>
            <w:shd w:val="clear" w:color="auto" w:fill="auto"/>
            <w:vAlign w:val="center"/>
          </w:tcPr>
          <w:p w:rsidR="00792025" w:rsidRPr="009263D7" w:rsidRDefault="00792025" w:rsidP="00675CD0">
            <w:pPr>
              <w:keepNext/>
              <w:widowControl/>
              <w:spacing w:line="320" w:lineRule="exact"/>
              <w:jc w:val="center"/>
              <w:outlineLvl w:val="0"/>
              <w:rPr>
                <w:rFonts w:ascii="宋体" w:hAnsi="宋体" w:cs="宋体"/>
                <w:color w:val="000000" w:themeColor="text1"/>
                <w:kern w:val="0"/>
                <w:sz w:val="18"/>
                <w:szCs w:val="18"/>
              </w:rPr>
            </w:pPr>
          </w:p>
        </w:tc>
        <w:tc>
          <w:tcPr>
            <w:tcW w:w="1117" w:type="dxa"/>
            <w:vMerge/>
            <w:tcBorders>
              <w:left w:val="single" w:sz="2" w:space="0" w:color="auto"/>
              <w:bottom w:val="nil"/>
              <w:right w:val="single" w:sz="2" w:space="0" w:color="auto"/>
            </w:tcBorders>
            <w:shd w:val="clear" w:color="auto" w:fill="auto"/>
            <w:vAlign w:val="center"/>
          </w:tcPr>
          <w:p w:rsidR="00792025" w:rsidRPr="009263D7" w:rsidRDefault="00792025" w:rsidP="00675CD0">
            <w:pPr>
              <w:keepNext/>
              <w:widowControl/>
              <w:spacing w:line="320" w:lineRule="exact"/>
              <w:jc w:val="center"/>
              <w:outlineLvl w:val="0"/>
              <w:rPr>
                <w:rFonts w:ascii="宋体" w:hAnsi="宋体" w:cs="宋体"/>
                <w:color w:val="000000" w:themeColor="text1"/>
                <w:kern w:val="0"/>
                <w:sz w:val="18"/>
                <w:szCs w:val="18"/>
              </w:rPr>
            </w:pPr>
          </w:p>
        </w:tc>
        <w:tc>
          <w:tcPr>
            <w:tcW w:w="881" w:type="dxa"/>
            <w:gridSpan w:val="2"/>
            <w:vMerge/>
            <w:tcBorders>
              <w:left w:val="single" w:sz="2" w:space="0" w:color="auto"/>
              <w:bottom w:val="nil"/>
              <w:right w:val="single" w:sz="2" w:space="0" w:color="auto"/>
            </w:tcBorders>
            <w:shd w:val="clear" w:color="auto" w:fill="auto"/>
            <w:vAlign w:val="center"/>
          </w:tcPr>
          <w:p w:rsidR="00792025" w:rsidRPr="009263D7" w:rsidRDefault="00792025" w:rsidP="00675CD0">
            <w:pPr>
              <w:keepNext/>
              <w:widowControl/>
              <w:spacing w:line="320" w:lineRule="exact"/>
              <w:jc w:val="center"/>
              <w:outlineLvl w:val="0"/>
              <w:rPr>
                <w:rFonts w:ascii="宋体" w:hAnsi="宋体" w:cs="宋体"/>
                <w:color w:val="000000" w:themeColor="text1"/>
                <w:kern w:val="0"/>
                <w:sz w:val="18"/>
                <w:szCs w:val="18"/>
              </w:rPr>
            </w:pPr>
          </w:p>
        </w:tc>
        <w:tc>
          <w:tcPr>
            <w:tcW w:w="881" w:type="dxa"/>
            <w:gridSpan w:val="2"/>
            <w:vMerge/>
            <w:tcBorders>
              <w:left w:val="single" w:sz="2" w:space="0" w:color="auto"/>
              <w:bottom w:val="nil"/>
              <w:right w:val="single" w:sz="2" w:space="0" w:color="auto"/>
            </w:tcBorders>
            <w:shd w:val="clear" w:color="auto" w:fill="auto"/>
            <w:vAlign w:val="center"/>
          </w:tcPr>
          <w:p w:rsidR="00792025" w:rsidRPr="009263D7" w:rsidRDefault="00792025" w:rsidP="00675CD0">
            <w:pPr>
              <w:keepNext/>
              <w:widowControl/>
              <w:spacing w:line="320" w:lineRule="exact"/>
              <w:jc w:val="center"/>
              <w:outlineLvl w:val="0"/>
              <w:rPr>
                <w:rFonts w:ascii="宋体" w:hAnsi="宋体" w:cs="宋体"/>
                <w:color w:val="000000" w:themeColor="text1"/>
                <w:kern w:val="0"/>
                <w:sz w:val="18"/>
                <w:szCs w:val="18"/>
              </w:rPr>
            </w:pPr>
          </w:p>
        </w:tc>
        <w:tc>
          <w:tcPr>
            <w:tcW w:w="839" w:type="dxa"/>
            <w:vMerge/>
            <w:tcBorders>
              <w:left w:val="single" w:sz="2" w:space="0" w:color="auto"/>
              <w:bottom w:val="nil"/>
              <w:right w:val="single" w:sz="2" w:space="0" w:color="auto"/>
            </w:tcBorders>
            <w:shd w:val="clear" w:color="auto" w:fill="auto"/>
            <w:vAlign w:val="center"/>
          </w:tcPr>
          <w:p w:rsidR="00792025" w:rsidRPr="009263D7" w:rsidRDefault="00792025" w:rsidP="00675CD0">
            <w:pPr>
              <w:keepNext/>
              <w:widowControl/>
              <w:spacing w:line="320" w:lineRule="exact"/>
              <w:jc w:val="center"/>
              <w:outlineLvl w:val="0"/>
              <w:rPr>
                <w:rFonts w:ascii="宋体" w:hAnsi="宋体" w:cs="宋体"/>
                <w:color w:val="000000" w:themeColor="text1"/>
                <w:kern w:val="0"/>
                <w:sz w:val="18"/>
                <w:szCs w:val="18"/>
              </w:rPr>
            </w:pPr>
          </w:p>
        </w:tc>
        <w:tc>
          <w:tcPr>
            <w:tcW w:w="666" w:type="dxa"/>
            <w:tcBorders>
              <w:left w:val="single" w:sz="2" w:space="0" w:color="auto"/>
              <w:bottom w:val="nil"/>
              <w:right w:val="single" w:sz="2" w:space="0" w:color="auto"/>
            </w:tcBorders>
            <w:shd w:val="clear" w:color="auto" w:fill="auto"/>
            <w:vAlign w:val="center"/>
          </w:tcPr>
          <w:p w:rsidR="00792025" w:rsidRPr="009263D7" w:rsidRDefault="00792025" w:rsidP="00675CD0">
            <w:pPr>
              <w:keepNext/>
              <w:spacing w:line="320" w:lineRule="exact"/>
              <w:jc w:val="center"/>
              <w:outlineLvl w:val="0"/>
              <w:rPr>
                <w:rFonts w:ascii="宋体" w:hAnsi="宋体" w:cs="宋体"/>
                <w:color w:val="000000" w:themeColor="text1"/>
                <w:kern w:val="0"/>
                <w:sz w:val="18"/>
                <w:szCs w:val="18"/>
              </w:rPr>
            </w:pPr>
          </w:p>
        </w:tc>
        <w:tc>
          <w:tcPr>
            <w:tcW w:w="1394" w:type="dxa"/>
            <w:tcBorders>
              <w:top w:val="single" w:sz="2" w:space="0" w:color="auto"/>
              <w:left w:val="single" w:sz="2" w:space="0" w:color="auto"/>
              <w:bottom w:val="nil"/>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978" w:type="dxa"/>
            <w:vMerge/>
            <w:tcBorders>
              <w:left w:val="single" w:sz="2" w:space="0" w:color="auto"/>
              <w:bottom w:val="nil"/>
              <w:right w:val="single" w:sz="2" w:space="0" w:color="auto"/>
            </w:tcBorders>
            <w:shd w:val="clear" w:color="auto" w:fill="auto"/>
            <w:vAlign w:val="center"/>
          </w:tcPr>
          <w:p w:rsidR="00792025" w:rsidRPr="009263D7" w:rsidRDefault="00792025" w:rsidP="00675CD0">
            <w:pPr>
              <w:keepNext/>
              <w:widowControl/>
              <w:spacing w:line="320" w:lineRule="exact"/>
              <w:jc w:val="center"/>
              <w:outlineLvl w:val="0"/>
              <w:rPr>
                <w:rFonts w:ascii="宋体" w:hAnsi="宋体" w:cs="宋体"/>
                <w:color w:val="000000" w:themeColor="text1"/>
                <w:kern w:val="0"/>
                <w:sz w:val="18"/>
                <w:szCs w:val="18"/>
              </w:rPr>
            </w:pPr>
          </w:p>
        </w:tc>
        <w:tc>
          <w:tcPr>
            <w:tcW w:w="909" w:type="dxa"/>
            <w:vMerge/>
            <w:tcBorders>
              <w:left w:val="single" w:sz="2" w:space="0" w:color="auto"/>
              <w:bottom w:val="nil"/>
              <w:right w:val="nil"/>
            </w:tcBorders>
            <w:shd w:val="clear" w:color="auto" w:fill="auto"/>
            <w:vAlign w:val="center"/>
          </w:tcPr>
          <w:p w:rsidR="00792025" w:rsidRPr="009263D7" w:rsidRDefault="00792025" w:rsidP="00675CD0">
            <w:pPr>
              <w:keepNext/>
              <w:widowControl/>
              <w:spacing w:line="320" w:lineRule="exact"/>
              <w:jc w:val="center"/>
              <w:outlineLvl w:val="0"/>
              <w:rPr>
                <w:rFonts w:ascii="宋体" w:hAnsi="宋体" w:cs="宋体"/>
                <w:color w:val="000000" w:themeColor="text1"/>
                <w:kern w:val="0"/>
                <w:sz w:val="18"/>
                <w:szCs w:val="18"/>
              </w:rPr>
            </w:pPr>
          </w:p>
        </w:tc>
      </w:tr>
      <w:tr w:rsidR="00792025" w:rsidRPr="009263D7" w:rsidTr="0056139B">
        <w:trPr>
          <w:trHeight w:val="285"/>
        </w:trPr>
        <w:tc>
          <w:tcPr>
            <w:tcW w:w="944" w:type="dxa"/>
            <w:tcBorders>
              <w:top w:val="nil"/>
              <w:left w:val="nil"/>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D0401</w:t>
            </w:r>
          </w:p>
        </w:tc>
        <w:tc>
          <w:tcPr>
            <w:tcW w:w="770" w:type="dxa"/>
            <w:tcBorders>
              <w:top w:val="nil"/>
              <w:left w:val="single" w:sz="2" w:space="0" w:color="auto"/>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D0402</w:t>
            </w:r>
          </w:p>
        </w:tc>
        <w:tc>
          <w:tcPr>
            <w:tcW w:w="1117" w:type="dxa"/>
            <w:tcBorders>
              <w:top w:val="nil"/>
              <w:left w:val="single" w:sz="2" w:space="0" w:color="auto"/>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D0403</w:t>
            </w:r>
          </w:p>
        </w:tc>
        <w:tc>
          <w:tcPr>
            <w:tcW w:w="881" w:type="dxa"/>
            <w:gridSpan w:val="2"/>
            <w:tcBorders>
              <w:top w:val="nil"/>
              <w:left w:val="single" w:sz="2" w:space="0" w:color="auto"/>
              <w:bottom w:val="single" w:sz="2" w:space="0" w:color="auto"/>
              <w:right w:val="single" w:sz="2" w:space="0" w:color="auto"/>
            </w:tcBorders>
            <w:shd w:val="clear" w:color="auto" w:fill="auto"/>
            <w:vAlign w:val="center"/>
          </w:tcPr>
          <w:p w:rsidR="00792025" w:rsidRPr="009263D7" w:rsidRDefault="00CB4B9E" w:rsidP="006D3B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D0404</w:t>
            </w:r>
          </w:p>
        </w:tc>
        <w:tc>
          <w:tcPr>
            <w:tcW w:w="881" w:type="dxa"/>
            <w:gridSpan w:val="2"/>
            <w:tcBorders>
              <w:top w:val="nil"/>
              <w:left w:val="single" w:sz="2" w:space="0" w:color="auto"/>
              <w:bottom w:val="single" w:sz="2" w:space="0" w:color="auto"/>
              <w:right w:val="single" w:sz="2" w:space="0" w:color="auto"/>
            </w:tcBorders>
            <w:shd w:val="clear" w:color="auto" w:fill="auto"/>
            <w:vAlign w:val="center"/>
          </w:tcPr>
          <w:p w:rsidR="00792025" w:rsidRPr="009263D7" w:rsidRDefault="00CB4B9E" w:rsidP="006D3B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D0405</w:t>
            </w:r>
          </w:p>
        </w:tc>
        <w:tc>
          <w:tcPr>
            <w:tcW w:w="839" w:type="dxa"/>
            <w:tcBorders>
              <w:top w:val="nil"/>
              <w:left w:val="single" w:sz="2" w:space="0" w:color="auto"/>
              <w:bottom w:val="single" w:sz="2" w:space="0" w:color="auto"/>
              <w:right w:val="single" w:sz="2" w:space="0" w:color="auto"/>
            </w:tcBorders>
            <w:shd w:val="clear" w:color="auto" w:fill="auto"/>
            <w:vAlign w:val="center"/>
          </w:tcPr>
          <w:p w:rsidR="00792025" w:rsidRPr="009263D7" w:rsidRDefault="00CB4B9E" w:rsidP="006D3B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D0406</w:t>
            </w:r>
          </w:p>
        </w:tc>
        <w:tc>
          <w:tcPr>
            <w:tcW w:w="666" w:type="dxa"/>
            <w:tcBorders>
              <w:top w:val="nil"/>
              <w:left w:val="single" w:sz="2" w:space="0" w:color="auto"/>
              <w:bottom w:val="single" w:sz="2" w:space="0" w:color="auto"/>
              <w:right w:val="single" w:sz="2" w:space="0" w:color="auto"/>
            </w:tcBorders>
            <w:shd w:val="clear" w:color="auto" w:fill="auto"/>
            <w:vAlign w:val="center"/>
          </w:tcPr>
          <w:p w:rsidR="00792025" w:rsidRPr="009263D7" w:rsidRDefault="00CB4B9E" w:rsidP="006D3B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D0407</w:t>
            </w:r>
          </w:p>
        </w:tc>
        <w:tc>
          <w:tcPr>
            <w:tcW w:w="1394" w:type="dxa"/>
            <w:tcBorders>
              <w:top w:val="nil"/>
              <w:left w:val="single" w:sz="2" w:space="0" w:color="auto"/>
              <w:bottom w:val="single" w:sz="2" w:space="0" w:color="auto"/>
              <w:right w:val="single" w:sz="2" w:space="0" w:color="auto"/>
            </w:tcBorders>
            <w:shd w:val="clear" w:color="auto" w:fill="auto"/>
            <w:vAlign w:val="center"/>
          </w:tcPr>
          <w:p w:rsidR="00792025" w:rsidRPr="009263D7" w:rsidRDefault="00CB4B9E" w:rsidP="006D3B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D0408</w:t>
            </w:r>
          </w:p>
        </w:tc>
        <w:tc>
          <w:tcPr>
            <w:tcW w:w="978" w:type="dxa"/>
            <w:tcBorders>
              <w:top w:val="nil"/>
              <w:left w:val="single" w:sz="2" w:space="0" w:color="auto"/>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D0409</w:t>
            </w:r>
          </w:p>
        </w:tc>
        <w:tc>
          <w:tcPr>
            <w:tcW w:w="909" w:type="dxa"/>
            <w:tcBorders>
              <w:top w:val="nil"/>
              <w:left w:val="single" w:sz="2" w:space="0" w:color="auto"/>
              <w:bottom w:val="single" w:sz="2" w:space="0" w:color="auto"/>
              <w:right w:val="nil"/>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D0410</w:t>
            </w:r>
          </w:p>
        </w:tc>
      </w:tr>
      <w:tr w:rsidR="00792025" w:rsidRPr="009263D7" w:rsidTr="0056139B">
        <w:trPr>
          <w:trHeight w:val="285"/>
        </w:trPr>
        <w:tc>
          <w:tcPr>
            <w:tcW w:w="944" w:type="dxa"/>
            <w:tcBorders>
              <w:top w:val="single" w:sz="2" w:space="0" w:color="auto"/>
              <w:left w:val="nil"/>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770" w:type="dxa"/>
            <w:tcBorders>
              <w:top w:val="single" w:sz="2" w:space="0" w:color="auto"/>
              <w:left w:val="single" w:sz="2" w:space="0" w:color="auto"/>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117" w:type="dxa"/>
            <w:tcBorders>
              <w:top w:val="single" w:sz="2" w:space="0" w:color="auto"/>
              <w:left w:val="single" w:sz="2" w:space="0" w:color="auto"/>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88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792025" w:rsidRPr="009263D7" w:rsidRDefault="00CB4B9E" w:rsidP="0079202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88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792025" w:rsidRPr="009263D7" w:rsidRDefault="00CB4B9E" w:rsidP="0079202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839" w:type="dxa"/>
            <w:tcBorders>
              <w:top w:val="single" w:sz="2" w:space="0" w:color="auto"/>
              <w:left w:val="single" w:sz="2" w:space="0" w:color="auto"/>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rsidR="00792025" w:rsidRPr="009263D7" w:rsidRDefault="00CB4B9E" w:rsidP="0079202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1394" w:type="dxa"/>
            <w:tcBorders>
              <w:top w:val="single" w:sz="2" w:space="0" w:color="auto"/>
              <w:left w:val="single" w:sz="2" w:space="0" w:color="auto"/>
              <w:bottom w:val="single" w:sz="2" w:space="0" w:color="auto"/>
              <w:right w:val="single" w:sz="2" w:space="0" w:color="auto"/>
            </w:tcBorders>
            <w:shd w:val="clear" w:color="auto" w:fill="auto"/>
            <w:vAlign w:val="center"/>
          </w:tcPr>
          <w:p w:rsidR="00792025" w:rsidRPr="009263D7" w:rsidRDefault="00CB4B9E" w:rsidP="00675CD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978" w:type="dxa"/>
            <w:tcBorders>
              <w:top w:val="single" w:sz="2" w:space="0" w:color="auto"/>
              <w:left w:val="single" w:sz="2" w:space="0" w:color="auto"/>
              <w:bottom w:val="single" w:sz="2" w:space="0" w:color="auto"/>
              <w:right w:val="single" w:sz="2" w:space="0" w:color="auto"/>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909" w:type="dxa"/>
            <w:tcBorders>
              <w:top w:val="single" w:sz="2" w:space="0" w:color="auto"/>
              <w:left w:val="single" w:sz="2" w:space="0" w:color="auto"/>
              <w:bottom w:val="single" w:sz="2" w:space="0" w:color="auto"/>
              <w:right w:val="nil"/>
            </w:tcBorders>
            <w:shd w:val="clear" w:color="auto" w:fill="auto"/>
            <w:vAlign w:val="center"/>
          </w:tcPr>
          <w:p w:rsidR="00792025"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r>
      <w:tr w:rsidR="006D3B2D" w:rsidRPr="009263D7" w:rsidTr="0056139B">
        <w:trPr>
          <w:trHeight w:val="285"/>
        </w:trPr>
        <w:tc>
          <w:tcPr>
            <w:tcW w:w="944" w:type="dxa"/>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770" w:type="dxa"/>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117" w:type="dxa"/>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770" w:type="dxa"/>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222" w:type="dxa"/>
            <w:gridSpan w:val="2"/>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770" w:type="dxa"/>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839" w:type="dxa"/>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2060" w:type="dxa"/>
            <w:gridSpan w:val="2"/>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978" w:type="dxa"/>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909" w:type="dxa"/>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6D3B2D" w:rsidRPr="009263D7" w:rsidTr="0056139B">
        <w:trPr>
          <w:trHeight w:val="285"/>
        </w:trPr>
        <w:tc>
          <w:tcPr>
            <w:tcW w:w="944"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770"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117"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770"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222" w:type="dxa"/>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770"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839"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2060" w:type="dxa"/>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978"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909"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6D3B2D" w:rsidRPr="009263D7" w:rsidTr="0056139B">
        <w:trPr>
          <w:trHeight w:val="285"/>
        </w:trPr>
        <w:tc>
          <w:tcPr>
            <w:tcW w:w="944"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770"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117"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770"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222" w:type="dxa"/>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770"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839"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2060" w:type="dxa"/>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978"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909" w:type="dxa"/>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6D3B2D" w:rsidRPr="009263D7" w:rsidTr="0056139B">
        <w:trPr>
          <w:trHeight w:val="300"/>
        </w:trPr>
        <w:tc>
          <w:tcPr>
            <w:tcW w:w="944" w:type="dxa"/>
            <w:tcBorders>
              <w:top w:val="nil"/>
              <w:left w:val="nil"/>
              <w:bottom w:val="single" w:sz="8" w:space="0" w:color="auto"/>
              <w:right w:val="nil"/>
            </w:tcBorders>
            <w:shd w:val="clear" w:color="auto" w:fill="auto"/>
            <w:noWrap/>
            <w:vAlign w:val="center"/>
          </w:tcPr>
          <w:p w:rsidR="00E63162" w:rsidRPr="009263D7" w:rsidRDefault="00CB4B9E" w:rsidP="00675CD0">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70" w:type="dxa"/>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117" w:type="dxa"/>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70" w:type="dxa"/>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222" w:type="dxa"/>
            <w:gridSpan w:val="2"/>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70" w:type="dxa"/>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839" w:type="dxa"/>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2060" w:type="dxa"/>
            <w:gridSpan w:val="2"/>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78" w:type="dxa"/>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09" w:type="dxa"/>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E63162" w:rsidRPr="009263D7" w:rsidRDefault="00CB4B9E" w:rsidP="00E63162">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spacing w:line="28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E63162" w:rsidRPr="009263D7" w:rsidRDefault="00E63162" w:rsidP="00E63162">
      <w:pPr>
        <w:spacing w:line="280" w:lineRule="exact"/>
        <w:ind w:leftChars="-1" w:left="1062" w:hangingChars="591" w:hanging="1064"/>
        <w:rPr>
          <w:rFonts w:ascii="宋体"/>
          <w:color w:val="000000" w:themeColor="text1"/>
          <w:sz w:val="18"/>
        </w:rPr>
      </w:pPr>
    </w:p>
    <w:p w:rsidR="00E63162" w:rsidRPr="009263D7" w:rsidRDefault="00E63162" w:rsidP="0024092D">
      <w:pPr>
        <w:widowControl/>
        <w:rPr>
          <w:rFonts w:ascii="宋体"/>
          <w:color w:val="000000" w:themeColor="text1"/>
          <w:sz w:val="18"/>
        </w:rPr>
      </w:pPr>
    </w:p>
    <w:p w:rsidR="0024092D" w:rsidRPr="009263D7" w:rsidRDefault="00CB4B9E" w:rsidP="0052757F">
      <w:pPr>
        <w:spacing w:line="280" w:lineRule="exact"/>
        <w:rPr>
          <w:rFonts w:ascii="宋体"/>
          <w:color w:val="000000" w:themeColor="text1"/>
          <w:sz w:val="18"/>
        </w:rPr>
      </w:pPr>
      <w:r w:rsidRPr="00CB4B9E">
        <w:rPr>
          <w:rFonts w:ascii="宋体"/>
          <w:color w:val="000000" w:themeColor="text1"/>
          <w:sz w:val="18"/>
        </w:rPr>
        <w:br w:type="page"/>
      </w:r>
    </w:p>
    <w:p w:rsidR="00066BE2" w:rsidRPr="009263D7" w:rsidRDefault="00066BE2" w:rsidP="0052757F">
      <w:pPr>
        <w:rPr>
          <w:rFonts w:ascii="宋体"/>
          <w:color w:val="000000" w:themeColor="text1"/>
          <w:sz w:val="18"/>
        </w:rPr>
      </w:pPr>
    </w:p>
    <w:p w:rsidR="0052757F" w:rsidRPr="009263D7" w:rsidRDefault="0052757F" w:rsidP="0052757F">
      <w:pPr>
        <w:rPr>
          <w:rFonts w:ascii="宋体"/>
          <w:color w:val="000000" w:themeColor="text1"/>
          <w:sz w:val="18"/>
        </w:rPr>
      </w:pPr>
    </w:p>
    <w:p w:rsidR="0052757F" w:rsidRPr="009263D7" w:rsidRDefault="00CB4B9E" w:rsidP="00CB506B">
      <w:pPr>
        <w:pStyle w:val="3"/>
        <w:jc w:val="center"/>
        <w:rPr>
          <w:rFonts w:ascii="宋体" w:hAnsi="宋体"/>
          <w:b w:val="0"/>
          <w:color w:val="000000" w:themeColor="text1"/>
          <w:kern w:val="0"/>
          <w:sz w:val="28"/>
          <w:szCs w:val="28"/>
        </w:rPr>
      </w:pPr>
      <w:bookmarkStart w:id="32" w:name="_Toc452017142"/>
      <w:r w:rsidRPr="00CB4B9E">
        <w:rPr>
          <w:rFonts w:ascii="宋体" w:hAnsi="宋体" w:hint="eastAsia"/>
          <w:b w:val="0"/>
          <w:color w:val="000000" w:themeColor="text1"/>
          <w:kern w:val="0"/>
          <w:sz w:val="28"/>
          <w:szCs w:val="28"/>
        </w:rPr>
        <w:t>存款</w:t>
      </w:r>
      <w:r w:rsidRPr="00CB4B9E">
        <w:rPr>
          <w:rFonts w:ascii="宋体" w:hAnsi="宋体"/>
          <w:b w:val="0"/>
          <w:color w:val="000000" w:themeColor="text1"/>
          <w:kern w:val="0"/>
          <w:sz w:val="28"/>
          <w:szCs w:val="28"/>
        </w:rPr>
        <w:t>(含</w:t>
      </w:r>
      <w:r w:rsidRPr="00CB4B9E">
        <w:rPr>
          <w:rFonts w:ascii="宋体" w:hAnsi="宋体" w:hint="eastAsia"/>
          <w:b w:val="0"/>
          <w:color w:val="000000" w:themeColor="text1"/>
          <w:kern w:val="0"/>
          <w:sz w:val="28"/>
          <w:szCs w:val="28"/>
        </w:rPr>
        <w:t>银行同业和联行存放</w:t>
      </w:r>
      <w:r w:rsidRPr="00CB4B9E">
        <w:rPr>
          <w:rFonts w:ascii="宋体" w:hAnsi="宋体"/>
          <w:b w:val="0"/>
          <w:color w:val="000000" w:themeColor="text1"/>
          <w:kern w:val="0"/>
          <w:sz w:val="28"/>
          <w:szCs w:val="28"/>
        </w:rPr>
        <w:t>)</w:t>
      </w:r>
      <w:r w:rsidRPr="00CB4B9E">
        <w:rPr>
          <w:rFonts w:ascii="宋体" w:hAnsi="宋体" w:hint="eastAsia"/>
          <w:b w:val="0"/>
          <w:color w:val="000000" w:themeColor="text1"/>
          <w:kern w:val="0"/>
          <w:sz w:val="28"/>
          <w:szCs w:val="28"/>
        </w:rPr>
        <w:t>（负债）</w:t>
      </w:r>
      <w:bookmarkEnd w:id="32"/>
    </w:p>
    <w:p w:rsidR="0052757F" w:rsidRPr="009263D7" w:rsidRDefault="00CB4B9E" w:rsidP="00C56782">
      <w:pPr>
        <w:spacing w:line="240" w:lineRule="exact"/>
        <w:ind w:firstLineChars="3543" w:firstLine="6377"/>
        <w:rPr>
          <w:color w:val="000000" w:themeColor="text1"/>
          <w:sz w:val="1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D05</w:t>
      </w:r>
      <w:r w:rsidRPr="00CB4B9E">
        <w:rPr>
          <w:rFonts w:ascii="宋体" w:hAnsi="宋体" w:cs="宋体" w:hint="eastAsia"/>
          <w:color w:val="000000" w:themeColor="text1"/>
          <w:kern w:val="0"/>
          <w:sz w:val="18"/>
          <w:szCs w:val="18"/>
        </w:rPr>
        <w:t>表</w:t>
      </w:r>
    </w:p>
    <w:p w:rsidR="0052757F" w:rsidRPr="009263D7" w:rsidRDefault="00CB4B9E" w:rsidP="0052757F">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52757F" w:rsidRPr="009263D7" w:rsidRDefault="00CB4B9E" w:rsidP="0052757F">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52757F" w:rsidRPr="009263D7" w:rsidRDefault="00CB4B9E" w:rsidP="0052757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52757F" w:rsidRPr="009263D7" w:rsidRDefault="00CB4B9E" w:rsidP="0052757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 xml:space="preserve"> 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52757F" w:rsidRPr="009263D7" w:rsidRDefault="00CB4B9E" w:rsidP="009F3631">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ascii="宋体" w:hAnsi="宋体" w:cs="宋体"/>
          <w:color w:val="000000" w:themeColor="text1"/>
          <w:kern w:val="0"/>
          <w:sz w:val="22"/>
          <w:szCs w:val="22"/>
        </w:rPr>
        <w:t xml:space="preserve">                                   </w:t>
      </w:r>
    </w:p>
    <w:p w:rsidR="0052757F" w:rsidRPr="009263D7" w:rsidRDefault="00CB4B9E" w:rsidP="0052757F">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0" w:type="auto"/>
        <w:tblLayout w:type="fixed"/>
        <w:tblLook w:val="04A0"/>
      </w:tblPr>
      <w:tblGrid>
        <w:gridCol w:w="675"/>
        <w:gridCol w:w="688"/>
        <w:gridCol w:w="674"/>
        <w:gridCol w:w="701"/>
        <w:gridCol w:w="674"/>
        <w:gridCol w:w="370"/>
        <w:gridCol w:w="304"/>
        <w:gridCol w:w="378"/>
        <w:gridCol w:w="312"/>
        <w:gridCol w:w="701"/>
        <w:gridCol w:w="333"/>
        <w:gridCol w:w="333"/>
        <w:gridCol w:w="723"/>
        <w:gridCol w:w="384"/>
        <w:gridCol w:w="318"/>
        <w:gridCol w:w="378"/>
        <w:gridCol w:w="312"/>
        <w:gridCol w:w="685"/>
        <w:gridCol w:w="376"/>
        <w:gridCol w:w="310"/>
      </w:tblGrid>
      <w:tr w:rsidR="0056139B" w:rsidRPr="009263D7" w:rsidTr="0056139B">
        <w:trPr>
          <w:trHeight w:val="481"/>
        </w:trPr>
        <w:tc>
          <w:tcPr>
            <w:tcW w:w="675" w:type="dxa"/>
            <w:vMerge w:val="restart"/>
            <w:tcBorders>
              <w:top w:val="single" w:sz="8" w:space="0" w:color="auto"/>
              <w:left w:val="nil"/>
              <w:right w:val="single" w:sz="2" w:space="0" w:color="auto"/>
            </w:tcBorders>
            <w:shd w:val="clear" w:color="auto" w:fill="auto"/>
            <w:vAlign w:val="center"/>
          </w:tcPr>
          <w:p w:rsidR="004F01C1" w:rsidRPr="009263D7" w:rsidRDefault="00CB4B9E" w:rsidP="00D52AF8">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业务类别</w:t>
            </w:r>
          </w:p>
        </w:tc>
        <w:tc>
          <w:tcPr>
            <w:tcW w:w="688" w:type="dxa"/>
            <w:vMerge w:val="restart"/>
            <w:tcBorders>
              <w:top w:val="single" w:sz="8" w:space="0" w:color="auto"/>
              <w:left w:val="single" w:sz="2" w:space="0" w:color="auto"/>
              <w:right w:val="single" w:sz="2" w:space="0" w:color="auto"/>
            </w:tcBorders>
            <w:shd w:val="clear" w:color="auto" w:fill="auto"/>
            <w:vAlign w:val="center"/>
          </w:tcPr>
          <w:p w:rsidR="004F01C1" w:rsidRPr="009263D7" w:rsidRDefault="00CB4B9E" w:rsidP="00D52AF8">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对方国家</w:t>
            </w:r>
            <w:r w:rsidRPr="00CB4B9E">
              <w:rPr>
                <w:rFonts w:ascii="宋体" w:hAnsi="宋体" w:cs="宋体"/>
                <w:color w:val="000000" w:themeColor="text1"/>
                <w:kern w:val="0"/>
                <w:sz w:val="18"/>
                <w:szCs w:val="18"/>
              </w:rPr>
              <w:t>/地区</w:t>
            </w:r>
          </w:p>
        </w:tc>
        <w:tc>
          <w:tcPr>
            <w:tcW w:w="674" w:type="dxa"/>
            <w:vMerge w:val="restart"/>
            <w:tcBorders>
              <w:top w:val="single" w:sz="8" w:space="0" w:color="auto"/>
              <w:left w:val="single" w:sz="2" w:space="0" w:color="auto"/>
              <w:right w:val="single" w:sz="2" w:space="0" w:color="auto"/>
            </w:tcBorders>
            <w:shd w:val="clear" w:color="auto" w:fill="auto"/>
            <w:vAlign w:val="center"/>
          </w:tcPr>
          <w:p w:rsidR="004F01C1" w:rsidRPr="009263D7" w:rsidRDefault="00CB4B9E" w:rsidP="00D52AF8">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对方部门</w:t>
            </w:r>
          </w:p>
        </w:tc>
        <w:tc>
          <w:tcPr>
            <w:tcW w:w="701" w:type="dxa"/>
            <w:vMerge w:val="restart"/>
            <w:tcBorders>
              <w:top w:val="single" w:sz="8" w:space="0" w:color="auto"/>
              <w:left w:val="single" w:sz="2" w:space="0" w:color="auto"/>
              <w:right w:val="single" w:sz="2" w:space="0" w:color="auto"/>
            </w:tcBorders>
            <w:shd w:val="clear" w:color="auto" w:fill="auto"/>
            <w:vAlign w:val="center"/>
          </w:tcPr>
          <w:p w:rsidR="004F01C1" w:rsidRPr="009263D7" w:rsidRDefault="00CB4B9E" w:rsidP="00D52AF8">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对方与本机构的关系</w:t>
            </w:r>
          </w:p>
        </w:tc>
        <w:tc>
          <w:tcPr>
            <w:tcW w:w="674" w:type="dxa"/>
            <w:vMerge w:val="restart"/>
            <w:tcBorders>
              <w:top w:val="single" w:sz="8" w:space="0" w:color="auto"/>
              <w:left w:val="single" w:sz="2" w:space="0" w:color="auto"/>
              <w:right w:val="single" w:sz="2" w:space="0" w:color="auto"/>
            </w:tcBorders>
            <w:shd w:val="clear" w:color="auto" w:fill="auto"/>
            <w:vAlign w:val="center"/>
          </w:tcPr>
          <w:p w:rsidR="004F01C1" w:rsidRPr="009263D7" w:rsidRDefault="00CB4B9E" w:rsidP="00ED3EF7">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原始期限</w:t>
            </w:r>
          </w:p>
        </w:tc>
        <w:tc>
          <w:tcPr>
            <w:tcW w:w="6217" w:type="dxa"/>
            <w:gridSpan w:val="15"/>
            <w:tcBorders>
              <w:top w:val="single" w:sz="8" w:space="0" w:color="auto"/>
              <w:left w:val="single" w:sz="2" w:space="0" w:color="auto"/>
              <w:bottom w:val="single" w:sz="2" w:space="0" w:color="auto"/>
              <w:right w:val="single" w:sz="8" w:space="0" w:color="FFFFFF" w:themeColor="background1"/>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按原始币种填列</w:t>
            </w:r>
          </w:p>
        </w:tc>
      </w:tr>
      <w:tr w:rsidR="0056139B" w:rsidRPr="009263D7" w:rsidTr="0056139B">
        <w:trPr>
          <w:trHeight w:val="810"/>
        </w:trPr>
        <w:tc>
          <w:tcPr>
            <w:tcW w:w="675" w:type="dxa"/>
            <w:vMerge/>
            <w:tcBorders>
              <w:left w:val="nil"/>
              <w:right w:val="single" w:sz="2" w:space="0" w:color="auto"/>
            </w:tcBorders>
            <w:shd w:val="clear" w:color="auto" w:fill="auto"/>
            <w:vAlign w:val="center"/>
          </w:tcPr>
          <w:p w:rsidR="006A552B" w:rsidRPr="009263D7" w:rsidRDefault="006A552B" w:rsidP="00D52AF8">
            <w:pPr>
              <w:keepNext/>
              <w:widowControl/>
              <w:spacing w:line="320" w:lineRule="exact"/>
              <w:jc w:val="center"/>
              <w:outlineLvl w:val="0"/>
              <w:rPr>
                <w:rFonts w:ascii="宋体" w:hAnsi="宋体" w:cs="宋体"/>
                <w:color w:val="000000" w:themeColor="text1"/>
                <w:kern w:val="0"/>
                <w:sz w:val="18"/>
                <w:szCs w:val="18"/>
              </w:rPr>
            </w:pPr>
          </w:p>
        </w:tc>
        <w:tc>
          <w:tcPr>
            <w:tcW w:w="688" w:type="dxa"/>
            <w:vMerge/>
            <w:tcBorders>
              <w:left w:val="single" w:sz="2" w:space="0" w:color="auto"/>
              <w:right w:val="single" w:sz="2" w:space="0" w:color="auto"/>
            </w:tcBorders>
            <w:shd w:val="clear" w:color="auto" w:fill="auto"/>
            <w:vAlign w:val="center"/>
          </w:tcPr>
          <w:p w:rsidR="006A552B" w:rsidRPr="009263D7" w:rsidRDefault="006A552B" w:rsidP="00D52AF8">
            <w:pPr>
              <w:keepNext/>
              <w:widowControl/>
              <w:spacing w:line="320" w:lineRule="exact"/>
              <w:jc w:val="center"/>
              <w:outlineLvl w:val="0"/>
              <w:rPr>
                <w:rFonts w:ascii="宋体" w:hAnsi="宋体" w:cs="宋体"/>
                <w:color w:val="000000" w:themeColor="text1"/>
                <w:kern w:val="0"/>
                <w:sz w:val="18"/>
                <w:szCs w:val="18"/>
              </w:rPr>
            </w:pPr>
          </w:p>
        </w:tc>
        <w:tc>
          <w:tcPr>
            <w:tcW w:w="674" w:type="dxa"/>
            <w:vMerge/>
            <w:tcBorders>
              <w:left w:val="single" w:sz="2" w:space="0" w:color="auto"/>
              <w:right w:val="single" w:sz="2" w:space="0" w:color="auto"/>
            </w:tcBorders>
            <w:shd w:val="clear" w:color="auto" w:fill="auto"/>
            <w:vAlign w:val="center"/>
          </w:tcPr>
          <w:p w:rsidR="006A552B" w:rsidRPr="009263D7" w:rsidRDefault="006A552B" w:rsidP="00D52AF8">
            <w:pPr>
              <w:keepNext/>
              <w:widowControl/>
              <w:spacing w:line="320" w:lineRule="exact"/>
              <w:jc w:val="center"/>
              <w:outlineLvl w:val="0"/>
              <w:rPr>
                <w:rFonts w:ascii="宋体" w:hAnsi="宋体" w:cs="宋体"/>
                <w:color w:val="000000" w:themeColor="text1"/>
                <w:kern w:val="0"/>
                <w:sz w:val="18"/>
                <w:szCs w:val="18"/>
              </w:rPr>
            </w:pPr>
          </w:p>
        </w:tc>
        <w:tc>
          <w:tcPr>
            <w:tcW w:w="701" w:type="dxa"/>
            <w:vMerge/>
            <w:tcBorders>
              <w:left w:val="single" w:sz="2" w:space="0" w:color="auto"/>
              <w:right w:val="single" w:sz="2" w:space="0" w:color="auto"/>
            </w:tcBorders>
            <w:shd w:val="clear" w:color="auto" w:fill="auto"/>
            <w:vAlign w:val="center"/>
          </w:tcPr>
          <w:p w:rsidR="006A552B" w:rsidRPr="009263D7" w:rsidRDefault="006A552B" w:rsidP="00D52AF8">
            <w:pPr>
              <w:keepNext/>
              <w:widowControl/>
              <w:spacing w:line="320" w:lineRule="exact"/>
              <w:jc w:val="center"/>
              <w:outlineLvl w:val="0"/>
              <w:rPr>
                <w:rFonts w:ascii="宋体" w:hAnsi="宋体" w:cs="宋体"/>
                <w:color w:val="000000" w:themeColor="text1"/>
                <w:kern w:val="0"/>
                <w:sz w:val="18"/>
                <w:szCs w:val="18"/>
              </w:rPr>
            </w:pPr>
          </w:p>
        </w:tc>
        <w:tc>
          <w:tcPr>
            <w:tcW w:w="674" w:type="dxa"/>
            <w:vMerge/>
            <w:tcBorders>
              <w:left w:val="single" w:sz="2" w:space="0" w:color="auto"/>
              <w:right w:val="single" w:sz="2" w:space="0" w:color="auto"/>
            </w:tcBorders>
            <w:shd w:val="clear" w:color="auto" w:fill="auto"/>
            <w:vAlign w:val="center"/>
          </w:tcPr>
          <w:p w:rsidR="006A552B" w:rsidRPr="009263D7" w:rsidRDefault="006A552B" w:rsidP="00D52AF8">
            <w:pPr>
              <w:keepNext/>
              <w:widowControl/>
              <w:spacing w:line="320" w:lineRule="exact"/>
              <w:jc w:val="center"/>
              <w:outlineLvl w:val="0"/>
              <w:rPr>
                <w:rFonts w:ascii="宋体" w:hAnsi="宋体" w:cs="宋体"/>
                <w:color w:val="000000" w:themeColor="text1"/>
                <w:kern w:val="0"/>
                <w:sz w:val="18"/>
                <w:szCs w:val="18"/>
              </w:rPr>
            </w:pPr>
          </w:p>
        </w:tc>
        <w:tc>
          <w:tcPr>
            <w:tcW w:w="674" w:type="dxa"/>
            <w:gridSpan w:val="2"/>
            <w:vMerge w:val="restart"/>
            <w:tcBorders>
              <w:top w:val="single" w:sz="2" w:space="0" w:color="auto"/>
              <w:left w:val="single" w:sz="2" w:space="0" w:color="auto"/>
              <w:right w:val="single" w:sz="2" w:space="0" w:color="auto"/>
            </w:tcBorders>
            <w:shd w:val="clear" w:color="auto" w:fill="auto"/>
            <w:vAlign w:val="center"/>
          </w:tcPr>
          <w:p w:rsidR="006A552B"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690" w:type="dxa"/>
            <w:gridSpan w:val="2"/>
            <w:vMerge w:val="restart"/>
            <w:tcBorders>
              <w:top w:val="single" w:sz="2" w:space="0" w:color="auto"/>
              <w:left w:val="single" w:sz="2" w:space="0" w:color="auto"/>
              <w:right w:val="single" w:sz="2" w:space="0" w:color="auto"/>
            </w:tcBorders>
            <w:shd w:val="clear" w:color="auto" w:fill="auto"/>
            <w:vAlign w:val="center"/>
          </w:tcPr>
          <w:p w:rsidR="006A552B"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上月末本金余额</w:t>
            </w:r>
          </w:p>
        </w:tc>
        <w:tc>
          <w:tcPr>
            <w:tcW w:w="701" w:type="dxa"/>
            <w:vMerge w:val="restart"/>
            <w:tcBorders>
              <w:top w:val="single" w:sz="2" w:space="0" w:color="auto"/>
              <w:left w:val="single" w:sz="2" w:space="0" w:color="auto"/>
              <w:right w:val="single" w:sz="2" w:space="0" w:color="auto"/>
            </w:tcBorders>
            <w:shd w:val="clear" w:color="auto" w:fill="auto"/>
            <w:vAlign w:val="center"/>
          </w:tcPr>
          <w:p w:rsidR="006A552B" w:rsidRPr="009263D7" w:rsidRDefault="00CB4B9E" w:rsidP="001E220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上月末应付利息余额</w:t>
            </w:r>
          </w:p>
        </w:tc>
        <w:tc>
          <w:tcPr>
            <w:tcW w:w="1389" w:type="dxa"/>
            <w:gridSpan w:val="3"/>
            <w:tcBorders>
              <w:top w:val="single" w:sz="2" w:space="0" w:color="auto"/>
              <w:left w:val="single" w:sz="2" w:space="0" w:color="auto"/>
              <w:right w:val="single" w:sz="2" w:space="0" w:color="auto"/>
            </w:tcBorders>
            <w:shd w:val="clear" w:color="auto" w:fill="auto"/>
            <w:vAlign w:val="center"/>
          </w:tcPr>
          <w:p w:rsidR="006A552B" w:rsidRPr="009263D7" w:rsidRDefault="00CB4B9E" w:rsidP="009B4EB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本月末本金余额</w:t>
            </w:r>
          </w:p>
        </w:tc>
        <w:tc>
          <w:tcPr>
            <w:tcW w:w="702" w:type="dxa"/>
            <w:gridSpan w:val="2"/>
            <w:vMerge w:val="restart"/>
            <w:tcBorders>
              <w:top w:val="single" w:sz="2" w:space="0" w:color="auto"/>
              <w:left w:val="single" w:sz="2" w:space="0" w:color="auto"/>
              <w:right w:val="single" w:sz="2" w:space="0" w:color="auto"/>
            </w:tcBorders>
            <w:shd w:val="clear" w:color="auto" w:fill="auto"/>
            <w:vAlign w:val="center"/>
          </w:tcPr>
          <w:p w:rsidR="006A552B"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本月末应付利息余额</w:t>
            </w:r>
          </w:p>
        </w:tc>
        <w:tc>
          <w:tcPr>
            <w:tcW w:w="690" w:type="dxa"/>
            <w:gridSpan w:val="2"/>
            <w:vMerge w:val="restart"/>
            <w:tcBorders>
              <w:top w:val="single" w:sz="2" w:space="0" w:color="auto"/>
              <w:left w:val="single" w:sz="2" w:space="0" w:color="auto"/>
              <w:right w:val="single" w:sz="2" w:space="0" w:color="auto"/>
            </w:tcBorders>
            <w:shd w:val="clear" w:color="auto" w:fill="auto"/>
            <w:vAlign w:val="center"/>
          </w:tcPr>
          <w:p w:rsidR="006A552B"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685" w:type="dxa"/>
            <w:vMerge w:val="restart"/>
            <w:tcBorders>
              <w:top w:val="single" w:sz="2" w:space="0" w:color="auto"/>
              <w:left w:val="single" w:sz="2" w:space="0" w:color="auto"/>
              <w:right w:val="single" w:sz="2" w:space="0" w:color="auto"/>
            </w:tcBorders>
            <w:shd w:val="clear" w:color="auto" w:fill="auto"/>
            <w:vAlign w:val="center"/>
          </w:tcPr>
          <w:p w:rsidR="006A552B"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c>
          <w:tcPr>
            <w:tcW w:w="686" w:type="dxa"/>
            <w:gridSpan w:val="2"/>
            <w:vMerge w:val="restart"/>
            <w:tcBorders>
              <w:top w:val="single" w:sz="2" w:space="0" w:color="auto"/>
              <w:left w:val="single" w:sz="2" w:space="0" w:color="auto"/>
              <w:right w:val="single" w:sz="8" w:space="0" w:color="FFFFFF" w:themeColor="background1"/>
            </w:tcBorders>
            <w:shd w:val="clear" w:color="auto" w:fill="auto"/>
            <w:vAlign w:val="center"/>
          </w:tcPr>
          <w:p w:rsidR="006A552B"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本月利息支出</w:t>
            </w:r>
          </w:p>
        </w:tc>
      </w:tr>
      <w:tr w:rsidR="0056139B" w:rsidRPr="009263D7" w:rsidTr="0056139B">
        <w:trPr>
          <w:trHeight w:val="1485"/>
        </w:trPr>
        <w:tc>
          <w:tcPr>
            <w:tcW w:w="675" w:type="dxa"/>
            <w:vMerge/>
            <w:tcBorders>
              <w:left w:val="nil"/>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688" w:type="dxa"/>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674" w:type="dxa"/>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701" w:type="dxa"/>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674" w:type="dxa"/>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674" w:type="dxa"/>
            <w:gridSpan w:val="2"/>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690" w:type="dxa"/>
            <w:gridSpan w:val="2"/>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701" w:type="dxa"/>
            <w:vMerge/>
            <w:tcBorders>
              <w:left w:val="single" w:sz="2" w:space="0" w:color="auto"/>
              <w:bottom w:val="nil"/>
              <w:right w:val="single" w:sz="2" w:space="0" w:color="auto"/>
            </w:tcBorders>
            <w:shd w:val="clear" w:color="auto" w:fill="auto"/>
            <w:vAlign w:val="center"/>
          </w:tcPr>
          <w:p w:rsidR="004F01C1" w:rsidRPr="009263D7" w:rsidRDefault="004F01C1" w:rsidP="001E2204">
            <w:pPr>
              <w:keepNext/>
              <w:widowControl/>
              <w:spacing w:line="320" w:lineRule="exact"/>
              <w:jc w:val="center"/>
              <w:outlineLvl w:val="0"/>
              <w:rPr>
                <w:rFonts w:ascii="宋体" w:hAnsi="宋体" w:cs="宋体"/>
                <w:color w:val="000000" w:themeColor="text1"/>
                <w:kern w:val="0"/>
                <w:sz w:val="18"/>
                <w:szCs w:val="18"/>
              </w:rPr>
            </w:pPr>
          </w:p>
        </w:tc>
        <w:tc>
          <w:tcPr>
            <w:tcW w:w="666" w:type="dxa"/>
            <w:gridSpan w:val="2"/>
            <w:tcBorders>
              <w:left w:val="single" w:sz="2" w:space="0" w:color="auto"/>
              <w:bottom w:val="nil"/>
              <w:right w:val="single" w:sz="2" w:space="0" w:color="auto"/>
            </w:tcBorders>
            <w:shd w:val="clear" w:color="auto" w:fill="auto"/>
            <w:vAlign w:val="center"/>
          </w:tcPr>
          <w:p w:rsidR="004F01C1" w:rsidRPr="009263D7" w:rsidRDefault="004F01C1" w:rsidP="009B4EB1">
            <w:pPr>
              <w:keepNext/>
              <w:spacing w:line="320" w:lineRule="exact"/>
              <w:jc w:val="center"/>
              <w:outlineLvl w:val="0"/>
              <w:rPr>
                <w:rFonts w:ascii="宋体" w:hAnsi="宋体" w:cs="宋体"/>
                <w:color w:val="000000" w:themeColor="text1"/>
                <w:kern w:val="0"/>
                <w:sz w:val="18"/>
                <w:szCs w:val="18"/>
              </w:rPr>
            </w:pPr>
          </w:p>
        </w:tc>
        <w:tc>
          <w:tcPr>
            <w:tcW w:w="723" w:type="dxa"/>
            <w:tcBorders>
              <w:top w:val="single" w:sz="2" w:space="0" w:color="auto"/>
              <w:left w:val="single" w:sz="2" w:space="0" w:color="auto"/>
              <w:bottom w:val="nil"/>
              <w:right w:val="single" w:sz="2" w:space="0" w:color="auto"/>
            </w:tcBorders>
            <w:shd w:val="clear" w:color="auto" w:fill="auto"/>
            <w:vAlign w:val="center"/>
          </w:tcPr>
          <w:p w:rsidR="004F01C1" w:rsidRPr="009263D7" w:rsidRDefault="00CB4B9E" w:rsidP="009B4EB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702" w:type="dxa"/>
            <w:gridSpan w:val="2"/>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690" w:type="dxa"/>
            <w:gridSpan w:val="2"/>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685" w:type="dxa"/>
            <w:vMerge/>
            <w:tcBorders>
              <w:left w:val="single" w:sz="2" w:space="0" w:color="auto"/>
              <w:bottom w:val="nil"/>
              <w:right w:val="single" w:sz="2" w:space="0" w:color="auto"/>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c>
          <w:tcPr>
            <w:tcW w:w="686" w:type="dxa"/>
            <w:gridSpan w:val="2"/>
            <w:vMerge/>
            <w:tcBorders>
              <w:left w:val="single" w:sz="2" w:space="0" w:color="auto"/>
              <w:bottom w:val="nil"/>
              <w:right w:val="single" w:sz="8" w:space="0" w:color="FFFFFF" w:themeColor="background1"/>
            </w:tcBorders>
            <w:shd w:val="clear" w:color="auto" w:fill="auto"/>
            <w:vAlign w:val="center"/>
          </w:tcPr>
          <w:p w:rsidR="004F01C1" w:rsidRPr="009263D7" w:rsidRDefault="004F01C1" w:rsidP="00D52AF8">
            <w:pPr>
              <w:keepNext/>
              <w:widowControl/>
              <w:spacing w:line="320" w:lineRule="exact"/>
              <w:jc w:val="center"/>
              <w:outlineLvl w:val="0"/>
              <w:rPr>
                <w:rFonts w:ascii="宋体" w:hAnsi="宋体" w:cs="宋体"/>
                <w:color w:val="000000" w:themeColor="text1"/>
                <w:kern w:val="0"/>
                <w:sz w:val="18"/>
                <w:szCs w:val="18"/>
              </w:rPr>
            </w:pPr>
          </w:p>
        </w:tc>
      </w:tr>
      <w:tr w:rsidR="0056139B" w:rsidRPr="009263D7" w:rsidTr="0056139B">
        <w:trPr>
          <w:trHeight w:val="285"/>
        </w:trPr>
        <w:tc>
          <w:tcPr>
            <w:tcW w:w="675" w:type="dxa"/>
            <w:tcBorders>
              <w:top w:val="nil"/>
              <w:left w:val="nil"/>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D0501</w:t>
            </w:r>
          </w:p>
        </w:tc>
        <w:tc>
          <w:tcPr>
            <w:tcW w:w="688"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D0502</w:t>
            </w:r>
          </w:p>
        </w:tc>
        <w:tc>
          <w:tcPr>
            <w:tcW w:w="674"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D0503</w:t>
            </w:r>
          </w:p>
        </w:tc>
        <w:tc>
          <w:tcPr>
            <w:tcW w:w="701"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D0504</w:t>
            </w:r>
          </w:p>
        </w:tc>
        <w:tc>
          <w:tcPr>
            <w:tcW w:w="674"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ED3EF7">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D0505</w:t>
            </w:r>
          </w:p>
        </w:tc>
        <w:tc>
          <w:tcPr>
            <w:tcW w:w="674"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6A552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D0506</w:t>
            </w:r>
          </w:p>
        </w:tc>
        <w:tc>
          <w:tcPr>
            <w:tcW w:w="690"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6A552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D0507</w:t>
            </w:r>
          </w:p>
        </w:tc>
        <w:tc>
          <w:tcPr>
            <w:tcW w:w="701"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6A552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D0508</w:t>
            </w:r>
          </w:p>
        </w:tc>
        <w:tc>
          <w:tcPr>
            <w:tcW w:w="666"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6A552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D0509</w:t>
            </w:r>
          </w:p>
        </w:tc>
        <w:tc>
          <w:tcPr>
            <w:tcW w:w="723"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6A697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D0510</w:t>
            </w:r>
          </w:p>
        </w:tc>
        <w:tc>
          <w:tcPr>
            <w:tcW w:w="702"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6A697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D0511</w:t>
            </w:r>
          </w:p>
        </w:tc>
        <w:tc>
          <w:tcPr>
            <w:tcW w:w="690"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6A697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D0512</w:t>
            </w:r>
          </w:p>
        </w:tc>
        <w:tc>
          <w:tcPr>
            <w:tcW w:w="685"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6A697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D0513</w:t>
            </w:r>
          </w:p>
        </w:tc>
        <w:tc>
          <w:tcPr>
            <w:tcW w:w="686" w:type="dxa"/>
            <w:gridSpan w:val="2"/>
            <w:tcBorders>
              <w:top w:val="nil"/>
              <w:left w:val="single" w:sz="2" w:space="0" w:color="auto"/>
              <w:bottom w:val="single" w:sz="4" w:space="0" w:color="auto"/>
              <w:right w:val="single" w:sz="8" w:space="0" w:color="FFFFFF" w:themeColor="background1"/>
            </w:tcBorders>
            <w:shd w:val="clear" w:color="auto" w:fill="auto"/>
            <w:vAlign w:val="center"/>
          </w:tcPr>
          <w:p w:rsidR="004F01C1" w:rsidRPr="009263D7" w:rsidRDefault="00CB4B9E" w:rsidP="006A697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D0514</w:t>
            </w:r>
          </w:p>
        </w:tc>
      </w:tr>
      <w:tr w:rsidR="0056139B" w:rsidRPr="009263D7" w:rsidTr="0056139B">
        <w:trPr>
          <w:trHeight w:val="285"/>
        </w:trPr>
        <w:tc>
          <w:tcPr>
            <w:tcW w:w="675" w:type="dxa"/>
            <w:tcBorders>
              <w:top w:val="nil"/>
              <w:left w:val="nil"/>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688"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674"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701"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674"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4F01C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674" w:type="dxa"/>
            <w:gridSpan w:val="2"/>
            <w:tcBorders>
              <w:top w:val="nil"/>
              <w:left w:val="single" w:sz="2" w:space="0" w:color="auto"/>
              <w:bottom w:val="single" w:sz="4" w:space="0" w:color="auto"/>
              <w:right w:val="single" w:sz="2" w:space="0" w:color="auto"/>
            </w:tcBorders>
            <w:shd w:val="clear" w:color="auto" w:fill="auto"/>
          </w:tcPr>
          <w:p w:rsidR="004F01C1" w:rsidRPr="009263D7" w:rsidRDefault="00CB4B9E" w:rsidP="004F01C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己</w:t>
            </w:r>
          </w:p>
        </w:tc>
        <w:tc>
          <w:tcPr>
            <w:tcW w:w="690"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701"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666"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723"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3B5439">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702"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690" w:type="dxa"/>
            <w:gridSpan w:val="2"/>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685" w:type="dxa"/>
            <w:tcBorders>
              <w:top w:val="nil"/>
              <w:left w:val="single" w:sz="2" w:space="0" w:color="auto"/>
              <w:bottom w:val="single" w:sz="4" w:space="0" w:color="auto"/>
              <w:right w:val="single" w:sz="2" w:space="0" w:color="auto"/>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686" w:type="dxa"/>
            <w:gridSpan w:val="2"/>
            <w:tcBorders>
              <w:top w:val="nil"/>
              <w:left w:val="single" w:sz="2" w:space="0" w:color="auto"/>
              <w:bottom w:val="single" w:sz="4" w:space="0" w:color="auto"/>
              <w:right w:val="single" w:sz="8" w:space="0" w:color="FFFFFF" w:themeColor="background1"/>
            </w:tcBorders>
            <w:shd w:val="clear" w:color="auto" w:fill="auto"/>
            <w:vAlign w:val="center"/>
          </w:tcPr>
          <w:p w:rsidR="004F01C1" w:rsidRPr="009263D7" w:rsidRDefault="00CB4B9E" w:rsidP="00D52AF8">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r>
      <w:tr w:rsidR="0056139B" w:rsidRPr="009263D7" w:rsidTr="0056139B">
        <w:trPr>
          <w:trHeight w:val="285"/>
        </w:trPr>
        <w:tc>
          <w:tcPr>
            <w:tcW w:w="675"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center"/>
              <w:outlineLvl w:val="0"/>
              <w:rPr>
                <w:rFonts w:ascii="宋体" w:hAnsi="宋体" w:cs="宋体"/>
                <w:color w:val="000000" w:themeColor="text1"/>
                <w:kern w:val="0"/>
                <w:sz w:val="18"/>
                <w:szCs w:val="18"/>
              </w:rPr>
            </w:pPr>
          </w:p>
        </w:tc>
        <w:tc>
          <w:tcPr>
            <w:tcW w:w="688"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5"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74"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7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82"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46"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440"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96"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3"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1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r>
      <w:tr w:rsidR="0056139B" w:rsidRPr="009263D7" w:rsidTr="0056139B">
        <w:trPr>
          <w:trHeight w:val="285"/>
        </w:trPr>
        <w:tc>
          <w:tcPr>
            <w:tcW w:w="675"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center"/>
              <w:outlineLvl w:val="0"/>
              <w:rPr>
                <w:rFonts w:ascii="宋体" w:hAnsi="宋体" w:cs="宋体"/>
                <w:color w:val="000000" w:themeColor="text1"/>
                <w:kern w:val="0"/>
                <w:sz w:val="18"/>
                <w:szCs w:val="18"/>
              </w:rPr>
            </w:pPr>
          </w:p>
        </w:tc>
        <w:tc>
          <w:tcPr>
            <w:tcW w:w="688"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5"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74"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7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82"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46"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440"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96"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3"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1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r>
      <w:tr w:rsidR="0056139B" w:rsidRPr="009263D7" w:rsidTr="0056139B">
        <w:trPr>
          <w:trHeight w:val="285"/>
        </w:trPr>
        <w:tc>
          <w:tcPr>
            <w:tcW w:w="675"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88"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5"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74"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7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82"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46"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440"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96"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3"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1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r>
      <w:tr w:rsidR="0056139B" w:rsidRPr="009263D7" w:rsidTr="0056139B">
        <w:trPr>
          <w:trHeight w:val="285"/>
        </w:trPr>
        <w:tc>
          <w:tcPr>
            <w:tcW w:w="675"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88"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5"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74"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7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82"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46"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440"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96"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3"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1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r>
      <w:tr w:rsidR="0056139B" w:rsidRPr="009263D7" w:rsidTr="0056139B">
        <w:trPr>
          <w:trHeight w:val="285"/>
        </w:trPr>
        <w:tc>
          <w:tcPr>
            <w:tcW w:w="675"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88"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5"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74"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7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82"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46"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440"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696" w:type="dxa"/>
            <w:gridSpan w:val="2"/>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1373" w:type="dxa"/>
            <w:gridSpan w:val="3"/>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c>
          <w:tcPr>
            <w:tcW w:w="310" w:type="dxa"/>
            <w:tcBorders>
              <w:top w:val="nil"/>
              <w:left w:val="nil"/>
              <w:bottom w:val="nil"/>
              <w:right w:val="nil"/>
            </w:tcBorders>
            <w:shd w:val="clear" w:color="auto" w:fill="auto"/>
            <w:noWrap/>
            <w:vAlign w:val="center"/>
          </w:tcPr>
          <w:p w:rsidR="00847DCA" w:rsidRPr="009263D7" w:rsidRDefault="00847DCA" w:rsidP="00D52AF8">
            <w:pPr>
              <w:keepNext/>
              <w:widowControl/>
              <w:spacing w:line="320" w:lineRule="exact"/>
              <w:jc w:val="left"/>
              <w:outlineLvl w:val="0"/>
              <w:rPr>
                <w:rFonts w:ascii="宋体" w:hAnsi="宋体" w:cs="宋体"/>
                <w:color w:val="000000" w:themeColor="text1"/>
                <w:kern w:val="0"/>
                <w:sz w:val="24"/>
              </w:rPr>
            </w:pPr>
          </w:p>
        </w:tc>
      </w:tr>
      <w:tr w:rsidR="0056139B" w:rsidRPr="009263D7" w:rsidTr="0056139B">
        <w:trPr>
          <w:trHeight w:val="300"/>
        </w:trPr>
        <w:tc>
          <w:tcPr>
            <w:tcW w:w="675" w:type="dxa"/>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88" w:type="dxa"/>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375" w:type="dxa"/>
            <w:gridSpan w:val="2"/>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74" w:type="dxa"/>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70" w:type="dxa"/>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82" w:type="dxa"/>
            <w:gridSpan w:val="2"/>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346" w:type="dxa"/>
            <w:gridSpan w:val="3"/>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440" w:type="dxa"/>
            <w:gridSpan w:val="3"/>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96" w:type="dxa"/>
            <w:gridSpan w:val="2"/>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373" w:type="dxa"/>
            <w:gridSpan w:val="3"/>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10" w:type="dxa"/>
            <w:tcBorders>
              <w:top w:val="nil"/>
              <w:left w:val="nil"/>
              <w:bottom w:val="single" w:sz="8" w:space="0" w:color="auto"/>
              <w:right w:val="nil"/>
            </w:tcBorders>
            <w:shd w:val="clear" w:color="auto" w:fill="auto"/>
            <w:noWrap/>
            <w:vAlign w:val="center"/>
          </w:tcPr>
          <w:p w:rsidR="00847DCA" w:rsidRPr="009263D7" w:rsidRDefault="00CB4B9E" w:rsidP="00D52AF8">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52757F" w:rsidRPr="009263D7" w:rsidRDefault="00CB4B9E" w:rsidP="0052757F">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spacing w:line="28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52757F" w:rsidRPr="009263D7" w:rsidRDefault="0052757F" w:rsidP="0052757F">
      <w:pPr>
        <w:spacing w:line="280" w:lineRule="exact"/>
        <w:ind w:leftChars="179" w:left="900" w:hangingChars="291" w:hanging="524"/>
        <w:rPr>
          <w:rFonts w:ascii="宋体"/>
          <w:color w:val="000000" w:themeColor="text1"/>
          <w:sz w:val="18"/>
        </w:rPr>
      </w:pPr>
    </w:p>
    <w:p w:rsidR="0052757F" w:rsidRPr="009263D7" w:rsidRDefault="0052757F" w:rsidP="0052757F">
      <w:pPr>
        <w:rPr>
          <w:rFonts w:ascii="宋体"/>
          <w:color w:val="000000" w:themeColor="text1"/>
          <w:sz w:val="18"/>
        </w:rPr>
      </w:pPr>
    </w:p>
    <w:p w:rsidR="0052757F" w:rsidRPr="009263D7" w:rsidRDefault="0052757F" w:rsidP="0052757F">
      <w:pPr>
        <w:rPr>
          <w:rFonts w:ascii="宋体"/>
          <w:color w:val="000000" w:themeColor="text1"/>
          <w:sz w:val="18"/>
        </w:rPr>
      </w:pPr>
    </w:p>
    <w:p w:rsidR="0052757F" w:rsidRPr="009263D7" w:rsidRDefault="0052757F" w:rsidP="0052757F">
      <w:pPr>
        <w:rPr>
          <w:rFonts w:ascii="宋体"/>
          <w:color w:val="000000" w:themeColor="text1"/>
          <w:sz w:val="18"/>
        </w:rPr>
      </w:pPr>
    </w:p>
    <w:p w:rsidR="0052757F" w:rsidRPr="009263D7" w:rsidRDefault="0052757F" w:rsidP="0052757F">
      <w:pPr>
        <w:rPr>
          <w:rFonts w:ascii="宋体"/>
          <w:color w:val="000000" w:themeColor="text1"/>
          <w:sz w:val="18"/>
        </w:rPr>
      </w:pPr>
    </w:p>
    <w:p w:rsidR="0052757F" w:rsidRPr="009263D7" w:rsidRDefault="00CB4B9E" w:rsidP="00066BE2">
      <w:pPr>
        <w:rPr>
          <w:rFonts w:ascii="宋体" w:hAnsi="宋体" w:cs="宋体"/>
          <w:color w:val="000000" w:themeColor="text1"/>
          <w:kern w:val="0"/>
          <w:sz w:val="18"/>
          <w:szCs w:val="18"/>
        </w:rPr>
      </w:pPr>
      <w:r w:rsidRPr="00CB4B9E">
        <w:rPr>
          <w:rFonts w:ascii="宋体"/>
          <w:color w:val="000000" w:themeColor="text1"/>
          <w:sz w:val="18"/>
        </w:rPr>
        <w:br w:type="page"/>
      </w:r>
    </w:p>
    <w:p w:rsidR="0052757F" w:rsidRPr="009263D7" w:rsidRDefault="0052757F" w:rsidP="0052757F">
      <w:pPr>
        <w:widowControl/>
        <w:jc w:val="center"/>
        <w:rPr>
          <w:rFonts w:ascii="宋体" w:hAnsi="宋体" w:cs="宋体"/>
          <w:color w:val="000000" w:themeColor="text1"/>
          <w:kern w:val="0"/>
          <w:sz w:val="18"/>
          <w:szCs w:val="18"/>
        </w:rPr>
      </w:pPr>
    </w:p>
    <w:p w:rsidR="0052757F" w:rsidRPr="009263D7" w:rsidRDefault="00CB4B9E" w:rsidP="00CB506B">
      <w:pPr>
        <w:pStyle w:val="3"/>
        <w:jc w:val="center"/>
        <w:rPr>
          <w:rFonts w:ascii="宋体" w:hAnsi="宋体" w:cs="宋体"/>
          <w:b w:val="0"/>
          <w:color w:val="000000" w:themeColor="text1"/>
          <w:kern w:val="0"/>
          <w:sz w:val="28"/>
          <w:szCs w:val="28"/>
        </w:rPr>
      </w:pPr>
      <w:bookmarkStart w:id="33" w:name="_Toc452017143"/>
      <w:r w:rsidRPr="00CB4B9E">
        <w:rPr>
          <w:rFonts w:ascii="宋体" w:hAnsi="宋体" w:cs="宋体" w:hint="eastAsia"/>
          <w:b w:val="0"/>
          <w:color w:val="000000" w:themeColor="text1"/>
          <w:kern w:val="0"/>
          <w:sz w:val="28"/>
          <w:szCs w:val="28"/>
        </w:rPr>
        <w:t>贷款（含银行同业和联行拆借）（负债）</w:t>
      </w:r>
      <w:bookmarkEnd w:id="33"/>
    </w:p>
    <w:p w:rsidR="0052757F" w:rsidRPr="009263D7" w:rsidRDefault="00CB4B9E" w:rsidP="00653494">
      <w:pPr>
        <w:spacing w:line="240" w:lineRule="exact"/>
        <w:ind w:firstLineChars="3543" w:firstLine="6377"/>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D06</w:t>
      </w:r>
      <w:r w:rsidRPr="00CB4B9E">
        <w:rPr>
          <w:rFonts w:ascii="宋体" w:hAnsi="宋体" w:cs="宋体" w:hint="eastAsia"/>
          <w:color w:val="000000" w:themeColor="text1"/>
          <w:kern w:val="0"/>
          <w:sz w:val="18"/>
          <w:szCs w:val="18"/>
        </w:rPr>
        <w:t>表</w:t>
      </w:r>
    </w:p>
    <w:p w:rsidR="0052757F" w:rsidRPr="009263D7" w:rsidRDefault="00CB4B9E" w:rsidP="0052757F">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52757F" w:rsidRPr="009263D7" w:rsidRDefault="00CB4B9E" w:rsidP="0052757F">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52757F" w:rsidRPr="009263D7" w:rsidRDefault="00CB4B9E" w:rsidP="0052757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52757F" w:rsidRPr="009263D7" w:rsidRDefault="00CB4B9E" w:rsidP="0052757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52757F" w:rsidRPr="009263D7" w:rsidRDefault="00CB4B9E" w:rsidP="00E83880">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ascii="宋体" w:hAnsi="宋体" w:cs="宋体"/>
          <w:color w:val="000000" w:themeColor="text1"/>
          <w:kern w:val="0"/>
          <w:sz w:val="22"/>
          <w:szCs w:val="22"/>
        </w:rPr>
        <w:t xml:space="preserve">                                   </w:t>
      </w:r>
    </w:p>
    <w:p w:rsidR="0052757F" w:rsidRPr="009263D7" w:rsidRDefault="00CB4B9E" w:rsidP="0052757F">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5083" w:type="pct"/>
        <w:tblLayout w:type="fixed"/>
        <w:tblLook w:val="04A0"/>
      </w:tblPr>
      <w:tblGrid>
        <w:gridCol w:w="815"/>
        <w:gridCol w:w="849"/>
        <w:gridCol w:w="706"/>
        <w:gridCol w:w="237"/>
        <w:gridCol w:w="237"/>
        <w:gridCol w:w="237"/>
        <w:gridCol w:w="709"/>
        <w:gridCol w:w="161"/>
        <w:gridCol w:w="548"/>
        <w:gridCol w:w="705"/>
        <w:gridCol w:w="161"/>
        <w:gridCol w:w="548"/>
        <w:gridCol w:w="850"/>
        <w:gridCol w:w="159"/>
        <w:gridCol w:w="550"/>
        <w:gridCol w:w="159"/>
        <w:gridCol w:w="548"/>
        <w:gridCol w:w="707"/>
        <w:gridCol w:w="159"/>
        <w:gridCol w:w="589"/>
        <w:gridCol w:w="155"/>
      </w:tblGrid>
      <w:tr w:rsidR="006335B2" w:rsidRPr="009263D7" w:rsidTr="006335B2">
        <w:trPr>
          <w:gridAfter w:val="1"/>
          <w:wAfter w:w="79" w:type="pct"/>
          <w:trHeight w:val="505"/>
        </w:trPr>
        <w:tc>
          <w:tcPr>
            <w:tcW w:w="417" w:type="pct"/>
            <w:vMerge w:val="restart"/>
            <w:tcBorders>
              <w:top w:val="single" w:sz="8" w:space="0" w:color="auto"/>
              <w:left w:val="nil"/>
              <w:right w:val="single" w:sz="2" w:space="0" w:color="auto"/>
            </w:tcBorders>
            <w:shd w:val="clear" w:color="auto" w:fill="auto"/>
            <w:vAlign w:val="center"/>
          </w:tcPr>
          <w:p w:rsidR="00BB65EA" w:rsidRPr="009263D7" w:rsidRDefault="00CB4B9E" w:rsidP="0060608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对方国家</w:t>
            </w:r>
            <w:r w:rsidRPr="00CB4B9E">
              <w:rPr>
                <w:rFonts w:ascii="宋体" w:hAnsi="宋体" w:cs="宋体"/>
                <w:color w:val="000000" w:themeColor="text1"/>
                <w:kern w:val="0"/>
                <w:sz w:val="18"/>
                <w:szCs w:val="18"/>
              </w:rPr>
              <w:t>/地区</w:t>
            </w:r>
          </w:p>
        </w:tc>
        <w:tc>
          <w:tcPr>
            <w:tcW w:w="434" w:type="pct"/>
            <w:vMerge w:val="restart"/>
            <w:tcBorders>
              <w:top w:val="single" w:sz="8" w:space="0" w:color="auto"/>
              <w:left w:val="single" w:sz="2" w:space="0" w:color="auto"/>
              <w:right w:val="single" w:sz="2" w:space="0" w:color="auto"/>
            </w:tcBorders>
            <w:shd w:val="clear" w:color="auto" w:fill="auto"/>
            <w:vAlign w:val="center"/>
          </w:tcPr>
          <w:p w:rsidR="0035038B" w:rsidRDefault="00CB4B9E" w:rsidP="0060608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BB65EA" w:rsidRPr="009263D7" w:rsidRDefault="00CB4B9E" w:rsidP="0060608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部门</w:t>
            </w:r>
          </w:p>
        </w:tc>
        <w:tc>
          <w:tcPr>
            <w:tcW w:w="361" w:type="pct"/>
            <w:vMerge w:val="restart"/>
            <w:tcBorders>
              <w:top w:val="single" w:sz="8" w:space="0" w:color="auto"/>
              <w:left w:val="single" w:sz="2" w:space="0" w:color="auto"/>
              <w:right w:val="single" w:sz="2" w:space="0" w:color="auto"/>
            </w:tcBorders>
            <w:shd w:val="clear" w:color="auto" w:fill="auto"/>
            <w:vAlign w:val="center"/>
          </w:tcPr>
          <w:p w:rsidR="00BB65EA" w:rsidRPr="009263D7" w:rsidRDefault="00CB4B9E" w:rsidP="0060608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对方与本机构的关系</w:t>
            </w:r>
          </w:p>
        </w:tc>
        <w:tc>
          <w:tcPr>
            <w:tcW w:w="363" w:type="pct"/>
            <w:gridSpan w:val="3"/>
            <w:vMerge w:val="restart"/>
            <w:tcBorders>
              <w:top w:val="single" w:sz="8" w:space="0" w:color="auto"/>
              <w:left w:val="single" w:sz="2" w:space="0" w:color="auto"/>
              <w:right w:val="single" w:sz="2" w:space="0" w:color="auto"/>
            </w:tcBorders>
            <w:shd w:val="clear" w:color="auto" w:fill="auto"/>
            <w:vAlign w:val="center"/>
          </w:tcPr>
          <w:p w:rsidR="00BB65EA" w:rsidRPr="009263D7" w:rsidRDefault="00CB4B9E" w:rsidP="00BE48C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原始期限</w:t>
            </w:r>
          </w:p>
        </w:tc>
        <w:tc>
          <w:tcPr>
            <w:tcW w:w="3346" w:type="pct"/>
            <w:gridSpan w:val="14"/>
            <w:tcBorders>
              <w:top w:val="single" w:sz="8" w:space="0" w:color="auto"/>
              <w:left w:val="single" w:sz="2" w:space="0" w:color="auto"/>
              <w:bottom w:val="single" w:sz="2" w:space="0" w:color="auto"/>
            </w:tcBorders>
            <w:shd w:val="clear" w:color="auto" w:fill="auto"/>
            <w:vAlign w:val="center"/>
          </w:tcPr>
          <w:p w:rsidR="00BB65EA"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按原始币种填列</w:t>
            </w:r>
          </w:p>
        </w:tc>
      </w:tr>
      <w:tr w:rsidR="006335B2" w:rsidRPr="009263D7" w:rsidTr="006335B2">
        <w:trPr>
          <w:gridAfter w:val="1"/>
          <w:wAfter w:w="79" w:type="pct"/>
          <w:trHeight w:val="924"/>
        </w:trPr>
        <w:tc>
          <w:tcPr>
            <w:tcW w:w="417" w:type="pct"/>
            <w:vMerge/>
            <w:tcBorders>
              <w:left w:val="nil"/>
              <w:right w:val="single" w:sz="2" w:space="0" w:color="auto"/>
            </w:tcBorders>
            <w:shd w:val="clear" w:color="auto" w:fill="auto"/>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434" w:type="pct"/>
            <w:vMerge/>
            <w:tcBorders>
              <w:left w:val="single" w:sz="2" w:space="0" w:color="auto"/>
              <w:right w:val="single" w:sz="2" w:space="0" w:color="auto"/>
            </w:tcBorders>
            <w:shd w:val="clear" w:color="auto" w:fill="auto"/>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361" w:type="pct"/>
            <w:vMerge/>
            <w:tcBorders>
              <w:left w:val="single" w:sz="2" w:space="0" w:color="auto"/>
              <w:right w:val="single" w:sz="2" w:space="0" w:color="auto"/>
            </w:tcBorders>
            <w:shd w:val="clear" w:color="auto" w:fill="auto"/>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363" w:type="pct"/>
            <w:gridSpan w:val="3"/>
            <w:vMerge/>
            <w:tcBorders>
              <w:left w:val="single" w:sz="2" w:space="0" w:color="auto"/>
              <w:right w:val="single" w:sz="2" w:space="0" w:color="auto"/>
            </w:tcBorders>
            <w:shd w:val="clear" w:color="auto" w:fill="auto"/>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362" w:type="pct"/>
            <w:vMerge w:val="restart"/>
            <w:tcBorders>
              <w:top w:val="single" w:sz="2" w:space="0" w:color="auto"/>
              <w:left w:val="single" w:sz="2"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362" w:type="pct"/>
            <w:gridSpan w:val="2"/>
            <w:vMerge w:val="restart"/>
            <w:tcBorders>
              <w:top w:val="single" w:sz="2" w:space="0" w:color="auto"/>
              <w:left w:val="single" w:sz="2"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上月末本金余额</w:t>
            </w:r>
          </w:p>
        </w:tc>
        <w:tc>
          <w:tcPr>
            <w:tcW w:w="360" w:type="pct"/>
            <w:vMerge w:val="restart"/>
            <w:tcBorders>
              <w:top w:val="single" w:sz="2" w:space="0" w:color="auto"/>
              <w:left w:val="single" w:sz="2" w:space="0" w:color="auto"/>
              <w:right w:val="single" w:sz="2" w:space="0" w:color="auto"/>
            </w:tcBorders>
            <w:shd w:val="clear" w:color="auto" w:fill="auto"/>
            <w:vAlign w:val="center"/>
          </w:tcPr>
          <w:p w:rsidR="000E1F53" w:rsidRPr="009263D7" w:rsidRDefault="00CB4B9E" w:rsidP="00797EF2">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上月末应付利息余额</w:t>
            </w:r>
          </w:p>
        </w:tc>
        <w:tc>
          <w:tcPr>
            <w:tcW w:w="796" w:type="pct"/>
            <w:gridSpan w:val="3"/>
            <w:tcBorders>
              <w:top w:val="single" w:sz="2" w:space="0" w:color="auto"/>
              <w:left w:val="single" w:sz="2" w:space="0" w:color="auto"/>
              <w:right w:val="single" w:sz="2" w:space="0" w:color="auto"/>
            </w:tcBorders>
            <w:shd w:val="clear" w:color="auto" w:fill="auto"/>
            <w:vAlign w:val="center"/>
          </w:tcPr>
          <w:p w:rsidR="000E1F53" w:rsidRPr="009263D7" w:rsidRDefault="00CB4B9E" w:rsidP="006926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本月末本金余额</w:t>
            </w:r>
          </w:p>
        </w:tc>
        <w:tc>
          <w:tcPr>
            <w:tcW w:w="362" w:type="pct"/>
            <w:gridSpan w:val="2"/>
            <w:vMerge w:val="restart"/>
            <w:tcBorders>
              <w:top w:val="single" w:sz="2" w:space="0" w:color="auto"/>
              <w:left w:val="single" w:sz="2"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本月末应付利息余额</w:t>
            </w:r>
          </w:p>
        </w:tc>
        <w:tc>
          <w:tcPr>
            <w:tcW w:w="361" w:type="pct"/>
            <w:gridSpan w:val="2"/>
            <w:vMerge w:val="restart"/>
            <w:tcBorders>
              <w:top w:val="single" w:sz="2" w:space="0" w:color="auto"/>
              <w:left w:val="single" w:sz="2"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361" w:type="pct"/>
            <w:vMerge w:val="restart"/>
            <w:tcBorders>
              <w:top w:val="single" w:sz="2" w:space="0" w:color="auto"/>
              <w:left w:val="single" w:sz="2" w:space="0" w:color="auto"/>
              <w:right w:val="single" w:sz="2" w:space="0" w:color="auto"/>
            </w:tcBorders>
            <w:shd w:val="clear" w:color="auto" w:fill="auto"/>
            <w:vAlign w:val="center"/>
          </w:tcPr>
          <w:p w:rsidR="000E1F53" w:rsidRPr="009263D7" w:rsidRDefault="00CB4B9E" w:rsidP="00107C3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c>
          <w:tcPr>
            <w:tcW w:w="381" w:type="pct"/>
            <w:gridSpan w:val="2"/>
            <w:vMerge w:val="restart"/>
            <w:tcBorders>
              <w:top w:val="single" w:sz="2" w:space="0" w:color="auto"/>
              <w:left w:val="single" w:sz="2" w:space="0" w:color="auto"/>
              <w:right w:val="nil"/>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本月利息支出</w:t>
            </w:r>
          </w:p>
        </w:tc>
      </w:tr>
      <w:tr w:rsidR="006335B2" w:rsidRPr="009263D7" w:rsidTr="006335B2">
        <w:trPr>
          <w:gridAfter w:val="1"/>
          <w:wAfter w:w="79" w:type="pct"/>
          <w:trHeight w:val="1245"/>
        </w:trPr>
        <w:tc>
          <w:tcPr>
            <w:tcW w:w="417" w:type="pct"/>
            <w:vMerge/>
            <w:tcBorders>
              <w:left w:val="nil"/>
              <w:bottom w:val="nil"/>
              <w:right w:val="single" w:sz="2" w:space="0" w:color="auto"/>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c>
          <w:tcPr>
            <w:tcW w:w="434" w:type="pct"/>
            <w:vMerge/>
            <w:tcBorders>
              <w:left w:val="single" w:sz="2" w:space="0" w:color="auto"/>
              <w:bottom w:val="nil"/>
              <w:right w:val="single" w:sz="2" w:space="0" w:color="auto"/>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c>
          <w:tcPr>
            <w:tcW w:w="361" w:type="pct"/>
            <w:vMerge/>
            <w:tcBorders>
              <w:left w:val="single" w:sz="2" w:space="0" w:color="auto"/>
              <w:bottom w:val="nil"/>
              <w:right w:val="single" w:sz="2" w:space="0" w:color="auto"/>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c>
          <w:tcPr>
            <w:tcW w:w="363" w:type="pct"/>
            <w:gridSpan w:val="3"/>
            <w:vMerge/>
            <w:tcBorders>
              <w:left w:val="single" w:sz="2" w:space="0" w:color="auto"/>
              <w:bottom w:val="nil"/>
              <w:right w:val="single" w:sz="2" w:space="0" w:color="auto"/>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c>
          <w:tcPr>
            <w:tcW w:w="362" w:type="pct"/>
            <w:vMerge/>
            <w:tcBorders>
              <w:left w:val="single" w:sz="2" w:space="0" w:color="auto"/>
              <w:bottom w:val="nil"/>
              <w:right w:val="single" w:sz="2" w:space="0" w:color="auto"/>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c>
          <w:tcPr>
            <w:tcW w:w="362" w:type="pct"/>
            <w:gridSpan w:val="2"/>
            <w:vMerge/>
            <w:tcBorders>
              <w:left w:val="single" w:sz="2" w:space="0" w:color="auto"/>
              <w:bottom w:val="nil"/>
              <w:right w:val="single" w:sz="2" w:space="0" w:color="auto"/>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c>
          <w:tcPr>
            <w:tcW w:w="360" w:type="pct"/>
            <w:vMerge/>
            <w:tcBorders>
              <w:left w:val="single" w:sz="2" w:space="0" w:color="auto"/>
              <w:bottom w:val="nil"/>
              <w:right w:val="single" w:sz="2" w:space="0" w:color="auto"/>
            </w:tcBorders>
            <w:shd w:val="clear" w:color="auto" w:fill="auto"/>
            <w:vAlign w:val="center"/>
          </w:tcPr>
          <w:p w:rsidR="00BB65EA" w:rsidRPr="009263D7" w:rsidRDefault="00BB65EA" w:rsidP="00797EF2">
            <w:pPr>
              <w:keepNext/>
              <w:widowControl/>
              <w:spacing w:line="320" w:lineRule="exact"/>
              <w:jc w:val="center"/>
              <w:outlineLvl w:val="0"/>
              <w:rPr>
                <w:rFonts w:ascii="宋体" w:hAnsi="宋体" w:cs="宋体"/>
                <w:color w:val="000000" w:themeColor="text1"/>
                <w:kern w:val="0"/>
                <w:sz w:val="18"/>
                <w:szCs w:val="18"/>
              </w:rPr>
            </w:pPr>
          </w:p>
        </w:tc>
        <w:tc>
          <w:tcPr>
            <w:tcW w:w="362" w:type="pct"/>
            <w:gridSpan w:val="2"/>
            <w:tcBorders>
              <w:left w:val="single" w:sz="2" w:space="0" w:color="auto"/>
              <w:bottom w:val="nil"/>
              <w:right w:val="single" w:sz="2" w:space="0" w:color="auto"/>
            </w:tcBorders>
            <w:shd w:val="clear" w:color="auto" w:fill="auto"/>
            <w:vAlign w:val="center"/>
          </w:tcPr>
          <w:p w:rsidR="00BB65EA" w:rsidRPr="009263D7" w:rsidRDefault="00BB65EA" w:rsidP="0069268C">
            <w:pPr>
              <w:keepNext/>
              <w:spacing w:line="320" w:lineRule="exact"/>
              <w:jc w:val="center"/>
              <w:outlineLvl w:val="0"/>
              <w:rPr>
                <w:rFonts w:ascii="宋体" w:hAnsi="宋体" w:cs="宋体"/>
                <w:color w:val="000000" w:themeColor="text1"/>
                <w:kern w:val="0"/>
                <w:sz w:val="18"/>
                <w:szCs w:val="18"/>
              </w:rPr>
            </w:pPr>
          </w:p>
        </w:tc>
        <w:tc>
          <w:tcPr>
            <w:tcW w:w="434" w:type="pct"/>
            <w:tcBorders>
              <w:top w:val="single" w:sz="2" w:space="0" w:color="auto"/>
              <w:left w:val="single" w:sz="2" w:space="0" w:color="auto"/>
              <w:bottom w:val="nil"/>
              <w:right w:val="single" w:sz="2" w:space="0" w:color="auto"/>
            </w:tcBorders>
            <w:shd w:val="clear" w:color="auto" w:fill="auto"/>
            <w:vAlign w:val="center"/>
          </w:tcPr>
          <w:p w:rsidR="00BB65EA" w:rsidRPr="009263D7" w:rsidRDefault="00CB4B9E" w:rsidP="006926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362" w:type="pct"/>
            <w:gridSpan w:val="2"/>
            <w:vMerge/>
            <w:tcBorders>
              <w:left w:val="single" w:sz="2" w:space="0" w:color="auto"/>
              <w:bottom w:val="nil"/>
              <w:right w:val="single" w:sz="2" w:space="0" w:color="auto"/>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c>
          <w:tcPr>
            <w:tcW w:w="361" w:type="pct"/>
            <w:gridSpan w:val="2"/>
            <w:vMerge/>
            <w:tcBorders>
              <w:left w:val="single" w:sz="2" w:space="0" w:color="auto"/>
              <w:bottom w:val="nil"/>
              <w:right w:val="single" w:sz="2" w:space="0" w:color="auto"/>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c>
          <w:tcPr>
            <w:tcW w:w="361" w:type="pct"/>
            <w:vMerge/>
            <w:tcBorders>
              <w:left w:val="single" w:sz="2" w:space="0" w:color="auto"/>
              <w:bottom w:val="nil"/>
              <w:right w:val="single" w:sz="2" w:space="0" w:color="auto"/>
            </w:tcBorders>
            <w:shd w:val="clear" w:color="auto" w:fill="auto"/>
            <w:vAlign w:val="center"/>
          </w:tcPr>
          <w:p w:rsidR="00BB65EA" w:rsidRPr="009263D7" w:rsidRDefault="00BB65EA" w:rsidP="00107C3E">
            <w:pPr>
              <w:keepNext/>
              <w:widowControl/>
              <w:spacing w:line="320" w:lineRule="exact"/>
              <w:jc w:val="center"/>
              <w:outlineLvl w:val="0"/>
              <w:rPr>
                <w:rFonts w:ascii="宋体" w:hAnsi="宋体" w:cs="宋体"/>
                <w:color w:val="000000" w:themeColor="text1"/>
                <w:kern w:val="0"/>
                <w:sz w:val="18"/>
                <w:szCs w:val="18"/>
              </w:rPr>
            </w:pPr>
          </w:p>
        </w:tc>
        <w:tc>
          <w:tcPr>
            <w:tcW w:w="381" w:type="pct"/>
            <w:gridSpan w:val="2"/>
            <w:vMerge/>
            <w:tcBorders>
              <w:left w:val="single" w:sz="2" w:space="0" w:color="auto"/>
              <w:bottom w:val="nil"/>
              <w:right w:val="nil"/>
            </w:tcBorders>
            <w:shd w:val="clear" w:color="auto" w:fill="auto"/>
            <w:vAlign w:val="center"/>
          </w:tcPr>
          <w:p w:rsidR="00BB65EA" w:rsidRPr="009263D7" w:rsidRDefault="00BB65EA" w:rsidP="00606085">
            <w:pPr>
              <w:keepNext/>
              <w:widowControl/>
              <w:spacing w:line="320" w:lineRule="exact"/>
              <w:jc w:val="center"/>
              <w:outlineLvl w:val="0"/>
              <w:rPr>
                <w:rFonts w:ascii="宋体" w:hAnsi="宋体" w:cs="宋体"/>
                <w:color w:val="000000" w:themeColor="text1"/>
                <w:kern w:val="0"/>
                <w:sz w:val="18"/>
                <w:szCs w:val="18"/>
              </w:rPr>
            </w:pPr>
          </w:p>
        </w:tc>
      </w:tr>
      <w:tr w:rsidR="006335B2" w:rsidRPr="009263D7" w:rsidTr="006335B2">
        <w:trPr>
          <w:gridAfter w:val="1"/>
          <w:wAfter w:w="79" w:type="pct"/>
          <w:trHeight w:val="285"/>
        </w:trPr>
        <w:tc>
          <w:tcPr>
            <w:tcW w:w="417" w:type="pct"/>
            <w:tcBorders>
              <w:top w:val="nil"/>
              <w:left w:val="nil"/>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D0601</w:t>
            </w:r>
          </w:p>
        </w:tc>
        <w:tc>
          <w:tcPr>
            <w:tcW w:w="434"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D0602</w:t>
            </w:r>
          </w:p>
        </w:tc>
        <w:tc>
          <w:tcPr>
            <w:tcW w:w="361"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D0603</w:t>
            </w:r>
          </w:p>
        </w:tc>
        <w:tc>
          <w:tcPr>
            <w:tcW w:w="363" w:type="pct"/>
            <w:gridSpan w:val="3"/>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335B2">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D0604</w:t>
            </w:r>
          </w:p>
        </w:tc>
        <w:tc>
          <w:tcPr>
            <w:tcW w:w="362"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0E1F5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D0605</w:t>
            </w:r>
          </w:p>
        </w:tc>
        <w:tc>
          <w:tcPr>
            <w:tcW w:w="362" w:type="pct"/>
            <w:gridSpan w:val="2"/>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0E1F5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D0606</w:t>
            </w:r>
          </w:p>
        </w:tc>
        <w:tc>
          <w:tcPr>
            <w:tcW w:w="360"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0E1F5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D0607</w:t>
            </w:r>
          </w:p>
        </w:tc>
        <w:tc>
          <w:tcPr>
            <w:tcW w:w="362" w:type="pct"/>
            <w:gridSpan w:val="2"/>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0E1F5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D0608</w:t>
            </w:r>
          </w:p>
        </w:tc>
        <w:tc>
          <w:tcPr>
            <w:tcW w:w="434"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107C3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D0609</w:t>
            </w:r>
          </w:p>
        </w:tc>
        <w:tc>
          <w:tcPr>
            <w:tcW w:w="362" w:type="pct"/>
            <w:gridSpan w:val="2"/>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107C3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D0610</w:t>
            </w:r>
          </w:p>
        </w:tc>
        <w:tc>
          <w:tcPr>
            <w:tcW w:w="361" w:type="pct"/>
            <w:gridSpan w:val="2"/>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107C3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D0611</w:t>
            </w:r>
          </w:p>
        </w:tc>
        <w:tc>
          <w:tcPr>
            <w:tcW w:w="361"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107C3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D0612</w:t>
            </w:r>
          </w:p>
        </w:tc>
        <w:tc>
          <w:tcPr>
            <w:tcW w:w="381" w:type="pct"/>
            <w:gridSpan w:val="2"/>
            <w:tcBorders>
              <w:top w:val="nil"/>
              <w:left w:val="single" w:sz="2" w:space="0" w:color="auto"/>
              <w:bottom w:val="single" w:sz="4" w:space="0" w:color="auto"/>
              <w:right w:val="nil"/>
            </w:tcBorders>
            <w:shd w:val="clear" w:color="auto" w:fill="auto"/>
            <w:vAlign w:val="center"/>
          </w:tcPr>
          <w:p w:rsidR="000E1F53" w:rsidRPr="009263D7" w:rsidRDefault="00CB4B9E" w:rsidP="00107C3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D0613</w:t>
            </w:r>
          </w:p>
        </w:tc>
      </w:tr>
      <w:tr w:rsidR="006335B2" w:rsidRPr="009263D7" w:rsidTr="006335B2">
        <w:trPr>
          <w:gridAfter w:val="1"/>
          <w:wAfter w:w="79" w:type="pct"/>
          <w:trHeight w:val="285"/>
        </w:trPr>
        <w:tc>
          <w:tcPr>
            <w:tcW w:w="417" w:type="pct"/>
            <w:tcBorders>
              <w:top w:val="nil"/>
              <w:left w:val="nil"/>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434"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361"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363" w:type="pct"/>
            <w:gridSpan w:val="3"/>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C26F3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362"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C26F3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362" w:type="pct"/>
            <w:gridSpan w:val="2"/>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360"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9F110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362" w:type="pct"/>
            <w:gridSpan w:val="2"/>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434"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362" w:type="pct"/>
            <w:gridSpan w:val="2"/>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361" w:type="pct"/>
            <w:gridSpan w:val="2"/>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361" w:type="pct"/>
            <w:tcBorders>
              <w:top w:val="nil"/>
              <w:left w:val="single" w:sz="2" w:space="0" w:color="auto"/>
              <w:bottom w:val="single" w:sz="4" w:space="0" w:color="auto"/>
              <w:right w:val="single" w:sz="2" w:space="0" w:color="auto"/>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381" w:type="pct"/>
            <w:gridSpan w:val="2"/>
            <w:tcBorders>
              <w:top w:val="nil"/>
              <w:left w:val="single" w:sz="2" w:space="0" w:color="auto"/>
              <w:bottom w:val="single" w:sz="4" w:space="0" w:color="auto"/>
              <w:right w:val="nil"/>
            </w:tcBorders>
            <w:shd w:val="clear" w:color="auto" w:fill="auto"/>
            <w:vAlign w:val="center"/>
          </w:tcPr>
          <w:p w:rsidR="000E1F53" w:rsidRPr="009263D7" w:rsidRDefault="00CB4B9E" w:rsidP="006060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r>
      <w:tr w:rsidR="006335B2" w:rsidRPr="009263D7" w:rsidTr="006335B2">
        <w:trPr>
          <w:trHeight w:val="285"/>
        </w:trPr>
        <w:tc>
          <w:tcPr>
            <w:tcW w:w="417"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434"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56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9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2"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79"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r>
      <w:tr w:rsidR="006335B2" w:rsidRPr="009263D7" w:rsidTr="006335B2">
        <w:trPr>
          <w:trHeight w:val="285"/>
        </w:trPr>
        <w:tc>
          <w:tcPr>
            <w:tcW w:w="417"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434"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56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9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2"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79"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r>
      <w:tr w:rsidR="006335B2" w:rsidRPr="009263D7" w:rsidTr="006335B2">
        <w:trPr>
          <w:trHeight w:val="285"/>
        </w:trPr>
        <w:tc>
          <w:tcPr>
            <w:tcW w:w="417"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434"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56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9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2"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79"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r>
      <w:tr w:rsidR="006335B2" w:rsidRPr="009263D7" w:rsidTr="006335B2">
        <w:trPr>
          <w:trHeight w:val="285"/>
        </w:trPr>
        <w:tc>
          <w:tcPr>
            <w:tcW w:w="417"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434"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56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9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2"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79"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r>
      <w:tr w:rsidR="006335B2" w:rsidRPr="009263D7" w:rsidTr="006335B2">
        <w:trPr>
          <w:trHeight w:val="285"/>
        </w:trPr>
        <w:tc>
          <w:tcPr>
            <w:tcW w:w="417"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434"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56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9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2"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79"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r>
      <w:tr w:rsidR="006335B2" w:rsidRPr="009263D7" w:rsidTr="006335B2">
        <w:trPr>
          <w:trHeight w:val="285"/>
        </w:trPr>
        <w:tc>
          <w:tcPr>
            <w:tcW w:w="417"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center"/>
              <w:outlineLvl w:val="0"/>
              <w:rPr>
                <w:rFonts w:ascii="宋体" w:hAnsi="宋体" w:cs="宋体"/>
                <w:color w:val="000000" w:themeColor="text1"/>
                <w:kern w:val="0"/>
                <w:sz w:val="18"/>
                <w:szCs w:val="18"/>
              </w:rPr>
            </w:pPr>
          </w:p>
        </w:tc>
        <w:tc>
          <w:tcPr>
            <w:tcW w:w="434"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121" w:type="pct"/>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56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95"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62"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722" w:type="pct"/>
            <w:gridSpan w:val="3"/>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c>
          <w:tcPr>
            <w:tcW w:w="379" w:type="pct"/>
            <w:gridSpan w:val="2"/>
            <w:tcBorders>
              <w:top w:val="nil"/>
              <w:left w:val="nil"/>
              <w:bottom w:val="nil"/>
              <w:right w:val="nil"/>
            </w:tcBorders>
            <w:shd w:val="clear" w:color="auto" w:fill="auto"/>
            <w:noWrap/>
            <w:vAlign w:val="center"/>
          </w:tcPr>
          <w:p w:rsidR="000E1F53" w:rsidRPr="009263D7" w:rsidRDefault="000E1F53" w:rsidP="00606085">
            <w:pPr>
              <w:keepNext/>
              <w:widowControl/>
              <w:spacing w:line="320" w:lineRule="exact"/>
              <w:jc w:val="left"/>
              <w:outlineLvl w:val="0"/>
              <w:rPr>
                <w:rFonts w:ascii="宋体" w:hAnsi="宋体" w:cs="宋体"/>
                <w:color w:val="000000" w:themeColor="text1"/>
                <w:kern w:val="0"/>
                <w:sz w:val="24"/>
              </w:rPr>
            </w:pPr>
          </w:p>
        </w:tc>
      </w:tr>
      <w:tr w:rsidR="006335B2" w:rsidRPr="009263D7" w:rsidTr="006335B2">
        <w:trPr>
          <w:trHeight w:val="300"/>
        </w:trPr>
        <w:tc>
          <w:tcPr>
            <w:tcW w:w="417" w:type="pct"/>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434" w:type="pct"/>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61" w:type="pct"/>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21" w:type="pct"/>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21" w:type="pct"/>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565" w:type="pct"/>
            <w:gridSpan w:val="3"/>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22" w:type="pct"/>
            <w:gridSpan w:val="3"/>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95" w:type="pct"/>
            <w:gridSpan w:val="3"/>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62" w:type="pct"/>
            <w:gridSpan w:val="2"/>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22" w:type="pct"/>
            <w:gridSpan w:val="3"/>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79" w:type="pct"/>
            <w:gridSpan w:val="2"/>
            <w:tcBorders>
              <w:top w:val="nil"/>
              <w:left w:val="nil"/>
              <w:bottom w:val="single" w:sz="8" w:space="0" w:color="auto"/>
              <w:right w:val="nil"/>
            </w:tcBorders>
            <w:shd w:val="clear" w:color="auto" w:fill="auto"/>
            <w:noWrap/>
            <w:vAlign w:val="center"/>
          </w:tcPr>
          <w:p w:rsidR="000E1F53" w:rsidRPr="009263D7" w:rsidRDefault="00CB4B9E" w:rsidP="00606085">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98239D" w:rsidRPr="009263D7" w:rsidRDefault="00CB4B9E" w:rsidP="0098239D">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52757F" w:rsidRPr="009263D7" w:rsidRDefault="00CB4B9E" w:rsidP="0098239D">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r w:rsidRPr="00CB4B9E">
        <w:rPr>
          <w:rFonts w:ascii="宋体"/>
          <w:color w:val="000000" w:themeColor="text1"/>
          <w:sz w:val="18"/>
        </w:rPr>
        <w:t xml:space="preserve"> </w:t>
      </w:r>
    </w:p>
    <w:p w:rsidR="0052757F" w:rsidRPr="009263D7" w:rsidRDefault="0052757F" w:rsidP="0052757F">
      <w:pPr>
        <w:rPr>
          <w:rFonts w:ascii="宋体"/>
          <w:color w:val="000000" w:themeColor="text1"/>
          <w:sz w:val="18"/>
        </w:rPr>
      </w:pPr>
    </w:p>
    <w:p w:rsidR="0052757F" w:rsidRPr="009263D7" w:rsidRDefault="0052757F" w:rsidP="0052757F">
      <w:pPr>
        <w:rPr>
          <w:rFonts w:ascii="宋体"/>
          <w:color w:val="000000" w:themeColor="text1"/>
          <w:sz w:val="18"/>
        </w:rPr>
      </w:pPr>
    </w:p>
    <w:p w:rsidR="0024092D" w:rsidRPr="009263D7" w:rsidRDefault="00CB4B9E" w:rsidP="0052757F">
      <w:pPr>
        <w:rPr>
          <w:rFonts w:ascii="宋体"/>
          <w:color w:val="000000" w:themeColor="text1"/>
          <w:sz w:val="18"/>
        </w:rPr>
      </w:pPr>
      <w:r w:rsidRPr="00CB4B9E">
        <w:rPr>
          <w:rFonts w:ascii="宋体"/>
          <w:color w:val="000000" w:themeColor="text1"/>
          <w:sz w:val="18"/>
        </w:rPr>
        <w:br w:type="page"/>
      </w:r>
    </w:p>
    <w:p w:rsidR="0024092D" w:rsidRPr="009263D7" w:rsidRDefault="00CB4B9E" w:rsidP="0024092D">
      <w:pPr>
        <w:pStyle w:val="3"/>
        <w:jc w:val="center"/>
        <w:rPr>
          <w:rFonts w:ascii="宋体" w:hAnsi="宋体"/>
          <w:b w:val="0"/>
          <w:color w:val="000000" w:themeColor="text1"/>
          <w:kern w:val="0"/>
          <w:sz w:val="28"/>
          <w:szCs w:val="28"/>
        </w:rPr>
      </w:pPr>
      <w:bookmarkStart w:id="34" w:name="_Toc452017144"/>
      <w:r w:rsidRPr="00CB4B9E">
        <w:rPr>
          <w:rFonts w:ascii="宋体" w:hAnsi="宋体" w:hint="eastAsia"/>
          <w:b w:val="0"/>
          <w:color w:val="000000" w:themeColor="text1"/>
          <w:kern w:val="0"/>
          <w:sz w:val="28"/>
          <w:szCs w:val="28"/>
        </w:rPr>
        <w:lastRenderedPageBreak/>
        <w:t>非居民持有本机构（非公司制）</w:t>
      </w:r>
      <w:r w:rsidRPr="00CB4B9E">
        <w:rPr>
          <w:rFonts w:ascii="宋体" w:hAnsi="宋体"/>
          <w:b w:val="0"/>
          <w:color w:val="000000" w:themeColor="text1"/>
          <w:kern w:val="0"/>
          <w:sz w:val="28"/>
          <w:szCs w:val="28"/>
        </w:rPr>
        <w:t>10%以下表决权</w:t>
      </w:r>
      <w:r w:rsidRPr="00CB4B9E">
        <w:rPr>
          <w:rFonts w:ascii="宋体" w:hAnsi="宋体" w:hint="eastAsia"/>
          <w:b w:val="0"/>
          <w:color w:val="000000" w:themeColor="text1"/>
          <w:kern w:val="0"/>
          <w:sz w:val="28"/>
          <w:szCs w:val="28"/>
        </w:rPr>
        <w:t>（负债）</w:t>
      </w:r>
      <w:bookmarkEnd w:id="34"/>
    </w:p>
    <w:p w:rsidR="0024092D" w:rsidRPr="009263D7" w:rsidRDefault="00CB4B9E" w:rsidP="0024092D">
      <w:pPr>
        <w:spacing w:line="240" w:lineRule="exact"/>
        <w:ind w:firstLineChars="3543" w:firstLine="6377"/>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D07</w:t>
      </w:r>
      <w:r w:rsidRPr="00CB4B9E">
        <w:rPr>
          <w:rFonts w:ascii="宋体" w:hAnsi="宋体" w:cs="宋体" w:hint="eastAsia"/>
          <w:color w:val="000000" w:themeColor="text1"/>
          <w:kern w:val="0"/>
          <w:sz w:val="18"/>
          <w:szCs w:val="18"/>
        </w:rPr>
        <w:t>表</w:t>
      </w:r>
    </w:p>
    <w:p w:rsidR="0024092D" w:rsidRPr="009263D7" w:rsidRDefault="00CB4B9E" w:rsidP="0024092D">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24092D" w:rsidRPr="009263D7" w:rsidRDefault="00CB4B9E" w:rsidP="0024092D">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24092D" w:rsidRPr="009263D7" w:rsidRDefault="00CB4B9E" w:rsidP="0024092D">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24092D" w:rsidRPr="009263D7" w:rsidRDefault="00CB4B9E" w:rsidP="0024092D">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24092D" w:rsidRPr="009263D7" w:rsidRDefault="00CB4B9E" w:rsidP="0024092D">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ascii="宋体" w:hAnsi="宋体" w:cs="宋体"/>
          <w:color w:val="000000" w:themeColor="text1"/>
          <w:kern w:val="0"/>
          <w:sz w:val="22"/>
          <w:szCs w:val="22"/>
        </w:rPr>
        <w:t xml:space="preserve">                                   </w:t>
      </w:r>
    </w:p>
    <w:p w:rsidR="0024092D" w:rsidRPr="009263D7" w:rsidRDefault="00CB4B9E" w:rsidP="0024092D">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r w:rsidRPr="00CB4B9E">
        <w:rPr>
          <w:color w:val="000000" w:themeColor="text1"/>
          <w:sz w:val="18"/>
        </w:rPr>
        <w:t>%</w:t>
      </w:r>
    </w:p>
    <w:tbl>
      <w:tblPr>
        <w:tblW w:w="9486" w:type="dxa"/>
        <w:tblInd w:w="97" w:type="dxa"/>
        <w:tblLook w:val="04A0"/>
      </w:tblPr>
      <w:tblGrid>
        <w:gridCol w:w="840"/>
        <w:gridCol w:w="780"/>
        <w:gridCol w:w="720"/>
        <w:gridCol w:w="760"/>
        <w:gridCol w:w="880"/>
        <w:gridCol w:w="760"/>
        <w:gridCol w:w="666"/>
        <w:gridCol w:w="740"/>
        <w:gridCol w:w="880"/>
        <w:gridCol w:w="700"/>
        <w:gridCol w:w="940"/>
        <w:gridCol w:w="820"/>
      </w:tblGrid>
      <w:tr w:rsidR="0024092D" w:rsidRPr="009263D7">
        <w:trPr>
          <w:trHeight w:val="675"/>
        </w:trPr>
        <w:tc>
          <w:tcPr>
            <w:tcW w:w="840" w:type="dxa"/>
            <w:vMerge w:val="restart"/>
            <w:tcBorders>
              <w:top w:val="single" w:sz="8" w:space="0" w:color="auto"/>
              <w:left w:val="nil"/>
              <w:right w:val="single" w:sz="2" w:space="0" w:color="auto"/>
            </w:tcBorders>
            <w:shd w:val="clear" w:color="auto" w:fill="auto"/>
            <w:vAlign w:val="center"/>
          </w:tcPr>
          <w:p w:rsidR="0035038B"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名称</w:t>
            </w:r>
          </w:p>
        </w:tc>
        <w:tc>
          <w:tcPr>
            <w:tcW w:w="780" w:type="dxa"/>
            <w:vMerge w:val="restart"/>
            <w:tcBorders>
              <w:top w:val="single" w:sz="8" w:space="0" w:color="auto"/>
              <w:left w:val="single" w:sz="2" w:space="0" w:color="auto"/>
              <w:right w:val="single" w:sz="2" w:space="0" w:color="auto"/>
            </w:tcBorders>
            <w:shd w:val="clear" w:color="auto" w:fill="auto"/>
            <w:vAlign w:val="center"/>
          </w:tcPr>
          <w:p w:rsidR="0035038B"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代码</w:t>
            </w:r>
          </w:p>
        </w:tc>
        <w:tc>
          <w:tcPr>
            <w:tcW w:w="720" w:type="dxa"/>
            <w:vMerge w:val="restart"/>
            <w:tcBorders>
              <w:top w:val="single" w:sz="8" w:space="0" w:color="auto"/>
              <w:left w:val="single" w:sz="2" w:space="0" w:color="auto"/>
              <w:right w:val="single" w:sz="2" w:space="0" w:color="auto"/>
            </w:tcBorders>
            <w:shd w:val="clear" w:color="auto" w:fill="auto"/>
            <w:vAlign w:val="center"/>
          </w:tcPr>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对方国家</w:t>
            </w:r>
            <w:r w:rsidRPr="00CB4B9E">
              <w:rPr>
                <w:rFonts w:ascii="宋体" w:hAnsi="宋体" w:cs="宋体"/>
                <w:color w:val="000000" w:themeColor="text1"/>
                <w:kern w:val="0"/>
                <w:sz w:val="18"/>
                <w:szCs w:val="18"/>
              </w:rPr>
              <w:t>/地区</w:t>
            </w:r>
          </w:p>
        </w:tc>
        <w:tc>
          <w:tcPr>
            <w:tcW w:w="760" w:type="dxa"/>
            <w:vMerge w:val="restart"/>
            <w:tcBorders>
              <w:top w:val="single" w:sz="8" w:space="0" w:color="auto"/>
              <w:left w:val="single" w:sz="2" w:space="0" w:color="auto"/>
              <w:right w:val="single" w:sz="2" w:space="0" w:color="auto"/>
            </w:tcBorders>
            <w:shd w:val="clear" w:color="auto" w:fill="auto"/>
            <w:vAlign w:val="center"/>
          </w:tcPr>
          <w:p w:rsidR="0035038B"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部门</w:t>
            </w:r>
          </w:p>
        </w:tc>
        <w:tc>
          <w:tcPr>
            <w:tcW w:w="880" w:type="dxa"/>
            <w:vMerge w:val="restart"/>
            <w:tcBorders>
              <w:top w:val="single" w:sz="8" w:space="0" w:color="auto"/>
              <w:left w:val="single" w:sz="2" w:space="0" w:color="auto"/>
              <w:right w:val="single" w:sz="2" w:space="0" w:color="auto"/>
            </w:tcBorders>
            <w:shd w:val="clear" w:color="auto" w:fill="auto"/>
            <w:vAlign w:val="center"/>
          </w:tcPr>
          <w:p w:rsidR="0024092D" w:rsidRPr="009263D7" w:rsidRDefault="00CB4B9E" w:rsidP="000C132D">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对方与本机构的关系</w:t>
            </w:r>
          </w:p>
        </w:tc>
        <w:tc>
          <w:tcPr>
            <w:tcW w:w="5506" w:type="dxa"/>
            <w:gridSpan w:val="7"/>
            <w:tcBorders>
              <w:top w:val="single" w:sz="8" w:space="0" w:color="auto"/>
              <w:left w:val="single" w:sz="2" w:space="0" w:color="auto"/>
              <w:bottom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按原始币种填列</w:t>
            </w:r>
          </w:p>
        </w:tc>
      </w:tr>
      <w:tr w:rsidR="0024092D" w:rsidRPr="009263D7">
        <w:trPr>
          <w:trHeight w:val="675"/>
        </w:trPr>
        <w:tc>
          <w:tcPr>
            <w:tcW w:w="840" w:type="dxa"/>
            <w:vMerge/>
            <w:tcBorders>
              <w:left w:val="nil"/>
              <w:bottom w:val="nil"/>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80" w:type="dxa"/>
            <w:vMerge/>
            <w:tcBorders>
              <w:left w:val="single" w:sz="2" w:space="0" w:color="auto"/>
              <w:bottom w:val="nil"/>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20" w:type="dxa"/>
            <w:vMerge/>
            <w:tcBorders>
              <w:left w:val="single" w:sz="2" w:space="0" w:color="auto"/>
              <w:bottom w:val="nil"/>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60" w:type="dxa"/>
            <w:vMerge/>
            <w:tcBorders>
              <w:left w:val="single" w:sz="2" w:space="0" w:color="auto"/>
              <w:bottom w:val="nil"/>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880" w:type="dxa"/>
            <w:vMerge/>
            <w:tcBorders>
              <w:left w:val="single" w:sz="2" w:space="0" w:color="auto"/>
              <w:bottom w:val="nil"/>
              <w:right w:val="single" w:sz="2" w:space="0" w:color="auto"/>
            </w:tcBorders>
            <w:shd w:val="clear" w:color="auto" w:fill="auto"/>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60" w:type="dxa"/>
            <w:tcBorders>
              <w:top w:val="single" w:sz="2" w:space="0" w:color="auto"/>
              <w:left w:val="single" w:sz="2" w:space="0" w:color="auto"/>
              <w:bottom w:val="nil"/>
              <w:right w:val="single" w:sz="2" w:space="0" w:color="auto"/>
            </w:tcBorders>
            <w:shd w:val="clear" w:color="auto" w:fill="auto"/>
            <w:vAlign w:val="center"/>
          </w:tcPr>
          <w:p w:rsidR="0035038B"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w:t>
            </w:r>
          </w:p>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币种</w:t>
            </w:r>
          </w:p>
        </w:tc>
        <w:tc>
          <w:tcPr>
            <w:tcW w:w="666" w:type="dxa"/>
            <w:tcBorders>
              <w:top w:val="single" w:sz="2" w:space="0" w:color="auto"/>
              <w:left w:val="single" w:sz="2" w:space="0" w:color="auto"/>
              <w:bottom w:val="nil"/>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上月末余额</w:t>
            </w:r>
          </w:p>
        </w:tc>
        <w:tc>
          <w:tcPr>
            <w:tcW w:w="740" w:type="dxa"/>
            <w:tcBorders>
              <w:top w:val="single" w:sz="2" w:space="0" w:color="auto"/>
              <w:left w:val="single" w:sz="2" w:space="0" w:color="auto"/>
              <w:bottom w:val="nil"/>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本月末余额</w:t>
            </w:r>
          </w:p>
        </w:tc>
        <w:tc>
          <w:tcPr>
            <w:tcW w:w="880" w:type="dxa"/>
            <w:tcBorders>
              <w:top w:val="single" w:sz="2" w:space="0" w:color="auto"/>
              <w:left w:val="single" w:sz="2" w:space="0" w:color="auto"/>
              <w:bottom w:val="nil"/>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700" w:type="dxa"/>
            <w:tcBorders>
              <w:top w:val="single" w:sz="2" w:space="0" w:color="auto"/>
              <w:left w:val="single" w:sz="2" w:space="0" w:color="auto"/>
              <w:bottom w:val="nil"/>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c>
          <w:tcPr>
            <w:tcW w:w="940" w:type="dxa"/>
            <w:tcBorders>
              <w:top w:val="single" w:sz="2" w:space="0" w:color="auto"/>
              <w:left w:val="single" w:sz="2" w:space="0" w:color="auto"/>
              <w:bottom w:val="nil"/>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本月末外方表决权比例（</w:t>
            </w:r>
            <w:r w:rsidRPr="00CB4B9E">
              <w:rPr>
                <w:rFonts w:ascii="宋体" w:hAnsi="宋体" w:cs="宋体"/>
                <w:color w:val="000000" w:themeColor="text1"/>
                <w:kern w:val="0"/>
                <w:sz w:val="18"/>
                <w:szCs w:val="18"/>
              </w:rPr>
              <w:t>%）</w:t>
            </w:r>
          </w:p>
        </w:tc>
        <w:tc>
          <w:tcPr>
            <w:tcW w:w="820" w:type="dxa"/>
            <w:tcBorders>
              <w:top w:val="single" w:sz="2" w:space="0" w:color="auto"/>
              <w:left w:val="single" w:sz="2" w:space="0" w:color="auto"/>
              <w:bottom w:val="nil"/>
              <w:right w:val="nil"/>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本月对外方的股息</w:t>
            </w:r>
            <w:r w:rsidRPr="00CB4B9E">
              <w:rPr>
                <w:rFonts w:ascii="宋体" w:hAnsi="宋体" w:cs="宋体"/>
                <w:color w:val="000000" w:themeColor="text1"/>
                <w:kern w:val="0"/>
                <w:sz w:val="18"/>
                <w:szCs w:val="18"/>
              </w:rPr>
              <w:t>/红利/利润支出</w:t>
            </w:r>
          </w:p>
        </w:tc>
      </w:tr>
      <w:tr w:rsidR="0024092D" w:rsidRPr="009263D7">
        <w:trPr>
          <w:trHeight w:val="285"/>
        </w:trPr>
        <w:tc>
          <w:tcPr>
            <w:tcW w:w="840" w:type="dxa"/>
            <w:tcBorders>
              <w:top w:val="nil"/>
              <w:left w:val="nil"/>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D0701</w:t>
            </w:r>
          </w:p>
        </w:tc>
        <w:tc>
          <w:tcPr>
            <w:tcW w:w="78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D0702</w:t>
            </w:r>
          </w:p>
        </w:tc>
        <w:tc>
          <w:tcPr>
            <w:tcW w:w="72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D0703</w:t>
            </w:r>
          </w:p>
        </w:tc>
        <w:tc>
          <w:tcPr>
            <w:tcW w:w="76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D0704</w:t>
            </w:r>
          </w:p>
        </w:tc>
        <w:tc>
          <w:tcPr>
            <w:tcW w:w="88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D0705</w:t>
            </w:r>
          </w:p>
        </w:tc>
        <w:tc>
          <w:tcPr>
            <w:tcW w:w="76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D0706</w:t>
            </w:r>
          </w:p>
        </w:tc>
        <w:tc>
          <w:tcPr>
            <w:tcW w:w="666"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D0707</w:t>
            </w:r>
          </w:p>
        </w:tc>
        <w:tc>
          <w:tcPr>
            <w:tcW w:w="74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D0708</w:t>
            </w:r>
          </w:p>
        </w:tc>
        <w:tc>
          <w:tcPr>
            <w:tcW w:w="88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D0709</w:t>
            </w:r>
          </w:p>
        </w:tc>
        <w:tc>
          <w:tcPr>
            <w:tcW w:w="70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D0710</w:t>
            </w:r>
          </w:p>
        </w:tc>
        <w:tc>
          <w:tcPr>
            <w:tcW w:w="940" w:type="dxa"/>
            <w:tcBorders>
              <w:top w:val="nil"/>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D0711</w:t>
            </w:r>
          </w:p>
        </w:tc>
        <w:tc>
          <w:tcPr>
            <w:tcW w:w="820" w:type="dxa"/>
            <w:tcBorders>
              <w:top w:val="nil"/>
              <w:left w:val="single" w:sz="2" w:space="0" w:color="auto"/>
              <w:bottom w:val="single" w:sz="2" w:space="0" w:color="auto"/>
              <w:right w:val="nil"/>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D0712</w:t>
            </w:r>
          </w:p>
        </w:tc>
      </w:tr>
      <w:tr w:rsidR="0024092D" w:rsidRPr="009263D7">
        <w:trPr>
          <w:trHeight w:val="285"/>
        </w:trPr>
        <w:tc>
          <w:tcPr>
            <w:tcW w:w="840" w:type="dxa"/>
            <w:tcBorders>
              <w:top w:val="single" w:sz="2" w:space="0" w:color="auto"/>
              <w:left w:val="nil"/>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78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72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76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88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76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己</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74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88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70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940" w:type="dxa"/>
            <w:tcBorders>
              <w:top w:val="single" w:sz="2" w:space="0" w:color="auto"/>
              <w:left w:val="single" w:sz="2" w:space="0" w:color="auto"/>
              <w:bottom w:val="single" w:sz="2" w:space="0" w:color="auto"/>
              <w:right w:val="single" w:sz="2" w:space="0" w:color="auto"/>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820" w:type="dxa"/>
            <w:tcBorders>
              <w:top w:val="single" w:sz="2" w:space="0" w:color="auto"/>
              <w:left w:val="single" w:sz="2" w:space="0" w:color="auto"/>
              <w:bottom w:val="single" w:sz="2" w:space="0" w:color="auto"/>
              <w:right w:val="nil"/>
            </w:tcBorders>
            <w:shd w:val="clear" w:color="auto" w:fill="auto"/>
            <w:vAlign w:val="center"/>
          </w:tcPr>
          <w:p w:rsidR="0024092D" w:rsidRPr="009263D7" w:rsidRDefault="00CB4B9E" w:rsidP="000C132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r>
      <w:tr w:rsidR="0024092D" w:rsidRPr="009263D7">
        <w:trPr>
          <w:trHeight w:val="285"/>
        </w:trPr>
        <w:tc>
          <w:tcPr>
            <w:tcW w:w="84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8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2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666"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4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0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94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20" w:type="dxa"/>
            <w:tcBorders>
              <w:top w:val="single" w:sz="2" w:space="0" w:color="auto"/>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r>
      <w:tr w:rsidR="0024092D" w:rsidRPr="009263D7">
        <w:trPr>
          <w:trHeight w:val="285"/>
        </w:trPr>
        <w:tc>
          <w:tcPr>
            <w:tcW w:w="8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666"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0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9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r>
      <w:tr w:rsidR="0024092D" w:rsidRPr="009263D7">
        <w:trPr>
          <w:trHeight w:val="285"/>
        </w:trPr>
        <w:tc>
          <w:tcPr>
            <w:tcW w:w="8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p w:rsidR="0024092D" w:rsidRPr="009263D7" w:rsidRDefault="0024092D" w:rsidP="000C132D">
            <w:pPr>
              <w:keepNext/>
              <w:widowControl/>
              <w:spacing w:line="320" w:lineRule="exact"/>
              <w:jc w:val="center"/>
              <w:outlineLvl w:val="0"/>
              <w:rPr>
                <w:rFonts w:ascii="宋体" w:hAnsi="宋体" w:cs="宋体"/>
                <w:color w:val="000000" w:themeColor="text1"/>
                <w:kern w:val="0"/>
                <w:sz w:val="18"/>
                <w:szCs w:val="18"/>
              </w:rPr>
            </w:pPr>
          </w:p>
        </w:tc>
        <w:tc>
          <w:tcPr>
            <w:tcW w:w="7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666"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0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9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r>
      <w:tr w:rsidR="0024092D" w:rsidRPr="009263D7">
        <w:trPr>
          <w:trHeight w:val="285"/>
        </w:trPr>
        <w:tc>
          <w:tcPr>
            <w:tcW w:w="8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666"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0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9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r>
      <w:tr w:rsidR="0024092D" w:rsidRPr="009263D7">
        <w:trPr>
          <w:trHeight w:val="285"/>
        </w:trPr>
        <w:tc>
          <w:tcPr>
            <w:tcW w:w="8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6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666"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8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70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94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c>
          <w:tcPr>
            <w:tcW w:w="820" w:type="dxa"/>
            <w:tcBorders>
              <w:top w:val="nil"/>
              <w:left w:val="nil"/>
              <w:bottom w:val="nil"/>
              <w:right w:val="nil"/>
            </w:tcBorders>
            <w:shd w:val="clear" w:color="auto" w:fill="auto"/>
            <w:noWrap/>
            <w:vAlign w:val="center"/>
          </w:tcPr>
          <w:p w:rsidR="0024092D" w:rsidRPr="009263D7" w:rsidRDefault="0024092D" w:rsidP="000C132D">
            <w:pPr>
              <w:keepNext/>
              <w:widowControl/>
              <w:spacing w:line="320" w:lineRule="exact"/>
              <w:jc w:val="left"/>
              <w:outlineLvl w:val="0"/>
              <w:rPr>
                <w:rFonts w:ascii="宋体" w:hAnsi="宋体" w:cs="宋体"/>
                <w:color w:val="000000" w:themeColor="text1"/>
                <w:kern w:val="0"/>
                <w:sz w:val="24"/>
              </w:rPr>
            </w:pPr>
          </w:p>
        </w:tc>
      </w:tr>
      <w:tr w:rsidR="0024092D" w:rsidRPr="009263D7">
        <w:trPr>
          <w:trHeight w:val="300"/>
        </w:trPr>
        <w:tc>
          <w:tcPr>
            <w:tcW w:w="84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8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2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6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88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6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666"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4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88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70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94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820" w:type="dxa"/>
            <w:tcBorders>
              <w:top w:val="nil"/>
              <w:left w:val="nil"/>
              <w:bottom w:val="single" w:sz="8" w:space="0" w:color="auto"/>
              <w:right w:val="nil"/>
            </w:tcBorders>
            <w:shd w:val="clear" w:color="auto" w:fill="auto"/>
            <w:noWrap/>
            <w:vAlign w:val="center"/>
          </w:tcPr>
          <w:p w:rsidR="0024092D" w:rsidRPr="009263D7" w:rsidRDefault="00CB4B9E" w:rsidP="000C132D">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24092D" w:rsidRPr="009263D7" w:rsidRDefault="00CB4B9E" w:rsidP="0024092D">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E63162" w:rsidRPr="009263D7" w:rsidRDefault="00CB4B9E" w:rsidP="0098239D">
      <w:pPr>
        <w:spacing w:line="28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r w:rsidRPr="00CB4B9E">
        <w:rPr>
          <w:rFonts w:ascii="宋体"/>
          <w:color w:val="000000" w:themeColor="text1"/>
          <w:sz w:val="18"/>
        </w:rPr>
        <w:t xml:space="preserve">      </w:t>
      </w:r>
    </w:p>
    <w:p w:rsidR="0024092D" w:rsidRPr="009263D7" w:rsidRDefault="00CB4B9E" w:rsidP="0024092D">
      <w:pPr>
        <w:spacing w:line="280" w:lineRule="exact"/>
        <w:ind w:leftChars="179" w:left="900" w:hangingChars="291" w:hanging="524"/>
        <w:rPr>
          <w:rFonts w:ascii="宋体"/>
          <w:color w:val="000000" w:themeColor="text1"/>
          <w:sz w:val="18"/>
        </w:rPr>
      </w:pPr>
      <w:r w:rsidRPr="00CB4B9E">
        <w:rPr>
          <w:rFonts w:ascii="宋体"/>
          <w:color w:val="000000" w:themeColor="text1"/>
          <w:sz w:val="18"/>
        </w:rPr>
        <w:br w:type="page"/>
      </w:r>
    </w:p>
    <w:p w:rsidR="00E63162" w:rsidRPr="009263D7" w:rsidRDefault="00E63162" w:rsidP="0024092D">
      <w:pPr>
        <w:spacing w:line="280" w:lineRule="exact"/>
        <w:ind w:leftChars="179" w:left="900" w:hangingChars="291" w:hanging="524"/>
        <w:rPr>
          <w:rFonts w:ascii="宋体"/>
          <w:color w:val="000000" w:themeColor="text1"/>
          <w:sz w:val="18"/>
        </w:rPr>
      </w:pPr>
    </w:p>
    <w:p w:rsidR="00E63162" w:rsidRPr="009263D7" w:rsidRDefault="00CB4B9E" w:rsidP="00E63162">
      <w:pPr>
        <w:pStyle w:val="3"/>
        <w:jc w:val="center"/>
        <w:rPr>
          <w:rFonts w:ascii="宋体" w:hAnsi="宋体" w:cs="宋体"/>
          <w:b w:val="0"/>
          <w:color w:val="000000" w:themeColor="text1"/>
          <w:kern w:val="0"/>
          <w:sz w:val="28"/>
          <w:szCs w:val="28"/>
        </w:rPr>
      </w:pPr>
      <w:bookmarkStart w:id="35" w:name="_Toc452017145"/>
      <w:r w:rsidRPr="00CB4B9E">
        <w:rPr>
          <w:rFonts w:ascii="宋体" w:hAnsi="宋体" w:cs="宋体" w:hint="eastAsia"/>
          <w:b w:val="0"/>
          <w:color w:val="000000" w:themeColor="text1"/>
          <w:kern w:val="0"/>
          <w:sz w:val="28"/>
          <w:szCs w:val="28"/>
        </w:rPr>
        <w:t>应付款（不含应付利息）（负债）</w:t>
      </w:r>
      <w:bookmarkEnd w:id="35"/>
    </w:p>
    <w:p w:rsidR="00E63162" w:rsidRPr="009263D7" w:rsidRDefault="00CB4B9E" w:rsidP="00E63162">
      <w:pPr>
        <w:spacing w:line="240" w:lineRule="exact"/>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D08表</w:t>
      </w:r>
    </w:p>
    <w:p w:rsidR="00E63162" w:rsidRPr="009263D7" w:rsidRDefault="00CB4B9E" w:rsidP="00E63162">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E63162" w:rsidRPr="009263D7" w:rsidRDefault="00CB4B9E" w:rsidP="00E63162">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E63162" w:rsidRPr="009263D7" w:rsidRDefault="00CB4B9E" w:rsidP="00E6316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E63162" w:rsidRPr="009263D7" w:rsidRDefault="00CB4B9E" w:rsidP="00E63162">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E63162" w:rsidRPr="009263D7" w:rsidRDefault="00CB4B9E" w:rsidP="00E63162">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p>
    <w:p w:rsidR="00E63162" w:rsidRPr="009263D7" w:rsidRDefault="00CB4B9E" w:rsidP="00E63162">
      <w:pPr>
        <w:tabs>
          <w:tab w:val="left" w:pos="6930"/>
        </w:tabs>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rFonts w:ascii="宋体" w:hAnsi="宋体" w:cs="宋体"/>
          <w:color w:val="000000" w:themeColor="text1"/>
          <w:kern w:val="0"/>
          <w:sz w:val="22"/>
          <w:szCs w:val="22"/>
        </w:rPr>
        <w:t xml:space="preserve">                                   </w:t>
      </w:r>
    </w:p>
    <w:p w:rsidR="00E63162" w:rsidRPr="009263D7" w:rsidRDefault="00CB4B9E" w:rsidP="00E63162">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5000" w:type="pct"/>
        <w:tblLayout w:type="fixed"/>
        <w:tblLook w:val="04A0"/>
      </w:tblPr>
      <w:tblGrid>
        <w:gridCol w:w="970"/>
        <w:gridCol w:w="894"/>
        <w:gridCol w:w="938"/>
        <w:gridCol w:w="749"/>
        <w:gridCol w:w="102"/>
        <w:gridCol w:w="135"/>
        <w:gridCol w:w="857"/>
        <w:gridCol w:w="1132"/>
        <w:gridCol w:w="994"/>
        <w:gridCol w:w="1042"/>
        <w:gridCol w:w="1023"/>
        <w:gridCol w:w="793"/>
      </w:tblGrid>
      <w:tr w:rsidR="000E1F53" w:rsidRPr="009263D7">
        <w:trPr>
          <w:trHeight w:val="550"/>
        </w:trPr>
        <w:tc>
          <w:tcPr>
            <w:tcW w:w="504" w:type="pct"/>
            <w:vMerge w:val="restart"/>
            <w:tcBorders>
              <w:top w:val="single" w:sz="8" w:space="0" w:color="auto"/>
              <w:left w:val="nil"/>
              <w:right w:val="single" w:sz="2" w:space="0" w:color="auto"/>
            </w:tcBorders>
            <w:shd w:val="clear" w:color="auto" w:fill="auto"/>
            <w:vAlign w:val="center"/>
          </w:tcPr>
          <w:p w:rsidR="000E1F53" w:rsidRPr="009263D7"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对方国家</w:t>
            </w:r>
            <w:r w:rsidRPr="00CB4B9E">
              <w:rPr>
                <w:rFonts w:ascii="宋体" w:hAnsi="宋体" w:cs="宋体"/>
                <w:color w:val="000000" w:themeColor="text1"/>
                <w:kern w:val="0"/>
                <w:sz w:val="18"/>
                <w:szCs w:val="18"/>
              </w:rPr>
              <w:t>/地区</w:t>
            </w:r>
          </w:p>
        </w:tc>
        <w:tc>
          <w:tcPr>
            <w:tcW w:w="464" w:type="pct"/>
            <w:vMerge w:val="restart"/>
            <w:tcBorders>
              <w:top w:val="single" w:sz="8" w:space="0" w:color="auto"/>
              <w:left w:val="single" w:sz="2" w:space="0" w:color="auto"/>
              <w:right w:val="single" w:sz="2" w:space="0" w:color="auto"/>
            </w:tcBorders>
            <w:shd w:val="clear" w:color="auto" w:fill="auto"/>
            <w:vAlign w:val="center"/>
          </w:tcPr>
          <w:p w:rsidR="0035038B"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w:t>
            </w:r>
          </w:p>
          <w:p w:rsidR="000E1F53" w:rsidRPr="009263D7"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部门</w:t>
            </w:r>
          </w:p>
        </w:tc>
        <w:tc>
          <w:tcPr>
            <w:tcW w:w="487" w:type="pct"/>
            <w:vMerge w:val="restart"/>
            <w:tcBorders>
              <w:top w:val="single" w:sz="8" w:space="0" w:color="auto"/>
              <w:left w:val="single" w:sz="2" w:space="0" w:color="auto"/>
              <w:right w:val="single" w:sz="2" w:space="0" w:color="auto"/>
            </w:tcBorders>
            <w:shd w:val="clear" w:color="auto" w:fill="auto"/>
            <w:vAlign w:val="center"/>
          </w:tcPr>
          <w:p w:rsidR="000E1F53" w:rsidRPr="009263D7" w:rsidRDefault="00CB4B9E" w:rsidP="00675CD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对方与本机构的关系</w:t>
            </w:r>
          </w:p>
        </w:tc>
        <w:tc>
          <w:tcPr>
            <w:tcW w:w="442" w:type="pct"/>
            <w:gridSpan w:val="2"/>
            <w:vMerge w:val="restart"/>
            <w:tcBorders>
              <w:top w:val="single" w:sz="8" w:space="0" w:color="auto"/>
              <w:left w:val="single" w:sz="2" w:space="0" w:color="auto"/>
              <w:right w:val="single" w:sz="2" w:space="0" w:color="auto"/>
            </w:tcBorders>
            <w:shd w:val="clear" w:color="auto" w:fill="auto"/>
            <w:vAlign w:val="center"/>
          </w:tcPr>
          <w:p w:rsidR="0035038B" w:rsidRDefault="00CB4B9E" w:rsidP="00BE3799">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w:t>
            </w:r>
          </w:p>
          <w:p w:rsidR="000E1F53" w:rsidRPr="009263D7" w:rsidRDefault="00CB4B9E" w:rsidP="00BE3799">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期限</w:t>
            </w:r>
          </w:p>
        </w:tc>
        <w:tc>
          <w:tcPr>
            <w:tcW w:w="3103" w:type="pct"/>
            <w:gridSpan w:val="7"/>
            <w:tcBorders>
              <w:top w:val="single" w:sz="8" w:space="0" w:color="auto"/>
              <w:left w:val="single" w:sz="2" w:space="0" w:color="auto"/>
              <w:bottom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按原始币种填列</w:t>
            </w:r>
          </w:p>
        </w:tc>
      </w:tr>
      <w:tr w:rsidR="00B55B93" w:rsidRPr="009263D7">
        <w:trPr>
          <w:trHeight w:val="540"/>
        </w:trPr>
        <w:tc>
          <w:tcPr>
            <w:tcW w:w="504" w:type="pct"/>
            <w:vMerge/>
            <w:tcBorders>
              <w:left w:val="nil"/>
              <w:right w:val="single" w:sz="2" w:space="0" w:color="auto"/>
            </w:tcBorders>
            <w:shd w:val="clear" w:color="auto" w:fill="auto"/>
            <w:vAlign w:val="center"/>
          </w:tcPr>
          <w:p w:rsidR="00B55B93" w:rsidRPr="009263D7" w:rsidRDefault="00B55B93" w:rsidP="00675CD0">
            <w:pPr>
              <w:keepNext/>
              <w:widowControl/>
              <w:spacing w:line="320" w:lineRule="exact"/>
              <w:jc w:val="center"/>
              <w:outlineLvl w:val="0"/>
              <w:rPr>
                <w:rFonts w:ascii="宋体" w:hAnsi="宋体" w:cs="宋体"/>
                <w:color w:val="000000" w:themeColor="text1"/>
                <w:kern w:val="0"/>
                <w:sz w:val="18"/>
                <w:szCs w:val="18"/>
              </w:rPr>
            </w:pPr>
          </w:p>
        </w:tc>
        <w:tc>
          <w:tcPr>
            <w:tcW w:w="464" w:type="pct"/>
            <w:vMerge/>
            <w:tcBorders>
              <w:left w:val="single" w:sz="2" w:space="0" w:color="auto"/>
              <w:right w:val="single" w:sz="2" w:space="0" w:color="auto"/>
            </w:tcBorders>
            <w:shd w:val="clear" w:color="auto" w:fill="auto"/>
            <w:vAlign w:val="center"/>
          </w:tcPr>
          <w:p w:rsidR="00B55B93" w:rsidRPr="009263D7" w:rsidRDefault="00B55B93" w:rsidP="00675CD0">
            <w:pPr>
              <w:keepNext/>
              <w:widowControl/>
              <w:spacing w:line="320" w:lineRule="exact"/>
              <w:jc w:val="center"/>
              <w:outlineLvl w:val="0"/>
              <w:rPr>
                <w:rFonts w:ascii="宋体" w:hAnsi="宋体" w:cs="宋体"/>
                <w:color w:val="000000" w:themeColor="text1"/>
                <w:kern w:val="0"/>
                <w:sz w:val="18"/>
                <w:szCs w:val="18"/>
              </w:rPr>
            </w:pPr>
          </w:p>
        </w:tc>
        <w:tc>
          <w:tcPr>
            <w:tcW w:w="487" w:type="pct"/>
            <w:vMerge/>
            <w:tcBorders>
              <w:left w:val="single" w:sz="2" w:space="0" w:color="auto"/>
              <w:right w:val="single" w:sz="2" w:space="0" w:color="auto"/>
            </w:tcBorders>
            <w:shd w:val="clear" w:color="auto" w:fill="auto"/>
            <w:vAlign w:val="center"/>
          </w:tcPr>
          <w:p w:rsidR="00B55B93" w:rsidRPr="009263D7" w:rsidRDefault="00B55B93" w:rsidP="00675CD0">
            <w:pPr>
              <w:keepNext/>
              <w:widowControl/>
              <w:spacing w:line="320" w:lineRule="exact"/>
              <w:jc w:val="center"/>
              <w:outlineLvl w:val="0"/>
              <w:rPr>
                <w:rFonts w:ascii="宋体" w:hAnsi="宋体" w:cs="宋体"/>
                <w:color w:val="000000" w:themeColor="text1"/>
                <w:kern w:val="0"/>
                <w:sz w:val="18"/>
                <w:szCs w:val="18"/>
              </w:rPr>
            </w:pPr>
          </w:p>
        </w:tc>
        <w:tc>
          <w:tcPr>
            <w:tcW w:w="442" w:type="pct"/>
            <w:gridSpan w:val="2"/>
            <w:vMerge/>
            <w:tcBorders>
              <w:left w:val="single" w:sz="2" w:space="0" w:color="auto"/>
              <w:right w:val="single" w:sz="2" w:space="0" w:color="auto"/>
            </w:tcBorders>
            <w:shd w:val="clear" w:color="auto" w:fill="auto"/>
            <w:vAlign w:val="center"/>
          </w:tcPr>
          <w:p w:rsidR="00B55B93" w:rsidRPr="009263D7" w:rsidRDefault="00B55B93" w:rsidP="00675CD0">
            <w:pPr>
              <w:keepNext/>
              <w:widowControl/>
              <w:spacing w:line="320" w:lineRule="exact"/>
              <w:jc w:val="center"/>
              <w:outlineLvl w:val="0"/>
              <w:rPr>
                <w:rFonts w:ascii="宋体" w:hAnsi="宋体" w:cs="宋体"/>
                <w:color w:val="000000" w:themeColor="text1"/>
                <w:kern w:val="0"/>
                <w:sz w:val="18"/>
                <w:szCs w:val="18"/>
              </w:rPr>
            </w:pPr>
          </w:p>
        </w:tc>
        <w:tc>
          <w:tcPr>
            <w:tcW w:w="515" w:type="pct"/>
            <w:gridSpan w:val="2"/>
            <w:vMerge w:val="restart"/>
            <w:tcBorders>
              <w:top w:val="single" w:sz="2" w:space="0" w:color="auto"/>
              <w:left w:val="single" w:sz="2" w:space="0" w:color="auto"/>
              <w:right w:val="single" w:sz="2" w:space="0" w:color="auto"/>
            </w:tcBorders>
            <w:shd w:val="clear" w:color="auto" w:fill="auto"/>
            <w:vAlign w:val="center"/>
          </w:tcPr>
          <w:p w:rsidR="00B55B9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588" w:type="pct"/>
            <w:vMerge w:val="restart"/>
            <w:tcBorders>
              <w:top w:val="single" w:sz="2" w:space="0" w:color="auto"/>
              <w:left w:val="single" w:sz="2" w:space="0" w:color="auto"/>
              <w:right w:val="single" w:sz="2" w:space="0" w:color="auto"/>
            </w:tcBorders>
            <w:shd w:val="clear" w:color="auto" w:fill="auto"/>
            <w:vAlign w:val="center"/>
          </w:tcPr>
          <w:p w:rsidR="00B55B9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上月末余额</w:t>
            </w:r>
          </w:p>
        </w:tc>
        <w:tc>
          <w:tcPr>
            <w:tcW w:w="1057" w:type="pct"/>
            <w:gridSpan w:val="2"/>
            <w:tcBorders>
              <w:top w:val="single" w:sz="2" w:space="0" w:color="auto"/>
              <w:left w:val="single" w:sz="2" w:space="0" w:color="auto"/>
              <w:right w:val="single" w:sz="2" w:space="0" w:color="auto"/>
            </w:tcBorders>
            <w:shd w:val="clear" w:color="auto" w:fill="auto"/>
            <w:vAlign w:val="center"/>
          </w:tcPr>
          <w:p w:rsidR="00B55B9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本月末余额</w:t>
            </w:r>
          </w:p>
        </w:tc>
        <w:tc>
          <w:tcPr>
            <w:tcW w:w="531" w:type="pct"/>
            <w:vMerge w:val="restart"/>
            <w:tcBorders>
              <w:top w:val="single" w:sz="2" w:space="0" w:color="auto"/>
              <w:left w:val="single" w:sz="2" w:space="0" w:color="auto"/>
              <w:right w:val="single" w:sz="2" w:space="0" w:color="auto"/>
            </w:tcBorders>
            <w:shd w:val="clear" w:color="auto" w:fill="auto"/>
            <w:vAlign w:val="center"/>
          </w:tcPr>
          <w:p w:rsidR="00B55B9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412" w:type="pct"/>
            <w:vMerge w:val="restart"/>
            <w:tcBorders>
              <w:top w:val="single" w:sz="2" w:space="0" w:color="auto"/>
              <w:left w:val="single" w:sz="2" w:space="0" w:color="auto"/>
              <w:right w:val="nil"/>
            </w:tcBorders>
            <w:shd w:val="clear" w:color="auto" w:fill="auto"/>
            <w:vAlign w:val="center"/>
          </w:tcPr>
          <w:p w:rsidR="00B55B9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r>
      <w:tr w:rsidR="000E1F53" w:rsidRPr="009263D7" w:rsidTr="00780CDC">
        <w:trPr>
          <w:trHeight w:val="381"/>
        </w:trPr>
        <w:tc>
          <w:tcPr>
            <w:tcW w:w="504" w:type="pct"/>
            <w:vMerge/>
            <w:tcBorders>
              <w:left w:val="nil"/>
              <w:right w:val="single" w:sz="2" w:space="0" w:color="auto"/>
            </w:tcBorders>
            <w:shd w:val="clear" w:color="auto" w:fill="auto"/>
            <w:vAlign w:val="center"/>
          </w:tcPr>
          <w:p w:rsidR="000E1F53" w:rsidRPr="009263D7" w:rsidRDefault="000E1F53" w:rsidP="00675CD0">
            <w:pPr>
              <w:keepNext/>
              <w:widowControl/>
              <w:spacing w:line="320" w:lineRule="exact"/>
              <w:jc w:val="center"/>
              <w:outlineLvl w:val="0"/>
              <w:rPr>
                <w:rFonts w:ascii="宋体" w:hAnsi="宋体" w:cs="宋体"/>
                <w:color w:val="000000" w:themeColor="text1"/>
                <w:kern w:val="0"/>
                <w:sz w:val="18"/>
                <w:szCs w:val="18"/>
              </w:rPr>
            </w:pPr>
          </w:p>
        </w:tc>
        <w:tc>
          <w:tcPr>
            <w:tcW w:w="464" w:type="pct"/>
            <w:vMerge/>
            <w:tcBorders>
              <w:left w:val="single" w:sz="2" w:space="0" w:color="auto"/>
              <w:right w:val="single" w:sz="2" w:space="0" w:color="auto"/>
            </w:tcBorders>
            <w:shd w:val="clear" w:color="auto" w:fill="auto"/>
            <w:vAlign w:val="center"/>
          </w:tcPr>
          <w:p w:rsidR="000E1F53" w:rsidRPr="009263D7" w:rsidRDefault="000E1F53" w:rsidP="00675CD0">
            <w:pPr>
              <w:keepNext/>
              <w:widowControl/>
              <w:spacing w:line="320" w:lineRule="exact"/>
              <w:jc w:val="center"/>
              <w:outlineLvl w:val="0"/>
              <w:rPr>
                <w:rFonts w:ascii="宋体" w:hAnsi="宋体" w:cs="宋体"/>
                <w:color w:val="000000" w:themeColor="text1"/>
                <w:kern w:val="0"/>
                <w:sz w:val="18"/>
                <w:szCs w:val="18"/>
              </w:rPr>
            </w:pPr>
          </w:p>
        </w:tc>
        <w:tc>
          <w:tcPr>
            <w:tcW w:w="487" w:type="pct"/>
            <w:vMerge/>
            <w:tcBorders>
              <w:left w:val="single" w:sz="2" w:space="0" w:color="auto"/>
              <w:right w:val="single" w:sz="2" w:space="0" w:color="auto"/>
            </w:tcBorders>
            <w:shd w:val="clear" w:color="auto" w:fill="auto"/>
            <w:vAlign w:val="center"/>
          </w:tcPr>
          <w:p w:rsidR="000E1F53" w:rsidRPr="009263D7" w:rsidRDefault="000E1F53" w:rsidP="00675CD0">
            <w:pPr>
              <w:keepNext/>
              <w:widowControl/>
              <w:spacing w:line="320" w:lineRule="exact"/>
              <w:jc w:val="center"/>
              <w:outlineLvl w:val="0"/>
              <w:rPr>
                <w:rFonts w:ascii="宋体" w:hAnsi="宋体" w:cs="宋体"/>
                <w:color w:val="000000" w:themeColor="text1"/>
                <w:kern w:val="0"/>
                <w:sz w:val="18"/>
                <w:szCs w:val="18"/>
              </w:rPr>
            </w:pPr>
          </w:p>
        </w:tc>
        <w:tc>
          <w:tcPr>
            <w:tcW w:w="442" w:type="pct"/>
            <w:gridSpan w:val="2"/>
            <w:vMerge/>
            <w:tcBorders>
              <w:left w:val="single" w:sz="2" w:space="0" w:color="auto"/>
              <w:right w:val="single" w:sz="2" w:space="0" w:color="auto"/>
            </w:tcBorders>
            <w:shd w:val="clear" w:color="auto" w:fill="auto"/>
            <w:vAlign w:val="center"/>
          </w:tcPr>
          <w:p w:rsidR="000E1F53" w:rsidRPr="009263D7" w:rsidRDefault="000E1F53" w:rsidP="00675CD0">
            <w:pPr>
              <w:keepNext/>
              <w:widowControl/>
              <w:spacing w:line="320" w:lineRule="exact"/>
              <w:jc w:val="center"/>
              <w:outlineLvl w:val="0"/>
              <w:rPr>
                <w:rFonts w:ascii="宋体" w:hAnsi="宋体" w:cs="宋体"/>
                <w:color w:val="000000" w:themeColor="text1"/>
                <w:kern w:val="0"/>
                <w:sz w:val="18"/>
                <w:szCs w:val="18"/>
              </w:rPr>
            </w:pPr>
          </w:p>
        </w:tc>
        <w:tc>
          <w:tcPr>
            <w:tcW w:w="515" w:type="pct"/>
            <w:gridSpan w:val="2"/>
            <w:vMerge/>
            <w:tcBorders>
              <w:left w:val="single" w:sz="2" w:space="0" w:color="auto"/>
              <w:right w:val="single" w:sz="2" w:space="0" w:color="auto"/>
            </w:tcBorders>
            <w:shd w:val="clear" w:color="auto" w:fill="auto"/>
            <w:vAlign w:val="center"/>
          </w:tcPr>
          <w:p w:rsidR="000E1F53" w:rsidRPr="009263D7" w:rsidRDefault="000E1F53" w:rsidP="00675CD0">
            <w:pPr>
              <w:keepNext/>
              <w:widowControl/>
              <w:spacing w:line="320" w:lineRule="exact"/>
              <w:jc w:val="center"/>
              <w:outlineLvl w:val="0"/>
              <w:rPr>
                <w:rFonts w:ascii="宋体" w:hAnsi="宋体" w:cs="宋体"/>
                <w:color w:val="000000" w:themeColor="text1"/>
                <w:kern w:val="0"/>
                <w:sz w:val="18"/>
                <w:szCs w:val="18"/>
              </w:rPr>
            </w:pPr>
          </w:p>
        </w:tc>
        <w:tc>
          <w:tcPr>
            <w:tcW w:w="588" w:type="pct"/>
            <w:vMerge/>
            <w:tcBorders>
              <w:left w:val="single" w:sz="2" w:space="0" w:color="auto"/>
              <w:right w:val="single" w:sz="2" w:space="0" w:color="auto"/>
            </w:tcBorders>
            <w:shd w:val="clear" w:color="auto" w:fill="auto"/>
            <w:vAlign w:val="center"/>
          </w:tcPr>
          <w:p w:rsidR="000E1F53" w:rsidRPr="009263D7" w:rsidRDefault="000E1F53" w:rsidP="00675CD0">
            <w:pPr>
              <w:keepNext/>
              <w:widowControl/>
              <w:spacing w:line="320" w:lineRule="exact"/>
              <w:jc w:val="center"/>
              <w:outlineLvl w:val="0"/>
              <w:rPr>
                <w:rFonts w:ascii="宋体" w:hAnsi="宋体" w:cs="宋体"/>
                <w:color w:val="000000" w:themeColor="text1"/>
                <w:kern w:val="0"/>
                <w:sz w:val="18"/>
                <w:szCs w:val="18"/>
              </w:rPr>
            </w:pPr>
          </w:p>
        </w:tc>
        <w:tc>
          <w:tcPr>
            <w:tcW w:w="516" w:type="pct"/>
            <w:tcBorders>
              <w:left w:val="single" w:sz="2" w:space="0" w:color="auto"/>
              <w:right w:val="single" w:sz="2" w:space="0" w:color="auto"/>
            </w:tcBorders>
            <w:shd w:val="clear" w:color="auto" w:fill="auto"/>
            <w:vAlign w:val="center"/>
          </w:tcPr>
          <w:p w:rsidR="000E1F53" w:rsidRPr="009263D7" w:rsidRDefault="000E1F53" w:rsidP="00675CD0">
            <w:pPr>
              <w:keepNext/>
              <w:spacing w:line="320" w:lineRule="exact"/>
              <w:jc w:val="center"/>
              <w:outlineLvl w:val="0"/>
              <w:rPr>
                <w:rFonts w:ascii="宋体" w:hAnsi="宋体" w:cs="宋体"/>
                <w:color w:val="000000" w:themeColor="text1"/>
                <w:kern w:val="0"/>
                <w:sz w:val="18"/>
                <w:szCs w:val="18"/>
              </w:rPr>
            </w:pPr>
          </w:p>
        </w:tc>
        <w:tc>
          <w:tcPr>
            <w:tcW w:w="541" w:type="pct"/>
            <w:tcBorders>
              <w:top w:val="single" w:sz="2" w:space="0" w:color="auto"/>
              <w:left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531" w:type="pct"/>
            <w:vMerge/>
            <w:tcBorders>
              <w:left w:val="single" w:sz="2" w:space="0" w:color="auto"/>
              <w:right w:val="single" w:sz="2" w:space="0" w:color="auto"/>
            </w:tcBorders>
            <w:shd w:val="clear" w:color="auto" w:fill="auto"/>
            <w:vAlign w:val="center"/>
          </w:tcPr>
          <w:p w:rsidR="000E1F53" w:rsidRPr="009263D7" w:rsidRDefault="000E1F53" w:rsidP="00675CD0">
            <w:pPr>
              <w:keepNext/>
              <w:widowControl/>
              <w:spacing w:line="320" w:lineRule="exact"/>
              <w:jc w:val="center"/>
              <w:outlineLvl w:val="0"/>
              <w:rPr>
                <w:rFonts w:ascii="宋体" w:hAnsi="宋体" w:cs="宋体"/>
                <w:color w:val="000000" w:themeColor="text1"/>
                <w:kern w:val="0"/>
                <w:sz w:val="18"/>
                <w:szCs w:val="18"/>
              </w:rPr>
            </w:pPr>
          </w:p>
        </w:tc>
        <w:tc>
          <w:tcPr>
            <w:tcW w:w="412" w:type="pct"/>
            <w:vMerge/>
            <w:tcBorders>
              <w:left w:val="single" w:sz="2" w:space="0" w:color="auto"/>
              <w:right w:val="nil"/>
            </w:tcBorders>
            <w:shd w:val="clear" w:color="auto" w:fill="auto"/>
            <w:vAlign w:val="center"/>
          </w:tcPr>
          <w:p w:rsidR="000E1F53" w:rsidRPr="009263D7" w:rsidRDefault="000E1F53" w:rsidP="00675CD0">
            <w:pPr>
              <w:keepNext/>
              <w:widowControl/>
              <w:spacing w:line="320" w:lineRule="exact"/>
              <w:jc w:val="center"/>
              <w:outlineLvl w:val="0"/>
              <w:rPr>
                <w:rFonts w:ascii="宋体" w:hAnsi="宋体" w:cs="宋体"/>
                <w:color w:val="000000" w:themeColor="text1"/>
                <w:kern w:val="0"/>
                <w:sz w:val="18"/>
                <w:szCs w:val="18"/>
              </w:rPr>
            </w:pPr>
          </w:p>
        </w:tc>
      </w:tr>
      <w:tr w:rsidR="002A6ADC" w:rsidRPr="009263D7" w:rsidTr="00780CDC">
        <w:trPr>
          <w:trHeight w:val="285"/>
        </w:trPr>
        <w:tc>
          <w:tcPr>
            <w:tcW w:w="504" w:type="pct"/>
            <w:tcBorders>
              <w:top w:val="nil"/>
              <w:left w:val="nil"/>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D0801</w:t>
            </w:r>
          </w:p>
        </w:tc>
        <w:tc>
          <w:tcPr>
            <w:tcW w:w="464" w:type="pct"/>
            <w:tcBorders>
              <w:top w:val="nil"/>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D0802</w:t>
            </w:r>
          </w:p>
        </w:tc>
        <w:tc>
          <w:tcPr>
            <w:tcW w:w="487" w:type="pct"/>
            <w:tcBorders>
              <w:top w:val="nil"/>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D0803</w:t>
            </w:r>
          </w:p>
        </w:tc>
        <w:tc>
          <w:tcPr>
            <w:tcW w:w="442" w:type="pct"/>
            <w:gridSpan w:val="2"/>
            <w:tcBorders>
              <w:top w:val="nil"/>
              <w:left w:val="single" w:sz="2" w:space="0" w:color="auto"/>
              <w:bottom w:val="single" w:sz="2" w:space="0" w:color="auto"/>
              <w:right w:val="single" w:sz="2" w:space="0" w:color="auto"/>
            </w:tcBorders>
            <w:shd w:val="clear" w:color="auto" w:fill="auto"/>
            <w:vAlign w:val="center"/>
          </w:tcPr>
          <w:p w:rsidR="000E1F53" w:rsidRPr="009263D7" w:rsidRDefault="00CB4B9E" w:rsidP="000F5C8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D0804</w:t>
            </w:r>
          </w:p>
        </w:tc>
        <w:tc>
          <w:tcPr>
            <w:tcW w:w="515" w:type="pct"/>
            <w:gridSpan w:val="2"/>
            <w:tcBorders>
              <w:top w:val="nil"/>
              <w:left w:val="single" w:sz="2" w:space="0" w:color="auto"/>
              <w:bottom w:val="single" w:sz="2" w:space="0" w:color="auto"/>
              <w:right w:val="single" w:sz="2" w:space="0" w:color="auto"/>
            </w:tcBorders>
            <w:shd w:val="clear" w:color="auto" w:fill="auto"/>
            <w:vAlign w:val="center"/>
          </w:tcPr>
          <w:p w:rsidR="000E1F53" w:rsidRPr="009263D7" w:rsidRDefault="00CB4B9E" w:rsidP="00B55B9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D0805</w:t>
            </w:r>
          </w:p>
        </w:tc>
        <w:tc>
          <w:tcPr>
            <w:tcW w:w="588" w:type="pct"/>
            <w:tcBorders>
              <w:top w:val="nil"/>
              <w:left w:val="single" w:sz="2" w:space="0" w:color="auto"/>
              <w:bottom w:val="single" w:sz="2" w:space="0" w:color="auto"/>
              <w:right w:val="single" w:sz="2" w:space="0" w:color="auto"/>
            </w:tcBorders>
            <w:shd w:val="clear" w:color="auto" w:fill="auto"/>
            <w:vAlign w:val="center"/>
          </w:tcPr>
          <w:p w:rsidR="000E1F53" w:rsidRPr="009263D7" w:rsidRDefault="00CB4B9E" w:rsidP="00B55B9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D0806</w:t>
            </w:r>
          </w:p>
        </w:tc>
        <w:tc>
          <w:tcPr>
            <w:tcW w:w="516" w:type="pct"/>
            <w:tcBorders>
              <w:top w:val="nil"/>
              <w:left w:val="single" w:sz="2" w:space="0" w:color="auto"/>
              <w:bottom w:val="single" w:sz="2" w:space="0" w:color="auto"/>
              <w:right w:val="single" w:sz="2" w:space="0" w:color="auto"/>
            </w:tcBorders>
            <w:shd w:val="clear" w:color="auto" w:fill="auto"/>
            <w:vAlign w:val="center"/>
          </w:tcPr>
          <w:p w:rsidR="000E1F53" w:rsidRPr="009263D7" w:rsidRDefault="00CB4B9E" w:rsidP="00B55B9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D0807</w:t>
            </w:r>
          </w:p>
        </w:tc>
        <w:tc>
          <w:tcPr>
            <w:tcW w:w="541" w:type="pct"/>
            <w:tcBorders>
              <w:top w:val="nil"/>
              <w:left w:val="single" w:sz="2" w:space="0" w:color="auto"/>
              <w:bottom w:val="single" w:sz="2" w:space="0" w:color="auto"/>
              <w:right w:val="single" w:sz="2" w:space="0" w:color="auto"/>
            </w:tcBorders>
            <w:shd w:val="clear" w:color="auto" w:fill="auto"/>
            <w:vAlign w:val="center"/>
          </w:tcPr>
          <w:p w:rsidR="000E1F53" w:rsidRPr="009263D7" w:rsidRDefault="00CB4B9E" w:rsidP="00B55B9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D0808</w:t>
            </w:r>
          </w:p>
        </w:tc>
        <w:tc>
          <w:tcPr>
            <w:tcW w:w="531" w:type="pct"/>
            <w:tcBorders>
              <w:top w:val="nil"/>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D0809</w:t>
            </w:r>
          </w:p>
        </w:tc>
        <w:tc>
          <w:tcPr>
            <w:tcW w:w="412" w:type="pct"/>
            <w:tcBorders>
              <w:top w:val="nil"/>
              <w:left w:val="single" w:sz="2" w:space="0" w:color="auto"/>
              <w:bottom w:val="single" w:sz="2" w:space="0" w:color="auto"/>
              <w:right w:val="nil"/>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D0810</w:t>
            </w:r>
          </w:p>
        </w:tc>
      </w:tr>
      <w:tr w:rsidR="002A6ADC" w:rsidRPr="009263D7" w:rsidTr="00780CDC">
        <w:trPr>
          <w:trHeight w:val="285"/>
        </w:trPr>
        <w:tc>
          <w:tcPr>
            <w:tcW w:w="504" w:type="pct"/>
            <w:tcBorders>
              <w:top w:val="single" w:sz="2" w:space="0" w:color="auto"/>
              <w:left w:val="nil"/>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464" w:type="pct"/>
            <w:tcBorders>
              <w:top w:val="single" w:sz="2" w:space="0" w:color="auto"/>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487" w:type="pct"/>
            <w:tcBorders>
              <w:top w:val="single" w:sz="2" w:space="0" w:color="auto"/>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442"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515"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0E1F53" w:rsidRPr="009263D7" w:rsidRDefault="00CB4B9E" w:rsidP="000E1F5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588" w:type="pct"/>
            <w:tcBorders>
              <w:top w:val="single" w:sz="2" w:space="0" w:color="auto"/>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516" w:type="pct"/>
            <w:tcBorders>
              <w:top w:val="single" w:sz="2" w:space="0" w:color="auto"/>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541" w:type="pct"/>
            <w:tcBorders>
              <w:top w:val="single" w:sz="2" w:space="0" w:color="auto"/>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531" w:type="pct"/>
            <w:tcBorders>
              <w:top w:val="single" w:sz="2" w:space="0" w:color="auto"/>
              <w:left w:val="single" w:sz="2" w:space="0" w:color="auto"/>
              <w:bottom w:val="single" w:sz="2" w:space="0" w:color="auto"/>
              <w:right w:val="single" w:sz="2" w:space="0" w:color="auto"/>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412" w:type="pct"/>
            <w:tcBorders>
              <w:top w:val="single" w:sz="2" w:space="0" w:color="auto"/>
              <w:left w:val="single" w:sz="2" w:space="0" w:color="auto"/>
              <w:bottom w:val="single" w:sz="2" w:space="0" w:color="auto"/>
              <w:right w:val="nil"/>
            </w:tcBorders>
            <w:shd w:val="clear" w:color="auto" w:fill="auto"/>
            <w:vAlign w:val="center"/>
          </w:tcPr>
          <w:p w:rsidR="000E1F53" w:rsidRPr="009263D7" w:rsidRDefault="00CB4B9E" w:rsidP="00675CD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r>
      <w:tr w:rsidR="00B55B93" w:rsidRPr="009263D7" w:rsidTr="00780CDC">
        <w:trPr>
          <w:trHeight w:val="285"/>
        </w:trPr>
        <w:tc>
          <w:tcPr>
            <w:tcW w:w="504" w:type="pct"/>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464" w:type="pct"/>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87" w:type="pct"/>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389" w:type="pct"/>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23" w:type="pct"/>
            <w:gridSpan w:val="2"/>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45" w:type="pct"/>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88" w:type="pct"/>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057" w:type="pct"/>
            <w:gridSpan w:val="2"/>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31" w:type="pct"/>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12" w:type="pct"/>
            <w:tcBorders>
              <w:top w:val="single" w:sz="2" w:space="0" w:color="auto"/>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B55B93" w:rsidRPr="009263D7">
        <w:trPr>
          <w:trHeight w:val="285"/>
        </w:trPr>
        <w:tc>
          <w:tcPr>
            <w:tcW w:w="50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46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87"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389"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23"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45"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88"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057"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31"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12"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B55B93" w:rsidRPr="009263D7">
        <w:trPr>
          <w:trHeight w:val="285"/>
        </w:trPr>
        <w:tc>
          <w:tcPr>
            <w:tcW w:w="50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46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87"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389"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23"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45"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88"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057"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31"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12"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B55B93" w:rsidRPr="009263D7">
        <w:trPr>
          <w:trHeight w:val="285"/>
        </w:trPr>
        <w:tc>
          <w:tcPr>
            <w:tcW w:w="50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46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87"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389"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23"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45"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88"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057"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31"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12"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B55B93" w:rsidRPr="009263D7">
        <w:trPr>
          <w:trHeight w:val="285"/>
        </w:trPr>
        <w:tc>
          <w:tcPr>
            <w:tcW w:w="50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46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87"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389"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23"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45"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88"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057"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31"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12"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B55B93" w:rsidRPr="009263D7">
        <w:trPr>
          <w:trHeight w:val="285"/>
        </w:trPr>
        <w:tc>
          <w:tcPr>
            <w:tcW w:w="50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46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87"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389"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23"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45"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88"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057"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31"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12"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B55B93" w:rsidRPr="009263D7">
        <w:trPr>
          <w:trHeight w:val="285"/>
        </w:trPr>
        <w:tc>
          <w:tcPr>
            <w:tcW w:w="50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center"/>
              <w:outlineLvl w:val="0"/>
              <w:rPr>
                <w:rFonts w:ascii="宋体" w:hAnsi="宋体" w:cs="宋体"/>
                <w:color w:val="000000" w:themeColor="text1"/>
                <w:kern w:val="0"/>
                <w:sz w:val="18"/>
                <w:szCs w:val="18"/>
              </w:rPr>
            </w:pPr>
          </w:p>
        </w:tc>
        <w:tc>
          <w:tcPr>
            <w:tcW w:w="46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87"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389"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23"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45"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88"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057"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31"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12"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B55B93" w:rsidRPr="009263D7">
        <w:trPr>
          <w:trHeight w:val="285"/>
        </w:trPr>
        <w:tc>
          <w:tcPr>
            <w:tcW w:w="50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64"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87"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389"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23"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45"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88"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1057" w:type="pct"/>
            <w:gridSpan w:val="2"/>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531"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c>
          <w:tcPr>
            <w:tcW w:w="412" w:type="pct"/>
            <w:tcBorders>
              <w:top w:val="nil"/>
              <w:left w:val="nil"/>
              <w:bottom w:val="nil"/>
              <w:right w:val="nil"/>
            </w:tcBorders>
            <w:shd w:val="clear" w:color="auto" w:fill="auto"/>
            <w:noWrap/>
            <w:vAlign w:val="center"/>
          </w:tcPr>
          <w:p w:rsidR="00E63162" w:rsidRPr="009263D7" w:rsidRDefault="00E63162" w:rsidP="00675CD0">
            <w:pPr>
              <w:keepNext/>
              <w:widowControl/>
              <w:spacing w:line="320" w:lineRule="exact"/>
              <w:jc w:val="left"/>
              <w:outlineLvl w:val="0"/>
              <w:rPr>
                <w:rFonts w:ascii="宋体" w:hAnsi="宋体" w:cs="宋体"/>
                <w:color w:val="000000" w:themeColor="text1"/>
                <w:kern w:val="0"/>
                <w:sz w:val="24"/>
              </w:rPr>
            </w:pPr>
          </w:p>
        </w:tc>
      </w:tr>
      <w:tr w:rsidR="00B55B93" w:rsidRPr="009263D7">
        <w:trPr>
          <w:trHeight w:val="300"/>
        </w:trPr>
        <w:tc>
          <w:tcPr>
            <w:tcW w:w="504" w:type="pct"/>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464" w:type="pct"/>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487" w:type="pct"/>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389" w:type="pct"/>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23" w:type="pct"/>
            <w:gridSpan w:val="2"/>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445" w:type="pct"/>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588" w:type="pct"/>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057" w:type="pct"/>
            <w:gridSpan w:val="2"/>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531" w:type="pct"/>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412" w:type="pct"/>
            <w:tcBorders>
              <w:top w:val="nil"/>
              <w:left w:val="nil"/>
              <w:bottom w:val="single" w:sz="8" w:space="0" w:color="auto"/>
              <w:right w:val="nil"/>
            </w:tcBorders>
            <w:shd w:val="clear" w:color="auto" w:fill="auto"/>
            <w:noWrap/>
            <w:vAlign w:val="center"/>
          </w:tcPr>
          <w:p w:rsidR="00E63162" w:rsidRPr="009263D7" w:rsidRDefault="00CB4B9E" w:rsidP="00675CD0">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0E1D7C" w:rsidRPr="009263D7" w:rsidRDefault="00CB4B9E" w:rsidP="000E1D7C">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E63162" w:rsidRPr="009263D7" w:rsidRDefault="00CB4B9E" w:rsidP="000E1D7C">
      <w:pPr>
        <w:rPr>
          <w:rFonts w:ascii="宋体"/>
          <w:color w:val="000000" w:themeColor="text1"/>
          <w:sz w:val="18"/>
        </w:rPr>
      </w:pPr>
      <w:r w:rsidRPr="00CB4B9E">
        <w:rPr>
          <w:rFonts w:ascii="宋体" w:hint="eastAsia"/>
          <w:color w:val="000000" w:themeColor="text1"/>
          <w:sz w:val="18"/>
        </w:rPr>
        <w:t xml:space="preserve"> 电话：                电话：                       电话：             传真：</w:t>
      </w:r>
    </w:p>
    <w:p w:rsidR="00E63162" w:rsidRPr="009263D7" w:rsidRDefault="00E63162" w:rsidP="0024092D">
      <w:pPr>
        <w:spacing w:line="280" w:lineRule="exact"/>
        <w:ind w:leftChars="179" w:left="900" w:hangingChars="291" w:hanging="524"/>
        <w:rPr>
          <w:rFonts w:ascii="宋体"/>
          <w:color w:val="000000" w:themeColor="text1"/>
          <w:sz w:val="18"/>
        </w:rPr>
      </w:pPr>
    </w:p>
    <w:p w:rsidR="0052757F" w:rsidRPr="009263D7" w:rsidRDefault="00CB4B9E" w:rsidP="0024092D">
      <w:pPr>
        <w:rPr>
          <w:rFonts w:ascii="宋体"/>
          <w:color w:val="000000" w:themeColor="text1"/>
          <w:sz w:val="18"/>
        </w:rPr>
      </w:pPr>
      <w:r w:rsidRPr="00CB4B9E">
        <w:rPr>
          <w:rFonts w:ascii="宋体"/>
          <w:color w:val="000000" w:themeColor="text1"/>
          <w:sz w:val="18"/>
        </w:rPr>
        <w:br w:type="page"/>
      </w:r>
    </w:p>
    <w:p w:rsidR="0024092D" w:rsidRPr="009263D7" w:rsidRDefault="0024092D" w:rsidP="0052757F">
      <w:pPr>
        <w:rPr>
          <w:rFonts w:ascii="宋体"/>
          <w:color w:val="000000" w:themeColor="text1"/>
          <w:sz w:val="18"/>
        </w:rPr>
      </w:pPr>
    </w:p>
    <w:p w:rsidR="0052757F" w:rsidRPr="009263D7" w:rsidRDefault="0052757F" w:rsidP="0052757F">
      <w:pPr>
        <w:widowControl/>
        <w:jc w:val="center"/>
        <w:rPr>
          <w:rFonts w:ascii="宋体" w:hAnsi="宋体" w:cs="宋体"/>
          <w:color w:val="000000" w:themeColor="text1"/>
          <w:kern w:val="0"/>
          <w:sz w:val="18"/>
          <w:szCs w:val="18"/>
        </w:rPr>
      </w:pPr>
    </w:p>
    <w:p w:rsidR="0052757F" w:rsidRPr="009263D7" w:rsidRDefault="00CB4B9E" w:rsidP="00CB506B">
      <w:pPr>
        <w:pStyle w:val="3"/>
        <w:jc w:val="center"/>
        <w:rPr>
          <w:rFonts w:ascii="宋体" w:hAnsi="宋体" w:cs="宋体"/>
          <w:b w:val="0"/>
          <w:color w:val="000000" w:themeColor="text1"/>
          <w:kern w:val="0"/>
          <w:sz w:val="28"/>
          <w:szCs w:val="28"/>
        </w:rPr>
      </w:pPr>
      <w:bookmarkStart w:id="36" w:name="_Toc452017146"/>
      <w:r w:rsidRPr="00CB4B9E">
        <w:rPr>
          <w:rFonts w:ascii="宋体" w:hAnsi="宋体" w:cs="宋体" w:hint="eastAsia"/>
          <w:b w:val="0"/>
          <w:color w:val="000000" w:themeColor="text1"/>
          <w:kern w:val="0"/>
          <w:sz w:val="28"/>
          <w:szCs w:val="28"/>
        </w:rPr>
        <w:t>对非居民的贷款和应收款减值准备余额</w:t>
      </w:r>
      <w:bookmarkEnd w:id="36"/>
    </w:p>
    <w:p w:rsidR="0052757F" w:rsidRPr="009263D7" w:rsidRDefault="00CB4B9E" w:rsidP="003A57E5">
      <w:pPr>
        <w:spacing w:line="240" w:lineRule="exact"/>
        <w:ind w:firstLineChars="3543" w:firstLine="6377"/>
        <w:rPr>
          <w:color w:val="000000" w:themeColor="text1"/>
          <w:sz w:val="1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D09</w:t>
      </w:r>
      <w:r w:rsidRPr="00CB4B9E">
        <w:rPr>
          <w:rFonts w:ascii="宋体" w:hAnsi="宋体" w:cs="宋体" w:hint="eastAsia"/>
          <w:color w:val="000000" w:themeColor="text1"/>
          <w:kern w:val="0"/>
          <w:sz w:val="18"/>
          <w:szCs w:val="18"/>
        </w:rPr>
        <w:t>表</w:t>
      </w:r>
    </w:p>
    <w:p w:rsidR="0052757F" w:rsidRPr="009263D7" w:rsidRDefault="00CB4B9E" w:rsidP="0052757F">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52757F" w:rsidRPr="009263D7" w:rsidRDefault="00CB4B9E" w:rsidP="0052757F">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52757F" w:rsidRPr="009263D7" w:rsidRDefault="00CB4B9E" w:rsidP="0052757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52757F" w:rsidRPr="009263D7" w:rsidRDefault="00CB4B9E" w:rsidP="0052757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52757F" w:rsidRPr="009263D7" w:rsidRDefault="00CB4B9E" w:rsidP="00D2670B">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ascii="宋体" w:hAnsi="宋体" w:cs="宋体"/>
          <w:color w:val="000000" w:themeColor="text1"/>
          <w:kern w:val="0"/>
          <w:sz w:val="22"/>
          <w:szCs w:val="22"/>
        </w:rPr>
        <w:t xml:space="preserve">                                   </w:t>
      </w:r>
    </w:p>
    <w:p w:rsidR="0052757F" w:rsidRPr="009263D7" w:rsidRDefault="00CB4B9E" w:rsidP="0052757F">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5000" w:type="pct"/>
        <w:tblLook w:val="04A0"/>
      </w:tblPr>
      <w:tblGrid>
        <w:gridCol w:w="2093"/>
        <w:gridCol w:w="2550"/>
        <w:gridCol w:w="2024"/>
        <w:gridCol w:w="2962"/>
      </w:tblGrid>
      <w:tr w:rsidR="00C77985" w:rsidRPr="009263D7">
        <w:trPr>
          <w:trHeight w:val="450"/>
        </w:trPr>
        <w:tc>
          <w:tcPr>
            <w:tcW w:w="1087" w:type="pct"/>
            <w:tcBorders>
              <w:top w:val="single" w:sz="8" w:space="0" w:color="auto"/>
              <w:left w:val="nil"/>
              <w:right w:val="single" w:sz="2" w:space="0" w:color="auto"/>
            </w:tcBorders>
            <w:shd w:val="clear" w:color="auto" w:fill="auto"/>
            <w:vAlign w:val="center"/>
          </w:tcPr>
          <w:p w:rsidR="00C77985" w:rsidRPr="009263D7" w:rsidRDefault="00CB4B9E" w:rsidP="005E3E1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资产类别</w:t>
            </w:r>
          </w:p>
        </w:tc>
        <w:tc>
          <w:tcPr>
            <w:tcW w:w="1324" w:type="pct"/>
            <w:tcBorders>
              <w:top w:val="single" w:sz="8" w:space="0" w:color="auto"/>
              <w:left w:val="single" w:sz="2" w:space="0" w:color="auto"/>
              <w:right w:val="single" w:sz="2" w:space="0" w:color="auto"/>
            </w:tcBorders>
            <w:shd w:val="clear" w:color="auto" w:fill="auto"/>
            <w:vAlign w:val="center"/>
          </w:tcPr>
          <w:p w:rsidR="00C77985" w:rsidRPr="009263D7" w:rsidRDefault="00CB4B9E" w:rsidP="005E3E1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风险分类</w:t>
            </w:r>
          </w:p>
        </w:tc>
        <w:tc>
          <w:tcPr>
            <w:tcW w:w="1050" w:type="pct"/>
            <w:tcBorders>
              <w:top w:val="single" w:sz="8" w:space="0" w:color="auto"/>
              <w:left w:val="single" w:sz="2" w:space="0" w:color="auto"/>
              <w:right w:val="single" w:sz="2" w:space="0" w:color="auto"/>
            </w:tcBorders>
            <w:shd w:val="clear" w:color="auto" w:fill="auto"/>
            <w:vAlign w:val="center"/>
          </w:tcPr>
          <w:p w:rsidR="00C77985" w:rsidRPr="009263D7" w:rsidRDefault="00CB4B9E" w:rsidP="005E3E1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币种</w:t>
            </w:r>
          </w:p>
        </w:tc>
        <w:tc>
          <w:tcPr>
            <w:tcW w:w="1538" w:type="pct"/>
            <w:tcBorders>
              <w:top w:val="single" w:sz="8" w:space="0" w:color="auto"/>
              <w:left w:val="single" w:sz="2" w:space="0" w:color="auto"/>
              <w:right w:val="nil"/>
            </w:tcBorders>
            <w:shd w:val="clear" w:color="auto" w:fill="auto"/>
            <w:vAlign w:val="center"/>
          </w:tcPr>
          <w:p w:rsidR="00C77985" w:rsidRPr="009263D7" w:rsidRDefault="00CB4B9E" w:rsidP="005E3E1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本月末减值准备余额</w:t>
            </w:r>
          </w:p>
        </w:tc>
      </w:tr>
      <w:tr w:rsidR="00C77985" w:rsidRPr="009263D7" w:rsidTr="00780CDC">
        <w:trPr>
          <w:trHeight w:val="285"/>
        </w:trPr>
        <w:tc>
          <w:tcPr>
            <w:tcW w:w="1087" w:type="pct"/>
            <w:tcBorders>
              <w:top w:val="nil"/>
              <w:left w:val="nil"/>
              <w:bottom w:val="single" w:sz="2" w:space="0" w:color="auto"/>
              <w:right w:val="single" w:sz="2" w:space="0" w:color="auto"/>
            </w:tcBorders>
            <w:shd w:val="clear" w:color="auto" w:fill="auto"/>
            <w:vAlign w:val="center"/>
          </w:tcPr>
          <w:p w:rsidR="00C77985" w:rsidRPr="009263D7" w:rsidRDefault="00CB4B9E" w:rsidP="005E3E1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D0901</w:t>
            </w:r>
          </w:p>
        </w:tc>
        <w:tc>
          <w:tcPr>
            <w:tcW w:w="1324" w:type="pct"/>
            <w:tcBorders>
              <w:top w:val="nil"/>
              <w:left w:val="single" w:sz="2" w:space="0" w:color="auto"/>
              <w:bottom w:val="single" w:sz="2" w:space="0" w:color="auto"/>
              <w:right w:val="single" w:sz="2" w:space="0" w:color="auto"/>
            </w:tcBorders>
            <w:shd w:val="clear" w:color="auto" w:fill="auto"/>
          </w:tcPr>
          <w:p w:rsidR="00C77985" w:rsidRPr="009263D7" w:rsidRDefault="00CB4B9E" w:rsidP="005E3E1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D0902</w:t>
            </w:r>
          </w:p>
        </w:tc>
        <w:tc>
          <w:tcPr>
            <w:tcW w:w="1050" w:type="pct"/>
            <w:tcBorders>
              <w:top w:val="nil"/>
              <w:left w:val="single" w:sz="2" w:space="0" w:color="auto"/>
              <w:bottom w:val="single" w:sz="2" w:space="0" w:color="auto"/>
              <w:right w:val="single" w:sz="2" w:space="0" w:color="auto"/>
            </w:tcBorders>
            <w:shd w:val="clear" w:color="auto" w:fill="auto"/>
          </w:tcPr>
          <w:p w:rsidR="00C77985" w:rsidRPr="009263D7" w:rsidRDefault="00CB4B9E" w:rsidP="00C779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D0903</w:t>
            </w:r>
          </w:p>
        </w:tc>
        <w:tc>
          <w:tcPr>
            <w:tcW w:w="1538" w:type="pct"/>
            <w:tcBorders>
              <w:top w:val="nil"/>
              <w:left w:val="single" w:sz="2" w:space="0" w:color="auto"/>
              <w:bottom w:val="single" w:sz="2" w:space="0" w:color="auto"/>
              <w:right w:val="nil"/>
            </w:tcBorders>
            <w:shd w:val="clear" w:color="auto" w:fill="auto"/>
            <w:vAlign w:val="center"/>
          </w:tcPr>
          <w:p w:rsidR="00C77985" w:rsidRPr="009263D7" w:rsidRDefault="00CB4B9E" w:rsidP="00C7798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D0904</w:t>
            </w:r>
          </w:p>
        </w:tc>
      </w:tr>
      <w:tr w:rsidR="00C77985" w:rsidRPr="009263D7" w:rsidTr="00780CDC">
        <w:trPr>
          <w:trHeight w:val="285"/>
        </w:trPr>
        <w:tc>
          <w:tcPr>
            <w:tcW w:w="1087" w:type="pct"/>
            <w:tcBorders>
              <w:top w:val="single" w:sz="2" w:space="0" w:color="auto"/>
              <w:left w:val="nil"/>
              <w:bottom w:val="single" w:sz="2" w:space="0" w:color="auto"/>
              <w:right w:val="single" w:sz="2" w:space="0" w:color="auto"/>
            </w:tcBorders>
            <w:shd w:val="clear" w:color="auto" w:fill="auto"/>
            <w:vAlign w:val="center"/>
          </w:tcPr>
          <w:p w:rsidR="00C77985" w:rsidRPr="009263D7" w:rsidRDefault="00CB4B9E" w:rsidP="005E3E1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324" w:type="pct"/>
            <w:tcBorders>
              <w:top w:val="single" w:sz="2" w:space="0" w:color="auto"/>
              <w:left w:val="single" w:sz="2" w:space="0" w:color="auto"/>
              <w:bottom w:val="single" w:sz="2" w:space="0" w:color="auto"/>
              <w:right w:val="single" w:sz="2" w:space="0" w:color="auto"/>
            </w:tcBorders>
            <w:shd w:val="clear" w:color="auto" w:fill="auto"/>
          </w:tcPr>
          <w:p w:rsidR="00C77985" w:rsidRPr="009263D7" w:rsidRDefault="00CB4B9E" w:rsidP="000077F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050" w:type="pct"/>
            <w:tcBorders>
              <w:top w:val="single" w:sz="2" w:space="0" w:color="auto"/>
              <w:left w:val="single" w:sz="2" w:space="0" w:color="auto"/>
              <w:bottom w:val="single" w:sz="2" w:space="0" w:color="auto"/>
              <w:right w:val="single" w:sz="2" w:space="0" w:color="auto"/>
            </w:tcBorders>
            <w:shd w:val="clear" w:color="auto" w:fill="auto"/>
          </w:tcPr>
          <w:p w:rsidR="00C77985" w:rsidRPr="009263D7" w:rsidRDefault="00CB4B9E" w:rsidP="00937FC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1538" w:type="pct"/>
            <w:tcBorders>
              <w:top w:val="single" w:sz="2" w:space="0" w:color="auto"/>
              <w:left w:val="single" w:sz="2" w:space="0" w:color="auto"/>
              <w:bottom w:val="single" w:sz="2" w:space="0" w:color="auto"/>
              <w:right w:val="nil"/>
            </w:tcBorders>
            <w:shd w:val="clear" w:color="auto" w:fill="auto"/>
            <w:vAlign w:val="center"/>
          </w:tcPr>
          <w:p w:rsidR="00C77985" w:rsidRPr="009263D7" w:rsidRDefault="00CB4B9E" w:rsidP="005E3E1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r>
      <w:tr w:rsidR="00C77985" w:rsidRPr="009263D7" w:rsidTr="00780CDC">
        <w:trPr>
          <w:trHeight w:val="285"/>
        </w:trPr>
        <w:tc>
          <w:tcPr>
            <w:tcW w:w="1087" w:type="pct"/>
            <w:tcBorders>
              <w:top w:val="single" w:sz="2" w:space="0" w:color="auto"/>
              <w:left w:val="nil"/>
              <w:bottom w:val="nil"/>
              <w:right w:val="nil"/>
            </w:tcBorders>
            <w:shd w:val="clear" w:color="auto" w:fill="auto"/>
            <w:noWrap/>
            <w:vAlign w:val="center"/>
          </w:tcPr>
          <w:p w:rsidR="00C77985" w:rsidRPr="009263D7" w:rsidRDefault="00C77985" w:rsidP="005E3E1F">
            <w:pPr>
              <w:keepNext/>
              <w:widowControl/>
              <w:spacing w:line="320" w:lineRule="exact"/>
              <w:jc w:val="center"/>
              <w:outlineLvl w:val="0"/>
              <w:rPr>
                <w:rFonts w:ascii="宋体" w:hAnsi="宋体" w:cs="宋体"/>
                <w:color w:val="000000" w:themeColor="text1"/>
                <w:kern w:val="0"/>
                <w:sz w:val="18"/>
                <w:szCs w:val="18"/>
              </w:rPr>
            </w:pPr>
          </w:p>
        </w:tc>
        <w:tc>
          <w:tcPr>
            <w:tcW w:w="2375" w:type="pct"/>
            <w:gridSpan w:val="2"/>
            <w:tcBorders>
              <w:top w:val="single" w:sz="2" w:space="0" w:color="auto"/>
              <w:left w:val="nil"/>
              <w:bottom w:val="nil"/>
              <w:right w:val="nil"/>
            </w:tcBorders>
            <w:shd w:val="clear" w:color="auto" w:fill="auto"/>
            <w:noWrap/>
            <w:vAlign w:val="center"/>
          </w:tcPr>
          <w:p w:rsidR="00C77985" w:rsidRPr="009263D7" w:rsidRDefault="00C77985" w:rsidP="005E3E1F">
            <w:pPr>
              <w:keepNext/>
              <w:widowControl/>
              <w:spacing w:line="320" w:lineRule="exact"/>
              <w:jc w:val="left"/>
              <w:outlineLvl w:val="0"/>
              <w:rPr>
                <w:rFonts w:ascii="宋体" w:hAnsi="宋体" w:cs="宋体"/>
                <w:color w:val="000000" w:themeColor="text1"/>
                <w:kern w:val="0"/>
                <w:sz w:val="24"/>
              </w:rPr>
            </w:pPr>
          </w:p>
        </w:tc>
        <w:tc>
          <w:tcPr>
            <w:tcW w:w="1538" w:type="pct"/>
            <w:tcBorders>
              <w:top w:val="single" w:sz="2" w:space="0" w:color="auto"/>
              <w:left w:val="nil"/>
              <w:bottom w:val="nil"/>
              <w:right w:val="nil"/>
            </w:tcBorders>
            <w:shd w:val="clear" w:color="auto" w:fill="auto"/>
            <w:noWrap/>
            <w:vAlign w:val="center"/>
          </w:tcPr>
          <w:p w:rsidR="00C77985" w:rsidRPr="009263D7" w:rsidRDefault="00C77985" w:rsidP="005E3E1F">
            <w:pPr>
              <w:keepNext/>
              <w:widowControl/>
              <w:spacing w:line="320" w:lineRule="exact"/>
              <w:jc w:val="left"/>
              <w:outlineLvl w:val="0"/>
              <w:rPr>
                <w:rFonts w:ascii="宋体" w:hAnsi="宋体" w:cs="宋体"/>
                <w:color w:val="000000" w:themeColor="text1"/>
                <w:kern w:val="0"/>
                <w:sz w:val="24"/>
              </w:rPr>
            </w:pPr>
          </w:p>
        </w:tc>
      </w:tr>
      <w:tr w:rsidR="00C77985" w:rsidRPr="009263D7">
        <w:trPr>
          <w:trHeight w:val="285"/>
        </w:trPr>
        <w:tc>
          <w:tcPr>
            <w:tcW w:w="1087" w:type="pct"/>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center"/>
              <w:outlineLvl w:val="0"/>
              <w:rPr>
                <w:rFonts w:ascii="宋体" w:hAnsi="宋体" w:cs="宋体"/>
                <w:color w:val="000000" w:themeColor="text1"/>
                <w:kern w:val="0"/>
                <w:sz w:val="18"/>
                <w:szCs w:val="18"/>
              </w:rPr>
            </w:pPr>
          </w:p>
        </w:tc>
        <w:tc>
          <w:tcPr>
            <w:tcW w:w="2375" w:type="pct"/>
            <w:gridSpan w:val="2"/>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left"/>
              <w:outlineLvl w:val="0"/>
              <w:rPr>
                <w:rFonts w:ascii="宋体" w:hAnsi="宋体" w:cs="宋体"/>
                <w:color w:val="000000" w:themeColor="text1"/>
                <w:kern w:val="0"/>
                <w:sz w:val="24"/>
              </w:rPr>
            </w:pPr>
          </w:p>
        </w:tc>
        <w:tc>
          <w:tcPr>
            <w:tcW w:w="1538" w:type="pct"/>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left"/>
              <w:outlineLvl w:val="0"/>
              <w:rPr>
                <w:rFonts w:ascii="宋体" w:hAnsi="宋体" w:cs="宋体"/>
                <w:color w:val="000000" w:themeColor="text1"/>
                <w:kern w:val="0"/>
                <w:sz w:val="24"/>
              </w:rPr>
            </w:pPr>
          </w:p>
        </w:tc>
      </w:tr>
      <w:tr w:rsidR="00C77985" w:rsidRPr="009263D7">
        <w:trPr>
          <w:trHeight w:val="285"/>
        </w:trPr>
        <w:tc>
          <w:tcPr>
            <w:tcW w:w="1087" w:type="pct"/>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center"/>
              <w:outlineLvl w:val="0"/>
              <w:rPr>
                <w:rFonts w:ascii="宋体" w:hAnsi="宋体" w:cs="宋体"/>
                <w:color w:val="000000" w:themeColor="text1"/>
                <w:kern w:val="0"/>
                <w:sz w:val="18"/>
                <w:szCs w:val="18"/>
              </w:rPr>
            </w:pPr>
          </w:p>
        </w:tc>
        <w:tc>
          <w:tcPr>
            <w:tcW w:w="2375" w:type="pct"/>
            <w:gridSpan w:val="2"/>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left"/>
              <w:outlineLvl w:val="0"/>
              <w:rPr>
                <w:rFonts w:ascii="宋体" w:hAnsi="宋体" w:cs="宋体"/>
                <w:color w:val="000000" w:themeColor="text1"/>
                <w:kern w:val="0"/>
                <w:sz w:val="24"/>
              </w:rPr>
            </w:pPr>
          </w:p>
        </w:tc>
        <w:tc>
          <w:tcPr>
            <w:tcW w:w="1538" w:type="pct"/>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left"/>
              <w:outlineLvl w:val="0"/>
              <w:rPr>
                <w:rFonts w:ascii="宋体" w:hAnsi="宋体" w:cs="宋体"/>
                <w:color w:val="000000" w:themeColor="text1"/>
                <w:kern w:val="0"/>
                <w:sz w:val="24"/>
              </w:rPr>
            </w:pPr>
          </w:p>
        </w:tc>
      </w:tr>
      <w:tr w:rsidR="00C77985" w:rsidRPr="009263D7">
        <w:trPr>
          <w:trHeight w:val="285"/>
        </w:trPr>
        <w:tc>
          <w:tcPr>
            <w:tcW w:w="1087" w:type="pct"/>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center"/>
              <w:outlineLvl w:val="0"/>
              <w:rPr>
                <w:rFonts w:ascii="宋体" w:hAnsi="宋体" w:cs="宋体"/>
                <w:color w:val="000000" w:themeColor="text1"/>
                <w:kern w:val="0"/>
                <w:sz w:val="18"/>
                <w:szCs w:val="18"/>
              </w:rPr>
            </w:pPr>
          </w:p>
        </w:tc>
        <w:tc>
          <w:tcPr>
            <w:tcW w:w="2375" w:type="pct"/>
            <w:gridSpan w:val="2"/>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left"/>
              <w:outlineLvl w:val="0"/>
              <w:rPr>
                <w:rFonts w:ascii="宋体" w:hAnsi="宋体" w:cs="宋体"/>
                <w:color w:val="000000" w:themeColor="text1"/>
                <w:kern w:val="0"/>
                <w:sz w:val="24"/>
              </w:rPr>
            </w:pPr>
          </w:p>
        </w:tc>
        <w:tc>
          <w:tcPr>
            <w:tcW w:w="1538" w:type="pct"/>
            <w:tcBorders>
              <w:top w:val="nil"/>
              <w:left w:val="nil"/>
              <w:bottom w:val="nil"/>
              <w:right w:val="nil"/>
            </w:tcBorders>
            <w:shd w:val="clear" w:color="auto" w:fill="auto"/>
            <w:noWrap/>
            <w:vAlign w:val="center"/>
          </w:tcPr>
          <w:p w:rsidR="00C77985" w:rsidRPr="009263D7" w:rsidRDefault="00C77985" w:rsidP="005E3E1F">
            <w:pPr>
              <w:keepNext/>
              <w:widowControl/>
              <w:spacing w:line="320" w:lineRule="exact"/>
              <w:jc w:val="left"/>
              <w:outlineLvl w:val="0"/>
              <w:rPr>
                <w:rFonts w:ascii="宋体" w:hAnsi="宋体" w:cs="宋体"/>
                <w:color w:val="000000" w:themeColor="text1"/>
                <w:kern w:val="0"/>
                <w:sz w:val="24"/>
              </w:rPr>
            </w:pPr>
          </w:p>
        </w:tc>
      </w:tr>
      <w:tr w:rsidR="00C77985" w:rsidRPr="009263D7">
        <w:trPr>
          <w:trHeight w:val="300"/>
        </w:trPr>
        <w:tc>
          <w:tcPr>
            <w:tcW w:w="1087" w:type="pct"/>
            <w:tcBorders>
              <w:top w:val="nil"/>
              <w:left w:val="nil"/>
              <w:bottom w:val="single" w:sz="8" w:space="0" w:color="auto"/>
              <w:right w:val="nil"/>
            </w:tcBorders>
            <w:shd w:val="clear" w:color="auto" w:fill="auto"/>
            <w:noWrap/>
            <w:vAlign w:val="center"/>
          </w:tcPr>
          <w:p w:rsidR="00C77985" w:rsidRPr="009263D7" w:rsidRDefault="00CB4B9E" w:rsidP="005E3E1F">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375" w:type="pct"/>
            <w:gridSpan w:val="2"/>
            <w:tcBorders>
              <w:top w:val="nil"/>
              <w:left w:val="nil"/>
              <w:bottom w:val="single" w:sz="8" w:space="0" w:color="auto"/>
              <w:right w:val="nil"/>
            </w:tcBorders>
            <w:shd w:val="clear" w:color="auto" w:fill="auto"/>
            <w:noWrap/>
            <w:vAlign w:val="center"/>
          </w:tcPr>
          <w:p w:rsidR="00C77985" w:rsidRPr="009263D7" w:rsidRDefault="00CB4B9E" w:rsidP="005E3E1F">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c>
          <w:tcPr>
            <w:tcW w:w="1538" w:type="pct"/>
            <w:tcBorders>
              <w:top w:val="nil"/>
              <w:left w:val="nil"/>
              <w:bottom w:val="single" w:sz="8" w:space="0" w:color="auto"/>
              <w:right w:val="nil"/>
            </w:tcBorders>
            <w:shd w:val="clear" w:color="auto" w:fill="auto"/>
            <w:noWrap/>
            <w:vAlign w:val="center"/>
          </w:tcPr>
          <w:p w:rsidR="00C77985" w:rsidRPr="009263D7" w:rsidRDefault="00CB4B9E" w:rsidP="005E3E1F">
            <w:pPr>
              <w:widowControl/>
              <w:jc w:val="left"/>
              <w:rPr>
                <w:rFonts w:ascii="宋体" w:hAnsi="宋体" w:cs="宋体"/>
                <w:color w:val="000000" w:themeColor="text1"/>
                <w:kern w:val="0"/>
                <w:sz w:val="24"/>
              </w:rPr>
            </w:pPr>
            <w:r w:rsidRPr="00CB4B9E">
              <w:rPr>
                <w:rFonts w:ascii="宋体" w:hAnsi="宋体" w:cs="宋体" w:hint="eastAsia"/>
                <w:color w:val="000000" w:themeColor="text1"/>
                <w:kern w:val="0"/>
                <w:sz w:val="24"/>
              </w:rPr>
              <w:t xml:space="preserve">　</w:t>
            </w:r>
          </w:p>
        </w:tc>
      </w:tr>
    </w:tbl>
    <w:p w:rsidR="0052757F" w:rsidRPr="009263D7" w:rsidRDefault="00CB4B9E" w:rsidP="0052757F">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52757F" w:rsidRPr="009263D7" w:rsidRDefault="00CB4B9E" w:rsidP="0052757F">
      <w:pPr>
        <w:spacing w:line="280" w:lineRule="exact"/>
        <w:ind w:leftChars="-1" w:left="1062" w:hangingChars="591" w:hanging="1064"/>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52757F" w:rsidRPr="009263D7" w:rsidRDefault="00CB4B9E" w:rsidP="0052757F">
      <w:pPr>
        <w:spacing w:line="280" w:lineRule="exact"/>
        <w:ind w:leftChars="179" w:left="900" w:hangingChars="291" w:hanging="524"/>
        <w:rPr>
          <w:color w:val="000000" w:themeColor="text1"/>
        </w:rPr>
      </w:pPr>
      <w:r w:rsidRPr="00CB4B9E">
        <w:rPr>
          <w:rFonts w:ascii="宋体"/>
          <w:color w:val="000000" w:themeColor="text1"/>
          <w:sz w:val="18"/>
        </w:rPr>
        <w:t xml:space="preserve">     </w:t>
      </w:r>
    </w:p>
    <w:p w:rsidR="00795BC9" w:rsidRPr="009263D7" w:rsidRDefault="00CB4B9E" w:rsidP="00EC1567">
      <w:pPr>
        <w:spacing w:line="280" w:lineRule="exact"/>
        <w:ind w:leftChars="-1" w:left="1062" w:hangingChars="591" w:hanging="1064"/>
        <w:rPr>
          <w:rFonts w:ascii="宋体" w:hAnsi="宋体"/>
          <w:color w:val="000000" w:themeColor="text1"/>
          <w:kern w:val="0"/>
          <w:sz w:val="32"/>
          <w:szCs w:val="32"/>
        </w:rPr>
      </w:pPr>
      <w:r w:rsidRPr="00CB4B9E">
        <w:rPr>
          <w:rFonts w:ascii="宋体" w:hAnsi="宋体" w:cs="宋体"/>
          <w:color w:val="000000" w:themeColor="text1"/>
          <w:kern w:val="0"/>
          <w:sz w:val="18"/>
          <w:szCs w:val="18"/>
        </w:rPr>
        <w:br w:type="page"/>
      </w:r>
    </w:p>
    <w:p w:rsidR="00B16C2B" w:rsidRPr="009263D7" w:rsidRDefault="00CB4B9E" w:rsidP="00CB506B">
      <w:pPr>
        <w:pStyle w:val="2"/>
        <w:jc w:val="center"/>
        <w:rPr>
          <w:rFonts w:ascii="宋体" w:eastAsia="宋体" w:hAnsi="宋体"/>
          <w:b w:val="0"/>
          <w:color w:val="000000" w:themeColor="text1"/>
          <w:kern w:val="0"/>
        </w:rPr>
      </w:pPr>
      <w:bookmarkStart w:id="37" w:name="_Toc452017147"/>
      <w:r w:rsidRPr="00CB4B9E">
        <w:rPr>
          <w:rFonts w:ascii="宋体" w:eastAsia="宋体" w:hAnsi="宋体" w:hint="eastAsia"/>
          <w:b w:val="0"/>
          <w:color w:val="000000" w:themeColor="text1"/>
          <w:kern w:val="0"/>
        </w:rPr>
        <w:lastRenderedPageBreak/>
        <w:t>（六）</w:t>
      </w:r>
      <w:bookmarkEnd w:id="18"/>
      <w:bookmarkEnd w:id="19"/>
      <w:r w:rsidRPr="00CB4B9E">
        <w:rPr>
          <w:rFonts w:ascii="宋体" w:eastAsia="宋体" w:hAnsi="宋体" w:hint="eastAsia"/>
          <w:b w:val="0"/>
          <w:color w:val="000000" w:themeColor="text1"/>
          <w:kern w:val="0"/>
        </w:rPr>
        <w:t>货物、服务、薪资及债务减免等其他各类往来</w:t>
      </w:r>
      <w:bookmarkEnd w:id="37"/>
    </w:p>
    <w:p w:rsidR="00A402AB" w:rsidRPr="009263D7" w:rsidRDefault="00CB4B9E" w:rsidP="00C56782">
      <w:pPr>
        <w:spacing w:line="240" w:lineRule="exact"/>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E01</w:t>
      </w:r>
      <w:r w:rsidRPr="00CB4B9E">
        <w:rPr>
          <w:rFonts w:ascii="宋体" w:hAnsi="宋体" w:cs="宋体" w:hint="eastAsia"/>
          <w:color w:val="000000" w:themeColor="text1"/>
          <w:kern w:val="0"/>
          <w:sz w:val="18"/>
          <w:szCs w:val="18"/>
        </w:rPr>
        <w:t>表</w:t>
      </w:r>
    </w:p>
    <w:p w:rsidR="00A402AB" w:rsidRPr="009263D7" w:rsidRDefault="00CB4B9E" w:rsidP="00482B65">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A402AB" w:rsidRPr="009263D7" w:rsidRDefault="00CB4B9E" w:rsidP="00C95BF3">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2B0B15" w:rsidRPr="009263D7" w:rsidRDefault="00CB4B9E" w:rsidP="00D53413">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D53413" w:rsidRPr="009263D7" w:rsidRDefault="00CB4B9E" w:rsidP="00D53413">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C56782" w:rsidRPr="009263D7" w:rsidRDefault="00CB4B9E" w:rsidP="00FD3A52">
      <w:pPr>
        <w:spacing w:line="240" w:lineRule="exact"/>
        <w:jc w:val="center"/>
        <w:rPr>
          <w:color w:val="000000" w:themeColor="text1"/>
          <w:sz w:val="18"/>
        </w:rPr>
      </w:pPr>
      <w:r w:rsidRPr="00CB4B9E">
        <w:rPr>
          <w:color w:val="000000" w:themeColor="text1"/>
          <w:sz w:val="18"/>
        </w:rPr>
        <w:t xml:space="preserve">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美元</w:t>
      </w:r>
    </w:p>
    <w:tbl>
      <w:tblPr>
        <w:tblW w:w="9626" w:type="dxa"/>
        <w:tblInd w:w="3" w:type="dxa"/>
        <w:tblLook w:val="0000"/>
      </w:tblPr>
      <w:tblGrid>
        <w:gridCol w:w="4358"/>
        <w:gridCol w:w="992"/>
        <w:gridCol w:w="2268"/>
        <w:gridCol w:w="2008"/>
      </w:tblGrid>
      <w:tr w:rsidR="00CC6F2A" w:rsidRPr="009263D7">
        <w:trPr>
          <w:trHeight w:val="360"/>
        </w:trPr>
        <w:tc>
          <w:tcPr>
            <w:tcW w:w="4358" w:type="dxa"/>
            <w:tcBorders>
              <w:top w:val="single" w:sz="8" w:space="0" w:color="auto"/>
              <w:left w:val="nil"/>
              <w:bottom w:val="single" w:sz="4" w:space="0" w:color="auto"/>
              <w:right w:val="single" w:sz="2" w:space="0" w:color="auto"/>
            </w:tcBorders>
            <w:vAlign w:val="bottom"/>
          </w:tcPr>
          <w:p w:rsidR="00CC6F2A" w:rsidRPr="009263D7" w:rsidRDefault="00CB4B9E" w:rsidP="00FD3A52">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项目指标</w:t>
            </w:r>
          </w:p>
        </w:tc>
        <w:tc>
          <w:tcPr>
            <w:tcW w:w="992" w:type="dxa"/>
            <w:tcBorders>
              <w:top w:val="single" w:sz="8" w:space="0" w:color="auto"/>
              <w:left w:val="single" w:sz="2" w:space="0" w:color="auto"/>
              <w:bottom w:val="single" w:sz="4" w:space="0" w:color="auto"/>
              <w:right w:val="single" w:sz="2" w:space="0" w:color="auto"/>
            </w:tcBorders>
            <w:vAlign w:val="bottom"/>
          </w:tcPr>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代码</w:t>
            </w:r>
          </w:p>
        </w:tc>
        <w:tc>
          <w:tcPr>
            <w:tcW w:w="2268" w:type="dxa"/>
            <w:tcBorders>
              <w:top w:val="single" w:sz="8" w:space="0" w:color="auto"/>
              <w:left w:val="single" w:sz="2" w:space="0" w:color="auto"/>
              <w:bottom w:val="single" w:sz="4" w:space="0" w:color="auto"/>
              <w:right w:val="single" w:sz="2" w:space="0" w:color="auto"/>
            </w:tcBorders>
          </w:tcPr>
          <w:p w:rsidR="00CC6F2A" w:rsidRPr="009263D7" w:rsidRDefault="00CB4B9E" w:rsidP="00B164E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交易对方国家</w:t>
            </w:r>
            <w:r w:rsidRPr="00CB4B9E">
              <w:rPr>
                <w:rFonts w:ascii="宋体" w:hAnsi="宋体" w:cs="宋体"/>
                <w:color w:val="000000" w:themeColor="text1"/>
                <w:kern w:val="0"/>
                <w:sz w:val="18"/>
                <w:szCs w:val="18"/>
              </w:rPr>
              <w:t>/地区</w:t>
            </w:r>
          </w:p>
        </w:tc>
        <w:tc>
          <w:tcPr>
            <w:tcW w:w="2008" w:type="dxa"/>
            <w:tcBorders>
              <w:top w:val="single" w:sz="8" w:space="0" w:color="auto"/>
              <w:left w:val="single" w:sz="2" w:space="0" w:color="auto"/>
              <w:bottom w:val="single" w:sz="4" w:space="0" w:color="auto"/>
              <w:right w:val="nil"/>
            </w:tcBorders>
            <w:vAlign w:val="bottom"/>
          </w:tcPr>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金额</w:t>
            </w:r>
          </w:p>
        </w:tc>
      </w:tr>
      <w:tr w:rsidR="00CC6F2A" w:rsidRPr="009263D7">
        <w:trPr>
          <w:trHeight w:val="330"/>
        </w:trPr>
        <w:tc>
          <w:tcPr>
            <w:tcW w:w="4358" w:type="dxa"/>
            <w:tcBorders>
              <w:top w:val="single" w:sz="4" w:space="0" w:color="auto"/>
              <w:left w:val="nil"/>
              <w:bottom w:val="single" w:sz="4" w:space="0" w:color="auto"/>
              <w:right w:val="single" w:sz="2" w:space="0" w:color="auto"/>
            </w:tcBorders>
            <w:vAlign w:val="bottom"/>
          </w:tcPr>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992" w:type="dxa"/>
            <w:tcBorders>
              <w:top w:val="single" w:sz="4" w:space="0" w:color="auto"/>
              <w:left w:val="single" w:sz="2" w:space="0" w:color="auto"/>
              <w:bottom w:val="single" w:sz="4" w:space="0" w:color="auto"/>
              <w:right w:val="single" w:sz="2" w:space="0" w:color="auto"/>
            </w:tcBorders>
            <w:vAlign w:val="bottom"/>
          </w:tcPr>
          <w:p w:rsidR="00CC6F2A" w:rsidRPr="009263D7" w:rsidRDefault="00CB4B9E" w:rsidP="00B164E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2268" w:type="dxa"/>
            <w:tcBorders>
              <w:top w:val="single" w:sz="4" w:space="0" w:color="auto"/>
              <w:left w:val="single" w:sz="2" w:space="0" w:color="auto"/>
              <w:bottom w:val="single" w:sz="4" w:space="0" w:color="auto"/>
              <w:right w:val="single" w:sz="2" w:space="0" w:color="auto"/>
            </w:tcBorders>
          </w:tcPr>
          <w:p w:rsidR="00CC6F2A" w:rsidRPr="009263D7" w:rsidRDefault="00CB4B9E" w:rsidP="00B164E7">
            <w:pPr>
              <w:widowControl/>
              <w:ind w:rightChars="-215" w:right="-451"/>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2008" w:type="dxa"/>
            <w:tcBorders>
              <w:top w:val="single" w:sz="4" w:space="0" w:color="auto"/>
              <w:left w:val="single" w:sz="2" w:space="0" w:color="auto"/>
              <w:bottom w:val="single" w:sz="4" w:space="0" w:color="auto"/>
              <w:right w:val="nil"/>
            </w:tcBorders>
            <w:vAlign w:val="bottom"/>
          </w:tcPr>
          <w:p w:rsidR="00CC6F2A" w:rsidRPr="009263D7" w:rsidRDefault="00CB4B9E" w:rsidP="00B164E7">
            <w:pPr>
              <w:widowControl/>
              <w:ind w:rightChars="-215" w:right="-451"/>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r>
      <w:tr w:rsidR="00CC6F2A" w:rsidRPr="009263D7">
        <w:trPr>
          <w:trHeight w:val="259"/>
        </w:trPr>
        <w:tc>
          <w:tcPr>
            <w:tcW w:w="4358" w:type="dxa"/>
            <w:tcBorders>
              <w:top w:val="single" w:sz="4" w:space="0" w:color="auto"/>
              <w:left w:val="nil"/>
              <w:bottom w:val="nil"/>
              <w:right w:val="single" w:sz="2" w:space="0" w:color="auto"/>
            </w:tcBorders>
          </w:tcPr>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一、来自非居民的收入</w:t>
            </w:r>
          </w:p>
        </w:tc>
        <w:tc>
          <w:tcPr>
            <w:tcW w:w="992" w:type="dxa"/>
            <w:tcBorders>
              <w:top w:val="nil"/>
              <w:left w:val="single" w:sz="2" w:space="0" w:color="auto"/>
              <w:bottom w:val="nil"/>
              <w:right w:val="single" w:sz="2" w:space="0" w:color="auto"/>
            </w:tcBorders>
          </w:tcPr>
          <w:p w:rsidR="00CC6F2A" w:rsidRPr="009263D7" w:rsidRDefault="00CB4B9E" w:rsidP="0046397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1000</w:t>
            </w:r>
          </w:p>
        </w:tc>
        <w:tc>
          <w:tcPr>
            <w:tcW w:w="2268" w:type="dxa"/>
            <w:tcBorders>
              <w:top w:val="single" w:sz="4" w:space="0" w:color="auto"/>
              <w:left w:val="single" w:sz="2" w:space="0" w:color="auto"/>
              <w:bottom w:val="nil"/>
              <w:right w:val="single" w:sz="2" w:space="0" w:color="auto"/>
            </w:tcBorders>
          </w:tcPr>
          <w:p w:rsidR="00CC6F2A" w:rsidRPr="009263D7" w:rsidRDefault="00CC6F2A" w:rsidP="00C41B5B">
            <w:pPr>
              <w:keepNext/>
              <w:widowControl/>
              <w:spacing w:line="320" w:lineRule="exact"/>
              <w:ind w:right="360"/>
              <w:jc w:val="center"/>
              <w:outlineLvl w:val="0"/>
              <w:rPr>
                <w:color w:val="000000" w:themeColor="text1"/>
                <w:kern w:val="0"/>
                <w:sz w:val="18"/>
                <w:szCs w:val="18"/>
              </w:rPr>
            </w:pPr>
          </w:p>
        </w:tc>
        <w:tc>
          <w:tcPr>
            <w:tcW w:w="2008" w:type="dxa"/>
            <w:tcBorders>
              <w:top w:val="single" w:sz="4" w:space="0" w:color="auto"/>
              <w:left w:val="single" w:sz="2" w:space="0" w:color="auto"/>
              <w:bottom w:val="nil"/>
            </w:tcBorders>
            <w:noWrap/>
          </w:tcPr>
          <w:p w:rsidR="00CC6F2A" w:rsidRPr="009263D7" w:rsidRDefault="00CC6F2A" w:rsidP="00C41B5B">
            <w:pPr>
              <w:keepNext/>
              <w:widowControl/>
              <w:spacing w:line="320" w:lineRule="exact"/>
              <w:ind w:right="360"/>
              <w:jc w:val="center"/>
              <w:outlineLvl w:val="0"/>
              <w:rPr>
                <w:color w:val="000000" w:themeColor="text1"/>
                <w:kern w:val="0"/>
                <w:sz w:val="18"/>
                <w:szCs w:val="18"/>
              </w:rPr>
            </w:pPr>
          </w:p>
        </w:tc>
      </w:tr>
      <w:tr w:rsidR="00CC6F2A" w:rsidRPr="009263D7">
        <w:trPr>
          <w:trHeight w:val="259"/>
        </w:trPr>
        <w:tc>
          <w:tcPr>
            <w:tcW w:w="4358" w:type="dxa"/>
            <w:tcBorders>
              <w:top w:val="nil"/>
              <w:left w:val="nil"/>
              <w:right w:val="single" w:sz="2" w:space="0" w:color="auto"/>
            </w:tcBorders>
          </w:tcPr>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货物收入</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其中：非货币黄金收入</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服务收入</w:t>
            </w:r>
          </w:p>
          <w:p w:rsidR="00B17EA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加工服务收入</w:t>
            </w:r>
          </w:p>
          <w:p w:rsidR="00B17EAA" w:rsidRPr="009263D7" w:rsidRDefault="00CB4B9E" w:rsidP="005719C8">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别处未涵盖的维护和维修服务收入</w:t>
            </w:r>
          </w:p>
          <w:p w:rsidR="00CC6F2A" w:rsidRPr="009263D7" w:rsidRDefault="00CB4B9E" w:rsidP="005719C8">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运输收入</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公务及</w:t>
            </w:r>
            <w:r w:rsidRPr="00CB4B9E">
              <w:rPr>
                <w:rFonts w:ascii="宋体" w:hAnsi="宋体" w:cs="宋体" w:hint="eastAsia"/>
                <w:color w:val="000000" w:themeColor="text1"/>
                <w:kern w:val="0"/>
                <w:sz w:val="18"/>
                <w:szCs w:val="18"/>
              </w:rPr>
              <w:t>商务旅行收入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建设</w:t>
            </w:r>
            <w:r w:rsidRPr="00CB4B9E">
              <w:rPr>
                <w:rFonts w:ascii="宋体" w:hAnsi="宋体" w:cs="宋体" w:hint="eastAsia"/>
                <w:color w:val="000000" w:themeColor="text1"/>
                <w:kern w:val="0"/>
                <w:sz w:val="18"/>
                <w:szCs w:val="18"/>
              </w:rPr>
              <w:t>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保险和养老金服务</w:t>
            </w:r>
            <w:r w:rsidRPr="00CB4B9E">
              <w:rPr>
                <w:rFonts w:ascii="宋体" w:hAnsi="宋体" w:cs="宋体" w:hint="eastAsia"/>
                <w:color w:val="000000" w:themeColor="text1"/>
                <w:kern w:val="0"/>
                <w:sz w:val="18"/>
                <w:szCs w:val="18"/>
              </w:rPr>
              <w:t>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金融服务</w:t>
            </w:r>
            <w:r w:rsidRPr="00CB4B9E">
              <w:rPr>
                <w:rFonts w:ascii="宋体" w:hAnsi="宋体" w:cs="宋体" w:hint="eastAsia"/>
                <w:color w:val="000000" w:themeColor="text1"/>
                <w:kern w:val="0"/>
                <w:sz w:val="18"/>
                <w:szCs w:val="18"/>
              </w:rPr>
              <w:t>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知识产权使用费</w:t>
            </w:r>
            <w:r w:rsidRPr="00CB4B9E">
              <w:rPr>
                <w:rFonts w:ascii="宋体" w:hAnsi="宋体" w:cs="宋体" w:hint="eastAsia"/>
                <w:color w:val="000000" w:themeColor="text1"/>
                <w:kern w:val="0"/>
                <w:sz w:val="18"/>
                <w:szCs w:val="18"/>
              </w:rPr>
              <w:t>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电信、计算机和信息服务</w:t>
            </w:r>
            <w:r w:rsidRPr="00CB4B9E">
              <w:rPr>
                <w:rFonts w:ascii="宋体" w:hAnsi="宋体" w:cs="宋体" w:hint="eastAsia"/>
                <w:color w:val="000000" w:themeColor="text1"/>
                <w:kern w:val="0"/>
                <w:sz w:val="18"/>
                <w:szCs w:val="18"/>
              </w:rPr>
              <w:t>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研究和开发服务</w:t>
            </w:r>
            <w:r w:rsidRPr="00CB4B9E">
              <w:rPr>
                <w:rFonts w:ascii="宋体" w:hAnsi="宋体" w:cs="宋体" w:hint="eastAsia"/>
                <w:color w:val="000000" w:themeColor="text1"/>
                <w:kern w:val="0"/>
                <w:sz w:val="18"/>
                <w:szCs w:val="18"/>
              </w:rPr>
              <w:t>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专业和管理咨询服务</w:t>
            </w:r>
            <w:r w:rsidRPr="00CB4B9E">
              <w:rPr>
                <w:rFonts w:ascii="宋体" w:hAnsi="宋体" w:cs="宋体" w:hint="eastAsia"/>
                <w:color w:val="000000" w:themeColor="text1"/>
                <w:kern w:val="0"/>
                <w:sz w:val="18"/>
                <w:szCs w:val="18"/>
              </w:rPr>
              <w:t>收入</w:t>
            </w:r>
            <w:r w:rsidRPr="00CB4B9E">
              <w:rPr>
                <w:rFonts w:ascii="宋体" w:hAnsi="宋体" w:cs="宋体"/>
                <w:color w:val="000000" w:themeColor="text1"/>
                <w:kern w:val="0"/>
                <w:sz w:val="18"/>
                <w:szCs w:val="18"/>
              </w:rPr>
              <w:t xml:space="preserve">              </w:t>
            </w:r>
          </w:p>
          <w:p w:rsidR="00B17EAA" w:rsidRPr="009263D7" w:rsidRDefault="00CB4B9E" w:rsidP="001E2330">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远程教育、医疗和培训收入</w:t>
            </w:r>
          </w:p>
          <w:p w:rsidR="001E2330" w:rsidRPr="009263D7" w:rsidRDefault="00CB4B9E" w:rsidP="001E2330">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技术服务等其他商业服务收入</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二次收入（经常转移）收入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保险赔付</w:t>
            </w:r>
            <w:r w:rsidRPr="00CB4B9E">
              <w:rPr>
                <w:rFonts w:ascii="宋体" w:hAnsi="宋体" w:cs="宋体" w:hint="eastAsia"/>
                <w:color w:val="000000" w:themeColor="text1"/>
                <w:kern w:val="0"/>
                <w:sz w:val="18"/>
                <w:szCs w:val="18"/>
              </w:rPr>
              <w:t>收入</w:t>
            </w:r>
          </w:p>
          <w:p w:rsidR="0046397E"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其他经常转移收入</w:t>
            </w:r>
          </w:p>
          <w:p w:rsidR="00CC6F2A" w:rsidRPr="009263D7" w:rsidRDefault="00CB4B9E" w:rsidP="00C41B5B">
            <w:pPr>
              <w:widowControl/>
              <w:ind w:firstLineChars="300" w:firstLine="54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资本账户收入</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其中：债务减免</w:t>
            </w:r>
          </w:p>
          <w:p w:rsidR="00BC1AF6" w:rsidRPr="009263D7" w:rsidRDefault="00BC1AF6" w:rsidP="00C41B5B">
            <w:pPr>
              <w:widowControl/>
              <w:jc w:val="left"/>
              <w:rPr>
                <w:rFonts w:ascii="宋体" w:hAnsi="宋体" w:cs="宋体"/>
                <w:color w:val="000000" w:themeColor="text1"/>
                <w:kern w:val="0"/>
                <w:sz w:val="18"/>
                <w:szCs w:val="18"/>
              </w:rPr>
            </w:pPr>
          </w:p>
        </w:tc>
        <w:tc>
          <w:tcPr>
            <w:tcW w:w="992" w:type="dxa"/>
            <w:tcBorders>
              <w:top w:val="nil"/>
              <w:left w:val="single" w:sz="2" w:space="0" w:color="auto"/>
              <w:right w:val="single" w:sz="2" w:space="0" w:color="auto"/>
            </w:tcBorders>
          </w:tcPr>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1100</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1101</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1200</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1201</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1202</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1203</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1204</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1205</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1206</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1207</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1208</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1209</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1210</w:t>
            </w:r>
          </w:p>
          <w:p w:rsidR="001E2330"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1211</w:t>
            </w:r>
          </w:p>
          <w:p w:rsidR="00B17EA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1212</w:t>
            </w:r>
          </w:p>
          <w:p w:rsidR="00B17EA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1214</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1600</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1601</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1602</w:t>
            </w:r>
          </w:p>
          <w:p w:rsidR="0046397E"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1700</w:t>
            </w:r>
          </w:p>
          <w:p w:rsidR="00C2015D"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1701</w:t>
            </w:r>
          </w:p>
          <w:p w:rsidR="00C2015D" w:rsidRPr="009263D7" w:rsidRDefault="00C2015D" w:rsidP="00C41B5B">
            <w:pPr>
              <w:keepNext/>
              <w:widowControl/>
              <w:spacing w:line="320" w:lineRule="exact"/>
              <w:jc w:val="center"/>
              <w:outlineLvl w:val="0"/>
              <w:rPr>
                <w:rFonts w:ascii="宋体" w:hAnsi="宋体" w:cs="宋体"/>
                <w:color w:val="000000" w:themeColor="text1"/>
                <w:kern w:val="0"/>
                <w:sz w:val="18"/>
                <w:szCs w:val="18"/>
              </w:rPr>
            </w:pPr>
          </w:p>
        </w:tc>
        <w:tc>
          <w:tcPr>
            <w:tcW w:w="2268" w:type="dxa"/>
            <w:tcBorders>
              <w:top w:val="nil"/>
              <w:left w:val="single" w:sz="2" w:space="0" w:color="auto"/>
              <w:right w:val="single" w:sz="2" w:space="0" w:color="auto"/>
            </w:tcBorders>
          </w:tcPr>
          <w:p w:rsidR="00CC6F2A" w:rsidRPr="009263D7" w:rsidRDefault="00CC6F2A" w:rsidP="00C41B5B">
            <w:pPr>
              <w:keepNext/>
              <w:widowControl/>
              <w:spacing w:line="320" w:lineRule="exact"/>
              <w:ind w:right="360"/>
              <w:jc w:val="center"/>
              <w:outlineLvl w:val="0"/>
              <w:rPr>
                <w:color w:val="000000" w:themeColor="text1"/>
                <w:kern w:val="0"/>
                <w:sz w:val="18"/>
                <w:szCs w:val="18"/>
              </w:rPr>
            </w:pPr>
          </w:p>
        </w:tc>
        <w:tc>
          <w:tcPr>
            <w:tcW w:w="2008" w:type="dxa"/>
            <w:tcBorders>
              <w:top w:val="nil"/>
              <w:left w:val="single" w:sz="2" w:space="0" w:color="auto"/>
            </w:tcBorders>
            <w:noWrap/>
          </w:tcPr>
          <w:p w:rsidR="00CC6F2A" w:rsidRPr="009263D7" w:rsidRDefault="00CC6F2A" w:rsidP="00C41B5B">
            <w:pPr>
              <w:keepNext/>
              <w:widowControl/>
              <w:spacing w:line="320" w:lineRule="exact"/>
              <w:ind w:right="360"/>
              <w:jc w:val="center"/>
              <w:outlineLvl w:val="0"/>
              <w:rPr>
                <w:color w:val="000000" w:themeColor="text1"/>
                <w:kern w:val="0"/>
                <w:sz w:val="18"/>
                <w:szCs w:val="18"/>
              </w:rPr>
            </w:pPr>
          </w:p>
        </w:tc>
      </w:tr>
      <w:tr w:rsidR="00CC6F2A" w:rsidRPr="009263D7">
        <w:trPr>
          <w:trHeight w:val="259"/>
        </w:trPr>
        <w:tc>
          <w:tcPr>
            <w:tcW w:w="4358" w:type="dxa"/>
            <w:tcBorders>
              <w:top w:val="nil"/>
              <w:left w:val="nil"/>
              <w:bottom w:val="single" w:sz="8" w:space="0" w:color="auto"/>
              <w:right w:val="single" w:sz="2" w:space="0" w:color="auto"/>
            </w:tcBorders>
          </w:tcPr>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二、对非居民的支出</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货物支出</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其中：非货币黄金支出</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服务支出</w:t>
            </w:r>
          </w:p>
          <w:p w:rsidR="0018778F" w:rsidRPr="009263D7" w:rsidRDefault="00CB4B9E" w:rsidP="0018778F">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加工服务支出</w:t>
            </w:r>
          </w:p>
          <w:p w:rsidR="00B17EAA" w:rsidRPr="009263D7" w:rsidRDefault="00CB4B9E" w:rsidP="00B414A7">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别处未涵盖的维护和维修服务支出</w:t>
            </w:r>
            <w:r w:rsidRPr="00CB4B9E">
              <w:rPr>
                <w:rFonts w:ascii="宋体" w:hAnsi="宋体" w:cs="宋体"/>
                <w:color w:val="000000" w:themeColor="text1"/>
                <w:kern w:val="0"/>
                <w:sz w:val="18"/>
                <w:szCs w:val="18"/>
              </w:rPr>
              <w:t xml:space="preserve">             </w:t>
            </w:r>
          </w:p>
          <w:p w:rsidR="00CC6F2A" w:rsidRPr="009263D7" w:rsidRDefault="00CB4B9E" w:rsidP="00B414A7">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运输支出</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公务及商务旅行支出</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建设支出</w:t>
            </w:r>
          </w:p>
          <w:p w:rsidR="00FD31DF"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保险和养老金服务支出</w:t>
            </w:r>
          </w:p>
          <w:p w:rsidR="00FD31DF"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金融服务支出</w:t>
            </w:r>
          </w:p>
          <w:p w:rsidR="00FD31DF"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知识产权使用费支出</w:t>
            </w:r>
          </w:p>
          <w:p w:rsidR="00CC6F2A"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lastRenderedPageBreak/>
              <w:t xml:space="preserve">              电信、计算机和信息服务支出</w:t>
            </w:r>
          </w:p>
          <w:p w:rsidR="00FD31DF"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研究和开发服务</w:t>
            </w:r>
            <w:r w:rsidRPr="00CB4B9E">
              <w:rPr>
                <w:rFonts w:ascii="宋体" w:hAnsi="宋体" w:cs="宋体" w:hint="eastAsia"/>
                <w:color w:val="000000" w:themeColor="text1"/>
                <w:kern w:val="0"/>
                <w:sz w:val="18"/>
                <w:szCs w:val="18"/>
              </w:rPr>
              <w:t>支出</w:t>
            </w:r>
          </w:p>
          <w:p w:rsidR="00FD31DF" w:rsidRPr="009263D7" w:rsidRDefault="00CB4B9E" w:rsidP="00C41B5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专业和管理咨询服务支出               </w:t>
            </w:r>
          </w:p>
          <w:p w:rsidR="001E2330" w:rsidRPr="009263D7" w:rsidRDefault="00CB4B9E" w:rsidP="00B414A7">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远程教育、医疗和培训支出</w:t>
            </w:r>
          </w:p>
          <w:p w:rsidR="00C528AC" w:rsidRPr="009263D7" w:rsidRDefault="00CB4B9E" w:rsidP="00B414A7">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签证费等政府服务支出</w:t>
            </w:r>
          </w:p>
          <w:p w:rsidR="00B17EAA" w:rsidRPr="009263D7" w:rsidRDefault="00CB4B9E" w:rsidP="00B414A7">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技术服务等其他商业服务支出</w:t>
            </w:r>
          </w:p>
          <w:p w:rsidR="00CC6F2A" w:rsidRPr="009263D7" w:rsidRDefault="00CB4B9E" w:rsidP="00FD31DF">
            <w:pPr>
              <w:widowControl/>
              <w:ind w:firstLineChars="400" w:firstLine="72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代表处经费</w:t>
            </w:r>
          </w:p>
          <w:p w:rsidR="00CC6F2A" w:rsidRPr="009263D7" w:rsidRDefault="00CB4B9E" w:rsidP="00FD31DF">
            <w:pPr>
              <w:widowControl/>
              <w:ind w:firstLineChars="400" w:firstLine="72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筹备组费用</w:t>
            </w:r>
          </w:p>
          <w:p w:rsidR="000B0351" w:rsidRPr="009263D7" w:rsidRDefault="00CB4B9E" w:rsidP="000B0351">
            <w:pPr>
              <w:widowControl/>
              <w:ind w:firstLineChars="400" w:firstLine="72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支付非居民雇员报酬</w:t>
            </w:r>
          </w:p>
          <w:p w:rsidR="000B0351" w:rsidRPr="009263D7" w:rsidRDefault="00CB4B9E" w:rsidP="00B164E7">
            <w:pPr>
              <w:widowControl/>
              <w:ind w:firstLineChars="550" w:firstLine="99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其中：非居民雇员股票期权支出</w:t>
            </w:r>
          </w:p>
          <w:p w:rsidR="009608C0" w:rsidRPr="009263D7" w:rsidRDefault="00CB4B9E" w:rsidP="009608C0">
            <w:pPr>
              <w:widowControl/>
              <w:ind w:firstLineChars="400" w:firstLine="72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二次收入（经常转移）支出</w:t>
            </w:r>
          </w:p>
          <w:p w:rsidR="00B17EAA" w:rsidRPr="009263D7" w:rsidRDefault="00CB4B9E" w:rsidP="00B17EAA">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保险赔付</w:t>
            </w:r>
            <w:r w:rsidRPr="00CB4B9E">
              <w:rPr>
                <w:rFonts w:ascii="宋体" w:hAnsi="宋体" w:cs="宋体" w:hint="eastAsia"/>
                <w:color w:val="000000" w:themeColor="text1"/>
                <w:kern w:val="0"/>
                <w:sz w:val="18"/>
                <w:szCs w:val="18"/>
              </w:rPr>
              <w:t>支出</w:t>
            </w:r>
          </w:p>
          <w:p w:rsidR="009608C0" w:rsidRPr="009263D7" w:rsidRDefault="00CB4B9E" w:rsidP="00B17EAA">
            <w:pPr>
              <w:widowControl/>
              <w:ind w:firstLineChars="700" w:firstLine="126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其他经常转移支出</w:t>
            </w:r>
            <w:r w:rsidRPr="00CB4B9E">
              <w:rPr>
                <w:rFonts w:ascii="宋体" w:hAnsi="宋体" w:cs="宋体"/>
                <w:color w:val="000000" w:themeColor="text1"/>
                <w:kern w:val="0"/>
                <w:sz w:val="18"/>
                <w:szCs w:val="18"/>
              </w:rPr>
              <w:t xml:space="preserve"> </w:t>
            </w:r>
          </w:p>
          <w:p w:rsidR="00CC6F2A" w:rsidRPr="009263D7" w:rsidRDefault="00CB4B9E" w:rsidP="009608C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资本账户支出</w:t>
            </w:r>
          </w:p>
          <w:p w:rsidR="00CC6F2A" w:rsidRPr="009263D7" w:rsidRDefault="00CB4B9E" w:rsidP="000B035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其中：债务减免</w:t>
            </w:r>
          </w:p>
          <w:p w:rsidR="00B17EAA" w:rsidRPr="009263D7" w:rsidRDefault="00B17EAA" w:rsidP="000B0351">
            <w:pPr>
              <w:widowControl/>
              <w:jc w:val="left"/>
              <w:rPr>
                <w:rFonts w:ascii="宋体" w:hAnsi="宋体" w:cs="宋体"/>
                <w:color w:val="000000" w:themeColor="text1"/>
                <w:kern w:val="0"/>
                <w:sz w:val="18"/>
                <w:szCs w:val="18"/>
              </w:rPr>
            </w:pPr>
          </w:p>
          <w:p w:rsidR="00B17EAA" w:rsidRPr="009263D7" w:rsidRDefault="00CB4B9E" w:rsidP="000B035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三、代扣代缴税</w:t>
            </w:r>
          </w:p>
          <w:p w:rsidR="00B17EAA" w:rsidRPr="009263D7" w:rsidRDefault="00CB4B9E" w:rsidP="00B17EAA">
            <w:pPr>
              <w:widowControl/>
              <w:ind w:firstLineChars="550" w:firstLine="99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代扣代缴税（我国税收收入）</w:t>
            </w:r>
          </w:p>
          <w:p w:rsidR="00B17EAA" w:rsidRPr="009263D7" w:rsidRDefault="00CB4B9E" w:rsidP="00B17EAA">
            <w:pPr>
              <w:widowControl/>
              <w:ind w:firstLineChars="550" w:firstLine="99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支付境外代扣代缴税（对他国税收支出）</w:t>
            </w:r>
          </w:p>
        </w:tc>
        <w:tc>
          <w:tcPr>
            <w:tcW w:w="992" w:type="dxa"/>
            <w:tcBorders>
              <w:top w:val="nil"/>
              <w:left w:val="single" w:sz="2" w:space="0" w:color="auto"/>
              <w:bottom w:val="single" w:sz="8" w:space="0" w:color="auto"/>
              <w:right w:val="single" w:sz="2" w:space="0" w:color="auto"/>
            </w:tcBorders>
          </w:tcPr>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lastRenderedPageBreak/>
              <w:t>2000</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2100</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2101</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2200</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2201</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2202</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2203</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2204</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2205</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2206</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2207</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2208</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lastRenderedPageBreak/>
              <w:t>2209</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2210</w:t>
            </w:r>
          </w:p>
          <w:p w:rsidR="00C528AC"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2211</w:t>
            </w:r>
          </w:p>
          <w:p w:rsidR="001E2330"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2212</w:t>
            </w:r>
          </w:p>
          <w:p w:rsidR="00B17EA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2213</w:t>
            </w:r>
          </w:p>
          <w:p w:rsidR="00B17EA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2214</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2300</w:t>
            </w:r>
          </w:p>
          <w:p w:rsidR="00CC6F2A" w:rsidRPr="009263D7" w:rsidRDefault="00CB4B9E" w:rsidP="00C41B5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2400</w:t>
            </w:r>
          </w:p>
          <w:p w:rsidR="00CC6F2A"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2500</w:t>
            </w:r>
          </w:p>
          <w:p w:rsidR="00C528AC"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2501</w:t>
            </w:r>
          </w:p>
          <w:p w:rsidR="00C528AC"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2600</w:t>
            </w:r>
          </w:p>
          <w:p w:rsidR="00C528AC"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2601</w:t>
            </w:r>
          </w:p>
          <w:p w:rsidR="00B17EAA"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2602</w:t>
            </w:r>
          </w:p>
          <w:p w:rsidR="00C528AC"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2700</w:t>
            </w:r>
          </w:p>
          <w:p w:rsidR="00C528AC"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2701</w:t>
            </w:r>
          </w:p>
          <w:p w:rsidR="00B17EAA" w:rsidRPr="009263D7" w:rsidRDefault="00B17EAA" w:rsidP="00C528AC">
            <w:pPr>
              <w:keepNext/>
              <w:widowControl/>
              <w:spacing w:line="320" w:lineRule="exact"/>
              <w:jc w:val="center"/>
              <w:outlineLvl w:val="0"/>
              <w:rPr>
                <w:rFonts w:ascii="宋体" w:hAnsi="宋体" w:cs="宋体"/>
                <w:color w:val="000000" w:themeColor="text1"/>
                <w:kern w:val="0"/>
                <w:sz w:val="18"/>
                <w:szCs w:val="18"/>
              </w:rPr>
            </w:pPr>
          </w:p>
          <w:p w:rsidR="00B17EAA"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3000</w:t>
            </w:r>
          </w:p>
          <w:p w:rsidR="00B17EAA"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3001</w:t>
            </w:r>
          </w:p>
          <w:p w:rsidR="00B17EAA" w:rsidRPr="009263D7" w:rsidRDefault="00CB4B9E" w:rsidP="00C528A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3002</w:t>
            </w:r>
          </w:p>
        </w:tc>
        <w:tc>
          <w:tcPr>
            <w:tcW w:w="2268" w:type="dxa"/>
            <w:tcBorders>
              <w:top w:val="nil"/>
              <w:left w:val="single" w:sz="2" w:space="0" w:color="auto"/>
              <w:bottom w:val="single" w:sz="8" w:space="0" w:color="auto"/>
              <w:right w:val="single" w:sz="2" w:space="0" w:color="auto"/>
            </w:tcBorders>
          </w:tcPr>
          <w:p w:rsidR="00CC6F2A" w:rsidRPr="009263D7" w:rsidRDefault="00CC6F2A" w:rsidP="00C41B5B">
            <w:pPr>
              <w:keepNext/>
              <w:widowControl/>
              <w:spacing w:line="320" w:lineRule="exact"/>
              <w:ind w:right="360"/>
              <w:jc w:val="center"/>
              <w:outlineLvl w:val="0"/>
              <w:rPr>
                <w:color w:val="000000" w:themeColor="text1"/>
                <w:kern w:val="0"/>
                <w:sz w:val="18"/>
                <w:szCs w:val="18"/>
              </w:rPr>
            </w:pPr>
          </w:p>
        </w:tc>
        <w:tc>
          <w:tcPr>
            <w:tcW w:w="2008" w:type="dxa"/>
            <w:tcBorders>
              <w:top w:val="nil"/>
              <w:left w:val="single" w:sz="2" w:space="0" w:color="auto"/>
              <w:bottom w:val="single" w:sz="8" w:space="0" w:color="auto"/>
            </w:tcBorders>
            <w:noWrap/>
          </w:tcPr>
          <w:p w:rsidR="00CC6F2A" w:rsidRPr="009263D7" w:rsidRDefault="00CC6F2A" w:rsidP="00C41B5B">
            <w:pPr>
              <w:keepNext/>
              <w:widowControl/>
              <w:spacing w:line="320" w:lineRule="exact"/>
              <w:ind w:right="360"/>
              <w:jc w:val="center"/>
              <w:outlineLvl w:val="0"/>
              <w:rPr>
                <w:color w:val="000000" w:themeColor="text1"/>
                <w:kern w:val="0"/>
                <w:sz w:val="18"/>
                <w:szCs w:val="18"/>
              </w:rPr>
            </w:pPr>
          </w:p>
        </w:tc>
      </w:tr>
    </w:tbl>
    <w:p w:rsidR="00CC6F2A" w:rsidRPr="009263D7" w:rsidRDefault="00CB4B9E" w:rsidP="00CC6F2A">
      <w:pPr>
        <w:rPr>
          <w:rFonts w:ascii="宋体"/>
          <w:color w:val="000000" w:themeColor="text1"/>
          <w:sz w:val="18"/>
        </w:rPr>
      </w:pPr>
      <w:r w:rsidRPr="00CB4B9E">
        <w:rPr>
          <w:rFonts w:ascii="宋体" w:hint="eastAsia"/>
          <w:color w:val="000000" w:themeColor="text1"/>
          <w:sz w:val="18"/>
        </w:rPr>
        <w:lastRenderedPageBreak/>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spacing w:line="28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8855D8" w:rsidRPr="009263D7" w:rsidRDefault="00CB4B9E" w:rsidP="00301A8C">
      <w:pPr>
        <w:pStyle w:val="2"/>
        <w:rPr>
          <w:rFonts w:ascii="宋体" w:eastAsia="宋体" w:hAnsi="宋体"/>
          <w:b w:val="0"/>
          <w:color w:val="000000" w:themeColor="text1"/>
          <w:kern w:val="0"/>
        </w:rPr>
      </w:pPr>
      <w:r w:rsidRPr="00CB4B9E">
        <w:rPr>
          <w:rFonts w:ascii="宋体"/>
          <w:color w:val="000000" w:themeColor="text1"/>
          <w:sz w:val="18"/>
        </w:rPr>
        <w:br w:type="page"/>
      </w:r>
    </w:p>
    <w:p w:rsidR="00DC477E" w:rsidRPr="009263D7" w:rsidRDefault="00CB4B9E" w:rsidP="00DC477E">
      <w:pPr>
        <w:pStyle w:val="2"/>
        <w:jc w:val="center"/>
        <w:rPr>
          <w:rFonts w:ascii="宋体" w:eastAsia="宋体" w:hAnsi="宋体"/>
          <w:b w:val="0"/>
          <w:color w:val="000000" w:themeColor="text1"/>
          <w:kern w:val="0"/>
        </w:rPr>
      </w:pPr>
      <w:bookmarkStart w:id="38" w:name="_Toc452017148"/>
      <w:r w:rsidRPr="00CB4B9E">
        <w:rPr>
          <w:rFonts w:ascii="宋体" w:eastAsia="宋体" w:hAnsi="宋体" w:hint="eastAsia"/>
          <w:b w:val="0"/>
          <w:color w:val="000000" w:themeColor="text1"/>
          <w:kern w:val="0"/>
        </w:rPr>
        <w:lastRenderedPageBreak/>
        <w:t>（七）与进出口票据、单证有关业务</w:t>
      </w:r>
      <w:bookmarkEnd w:id="38"/>
    </w:p>
    <w:p w:rsidR="0009298C" w:rsidRPr="009263D7" w:rsidRDefault="00CB4B9E" w:rsidP="002F3E17">
      <w:pPr>
        <w:pStyle w:val="3"/>
        <w:jc w:val="center"/>
        <w:rPr>
          <w:rFonts w:ascii="宋体" w:hAnsi="宋体"/>
          <w:b w:val="0"/>
          <w:color w:val="000000" w:themeColor="text1"/>
          <w:kern w:val="0"/>
          <w:sz w:val="28"/>
          <w:szCs w:val="28"/>
        </w:rPr>
      </w:pPr>
      <w:bookmarkStart w:id="39" w:name="_Toc452017149"/>
      <w:r w:rsidRPr="00CB4B9E">
        <w:rPr>
          <w:rFonts w:ascii="宋体" w:hAnsi="宋体" w:hint="eastAsia"/>
          <w:b w:val="0"/>
          <w:color w:val="000000" w:themeColor="text1"/>
          <w:kern w:val="0"/>
          <w:sz w:val="28"/>
          <w:szCs w:val="28"/>
        </w:rPr>
        <w:t>买断出口票据、单证业务</w:t>
      </w:r>
      <w:bookmarkEnd w:id="39"/>
    </w:p>
    <w:p w:rsidR="00653494" w:rsidRPr="009263D7" w:rsidRDefault="00CB4B9E" w:rsidP="00653494">
      <w:pPr>
        <w:spacing w:line="240" w:lineRule="exact"/>
        <w:ind w:firstLineChars="3350" w:firstLine="6030"/>
        <w:rPr>
          <w:rFonts w:ascii="宋体" w:hAnsi="宋体"/>
          <w:color w:val="000000" w:themeColor="text1"/>
          <w:kern w:val="0"/>
          <w:sz w:val="32"/>
          <w:szCs w:val="32"/>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F01表</w:t>
      </w:r>
    </w:p>
    <w:p w:rsidR="00653494" w:rsidRPr="009263D7" w:rsidRDefault="00CB4B9E" w:rsidP="00653494">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653494" w:rsidRPr="009263D7" w:rsidRDefault="00CB4B9E" w:rsidP="00653494">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653494" w:rsidRPr="009263D7" w:rsidRDefault="00CB4B9E" w:rsidP="0065349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653494" w:rsidRPr="009263D7" w:rsidRDefault="00CB4B9E" w:rsidP="0065349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653494" w:rsidRPr="009263D7" w:rsidRDefault="00CB4B9E" w:rsidP="00653494">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653494" w:rsidRPr="009263D7" w:rsidRDefault="00CB4B9E" w:rsidP="00653494">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0" w:type="auto"/>
        <w:tblInd w:w="93" w:type="dxa"/>
        <w:tblLook w:val="04A0"/>
      </w:tblPr>
      <w:tblGrid>
        <w:gridCol w:w="880"/>
        <w:gridCol w:w="1443"/>
        <w:gridCol w:w="333"/>
        <w:gridCol w:w="333"/>
        <w:gridCol w:w="2147"/>
        <w:gridCol w:w="1584"/>
        <w:gridCol w:w="2007"/>
        <w:gridCol w:w="809"/>
      </w:tblGrid>
      <w:tr w:rsidR="00F917C7" w:rsidRPr="009263D7" w:rsidTr="0056139B">
        <w:trPr>
          <w:trHeight w:val="722"/>
        </w:trPr>
        <w:tc>
          <w:tcPr>
            <w:tcW w:w="0" w:type="auto"/>
            <w:tcBorders>
              <w:top w:val="single" w:sz="8" w:space="0" w:color="auto"/>
              <w:left w:val="nil"/>
              <w:right w:val="single" w:sz="2" w:space="0" w:color="auto"/>
            </w:tcBorders>
            <w:shd w:val="clear" w:color="auto" w:fill="auto"/>
            <w:vAlign w:val="center"/>
          </w:tcPr>
          <w:p w:rsidR="0090056B"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相关业务</w:t>
            </w:r>
          </w:p>
          <w:p w:rsidR="0090056B" w:rsidRDefault="0035038B">
            <w:pPr>
              <w:widowControl/>
              <w:jc w:val="center"/>
              <w:rPr>
                <w:rFonts w:ascii="宋体" w:hAnsi="宋体" w:cs="宋体"/>
                <w:color w:val="000000" w:themeColor="text1"/>
                <w:kern w:val="0"/>
                <w:sz w:val="18"/>
                <w:szCs w:val="18"/>
              </w:rPr>
            </w:pPr>
            <w:r w:rsidRPr="00595A67">
              <w:rPr>
                <w:rFonts w:ascii="宋体" w:hAnsi="宋体" w:cs="宋体" w:hint="eastAsia"/>
                <w:color w:val="000000" w:themeColor="text1"/>
                <w:kern w:val="0"/>
                <w:sz w:val="18"/>
                <w:szCs w:val="18"/>
              </w:rPr>
              <w:t>类</w:t>
            </w:r>
            <w:r w:rsidR="00CB4B9E" w:rsidRPr="00CB4B9E">
              <w:rPr>
                <w:rFonts w:ascii="宋体" w:hAnsi="宋体" w:cs="宋体" w:hint="eastAsia"/>
                <w:color w:val="000000" w:themeColor="text1"/>
                <w:kern w:val="0"/>
                <w:sz w:val="18"/>
                <w:szCs w:val="18"/>
              </w:rPr>
              <w:t>型</w:t>
            </w:r>
          </w:p>
        </w:tc>
        <w:tc>
          <w:tcPr>
            <w:tcW w:w="0" w:type="auto"/>
            <w:gridSpan w:val="2"/>
            <w:tcBorders>
              <w:top w:val="single" w:sz="8" w:space="0" w:color="auto"/>
              <w:left w:val="single" w:sz="2" w:space="0" w:color="auto"/>
              <w:right w:val="single" w:sz="2" w:space="0" w:color="auto"/>
            </w:tcBorders>
            <w:shd w:val="clear" w:color="auto" w:fill="auto"/>
            <w:vAlign w:val="center"/>
          </w:tcPr>
          <w:p w:rsidR="0035038B" w:rsidRDefault="00CB4B9E" w:rsidP="00F917C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是否附有银行承兑</w:t>
            </w:r>
          </w:p>
          <w:p w:rsidR="00F917C7" w:rsidRPr="009263D7" w:rsidRDefault="00CB4B9E" w:rsidP="00F917C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汇票</w:t>
            </w:r>
          </w:p>
        </w:tc>
        <w:tc>
          <w:tcPr>
            <w:tcW w:w="0" w:type="auto"/>
            <w:gridSpan w:val="2"/>
            <w:tcBorders>
              <w:top w:val="single" w:sz="8" w:space="0" w:color="auto"/>
              <w:left w:val="single" w:sz="2" w:space="0" w:color="auto"/>
              <w:right w:val="single" w:sz="2" w:space="0" w:color="auto"/>
            </w:tcBorders>
            <w:shd w:val="clear" w:color="auto" w:fill="auto"/>
            <w:vAlign w:val="center"/>
          </w:tcPr>
          <w:p w:rsidR="00F917C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境外付款人所属国家</w:t>
            </w:r>
            <w:r w:rsidRPr="00CB4B9E">
              <w:rPr>
                <w:color w:val="000000" w:themeColor="text1"/>
                <w:kern w:val="0"/>
                <w:sz w:val="18"/>
                <w:szCs w:val="18"/>
              </w:rPr>
              <w:t>/</w:t>
            </w:r>
            <w:r w:rsidRPr="00CB4B9E">
              <w:rPr>
                <w:rFonts w:ascii="宋体" w:hAnsi="宋体" w:cs="宋体" w:hint="eastAsia"/>
                <w:color w:val="000000" w:themeColor="text1"/>
                <w:kern w:val="0"/>
                <w:sz w:val="18"/>
                <w:szCs w:val="18"/>
              </w:rPr>
              <w:t>地区</w:t>
            </w:r>
          </w:p>
        </w:tc>
        <w:tc>
          <w:tcPr>
            <w:tcW w:w="0" w:type="auto"/>
            <w:tcBorders>
              <w:top w:val="single" w:sz="8" w:space="0" w:color="auto"/>
              <w:left w:val="single" w:sz="2" w:space="0" w:color="auto"/>
              <w:right w:val="single" w:sz="2" w:space="0" w:color="auto"/>
            </w:tcBorders>
            <w:shd w:val="clear" w:color="auto" w:fill="auto"/>
            <w:vAlign w:val="center"/>
          </w:tcPr>
          <w:p w:rsidR="00F917C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境外付款人所属部门</w:t>
            </w:r>
          </w:p>
        </w:tc>
        <w:tc>
          <w:tcPr>
            <w:tcW w:w="0" w:type="auto"/>
            <w:tcBorders>
              <w:top w:val="single" w:sz="8" w:space="0" w:color="auto"/>
              <w:left w:val="single" w:sz="2" w:space="0" w:color="auto"/>
              <w:right w:val="single" w:sz="2" w:space="0" w:color="auto"/>
            </w:tcBorders>
            <w:shd w:val="clear" w:color="auto" w:fill="auto"/>
            <w:vAlign w:val="center"/>
          </w:tcPr>
          <w:p w:rsidR="00F917C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境外付款人与本机构的关系</w:t>
            </w:r>
          </w:p>
        </w:tc>
        <w:tc>
          <w:tcPr>
            <w:tcW w:w="0" w:type="auto"/>
            <w:tcBorders>
              <w:top w:val="single" w:sz="8" w:space="0" w:color="auto"/>
              <w:left w:val="single" w:sz="2" w:space="0" w:color="auto"/>
              <w:right w:val="nil"/>
            </w:tcBorders>
            <w:shd w:val="clear" w:color="auto" w:fill="auto"/>
            <w:vAlign w:val="center"/>
          </w:tcPr>
          <w:p w:rsidR="0035038B"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w:t>
            </w:r>
          </w:p>
          <w:p w:rsidR="00F917C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期限</w:t>
            </w:r>
          </w:p>
        </w:tc>
      </w:tr>
      <w:tr w:rsidR="00F917C7" w:rsidRPr="009263D7" w:rsidTr="0056139B">
        <w:trPr>
          <w:trHeight w:val="300"/>
        </w:trPr>
        <w:tc>
          <w:tcPr>
            <w:tcW w:w="0" w:type="auto"/>
            <w:tcBorders>
              <w:left w:val="nil"/>
              <w:bottom w:val="single" w:sz="2" w:space="0" w:color="auto"/>
              <w:right w:val="single" w:sz="2" w:space="0" w:color="auto"/>
            </w:tcBorders>
            <w:shd w:val="clear" w:color="auto" w:fill="auto"/>
            <w:noWrap/>
            <w:vAlign w:val="bottom"/>
          </w:tcPr>
          <w:p w:rsidR="00F917C7" w:rsidRPr="009263D7" w:rsidRDefault="00CB4B9E" w:rsidP="008E2D8C">
            <w:pPr>
              <w:widowControl/>
              <w:jc w:val="center"/>
              <w:rPr>
                <w:color w:val="000000" w:themeColor="text1"/>
                <w:kern w:val="0"/>
                <w:sz w:val="18"/>
                <w:szCs w:val="18"/>
              </w:rPr>
            </w:pPr>
            <w:r w:rsidRPr="00CB4B9E">
              <w:rPr>
                <w:color w:val="000000" w:themeColor="text1"/>
                <w:kern w:val="0"/>
                <w:sz w:val="18"/>
                <w:szCs w:val="18"/>
              </w:rPr>
              <w:t>F0101</w:t>
            </w:r>
          </w:p>
        </w:tc>
        <w:tc>
          <w:tcPr>
            <w:tcW w:w="0" w:type="auto"/>
            <w:gridSpan w:val="2"/>
            <w:tcBorders>
              <w:left w:val="single" w:sz="2" w:space="0" w:color="auto"/>
              <w:bottom w:val="single" w:sz="2" w:space="0" w:color="auto"/>
              <w:right w:val="single" w:sz="2" w:space="0" w:color="auto"/>
            </w:tcBorders>
            <w:shd w:val="clear" w:color="auto" w:fill="auto"/>
            <w:noWrap/>
            <w:vAlign w:val="bottom"/>
          </w:tcPr>
          <w:p w:rsidR="00F917C7" w:rsidRPr="009263D7" w:rsidRDefault="00CB4B9E" w:rsidP="006335B2">
            <w:pPr>
              <w:widowControl/>
              <w:jc w:val="center"/>
              <w:rPr>
                <w:color w:val="000000" w:themeColor="text1"/>
                <w:kern w:val="0"/>
                <w:sz w:val="18"/>
                <w:szCs w:val="18"/>
              </w:rPr>
            </w:pPr>
            <w:r w:rsidRPr="00CB4B9E">
              <w:rPr>
                <w:color w:val="000000" w:themeColor="text1"/>
                <w:kern w:val="0"/>
                <w:sz w:val="18"/>
                <w:szCs w:val="18"/>
              </w:rPr>
              <w:t>F0102</w:t>
            </w:r>
          </w:p>
        </w:tc>
        <w:tc>
          <w:tcPr>
            <w:tcW w:w="0" w:type="auto"/>
            <w:gridSpan w:val="2"/>
            <w:tcBorders>
              <w:left w:val="single" w:sz="2" w:space="0" w:color="auto"/>
              <w:bottom w:val="single" w:sz="2" w:space="0" w:color="auto"/>
              <w:right w:val="single" w:sz="2" w:space="0" w:color="auto"/>
            </w:tcBorders>
            <w:shd w:val="clear" w:color="auto" w:fill="auto"/>
            <w:vAlign w:val="bottom"/>
          </w:tcPr>
          <w:p w:rsidR="00F917C7" w:rsidRPr="009263D7" w:rsidRDefault="00CB4B9E" w:rsidP="008E2D8C">
            <w:pPr>
              <w:jc w:val="center"/>
              <w:rPr>
                <w:color w:val="000000" w:themeColor="text1"/>
                <w:kern w:val="0"/>
                <w:sz w:val="18"/>
                <w:szCs w:val="18"/>
              </w:rPr>
            </w:pPr>
            <w:r w:rsidRPr="00CB4B9E">
              <w:rPr>
                <w:color w:val="000000" w:themeColor="text1"/>
                <w:kern w:val="0"/>
                <w:sz w:val="18"/>
                <w:szCs w:val="18"/>
              </w:rPr>
              <w:t>F0103</w:t>
            </w:r>
          </w:p>
        </w:tc>
        <w:tc>
          <w:tcPr>
            <w:tcW w:w="0" w:type="auto"/>
            <w:tcBorders>
              <w:left w:val="single" w:sz="2" w:space="0" w:color="auto"/>
              <w:bottom w:val="single" w:sz="2" w:space="0" w:color="auto"/>
              <w:right w:val="single" w:sz="2" w:space="0" w:color="auto"/>
            </w:tcBorders>
            <w:shd w:val="clear" w:color="auto" w:fill="auto"/>
            <w:noWrap/>
            <w:vAlign w:val="bottom"/>
          </w:tcPr>
          <w:p w:rsidR="00F917C7" w:rsidRPr="009263D7" w:rsidRDefault="00CB4B9E" w:rsidP="008E2D8C">
            <w:pPr>
              <w:widowControl/>
              <w:jc w:val="center"/>
              <w:rPr>
                <w:color w:val="000000" w:themeColor="text1"/>
                <w:kern w:val="0"/>
                <w:sz w:val="18"/>
                <w:szCs w:val="18"/>
              </w:rPr>
            </w:pPr>
            <w:r w:rsidRPr="00CB4B9E">
              <w:rPr>
                <w:color w:val="000000" w:themeColor="text1"/>
                <w:kern w:val="0"/>
                <w:sz w:val="18"/>
                <w:szCs w:val="18"/>
              </w:rPr>
              <w:t>F0104</w:t>
            </w:r>
          </w:p>
        </w:tc>
        <w:tc>
          <w:tcPr>
            <w:tcW w:w="0" w:type="auto"/>
            <w:tcBorders>
              <w:left w:val="single" w:sz="2" w:space="0" w:color="auto"/>
              <w:bottom w:val="single" w:sz="2" w:space="0" w:color="auto"/>
              <w:right w:val="single" w:sz="2" w:space="0" w:color="auto"/>
            </w:tcBorders>
            <w:shd w:val="clear" w:color="auto" w:fill="auto"/>
            <w:noWrap/>
            <w:vAlign w:val="bottom"/>
          </w:tcPr>
          <w:p w:rsidR="00F917C7" w:rsidRPr="009263D7" w:rsidRDefault="00CB4B9E" w:rsidP="008E2D8C">
            <w:pPr>
              <w:widowControl/>
              <w:jc w:val="center"/>
              <w:rPr>
                <w:color w:val="000000" w:themeColor="text1"/>
                <w:kern w:val="0"/>
                <w:sz w:val="18"/>
                <w:szCs w:val="18"/>
              </w:rPr>
            </w:pPr>
            <w:r w:rsidRPr="00CB4B9E">
              <w:rPr>
                <w:color w:val="000000" w:themeColor="text1"/>
                <w:kern w:val="0"/>
                <w:sz w:val="18"/>
                <w:szCs w:val="18"/>
              </w:rPr>
              <w:t>F0105</w:t>
            </w:r>
          </w:p>
        </w:tc>
        <w:tc>
          <w:tcPr>
            <w:tcW w:w="0" w:type="auto"/>
            <w:tcBorders>
              <w:left w:val="single" w:sz="2" w:space="0" w:color="auto"/>
              <w:bottom w:val="single" w:sz="2" w:space="0" w:color="auto"/>
              <w:right w:val="nil"/>
            </w:tcBorders>
            <w:shd w:val="clear" w:color="auto" w:fill="auto"/>
            <w:vAlign w:val="bottom"/>
          </w:tcPr>
          <w:p w:rsidR="00F917C7" w:rsidRPr="009263D7" w:rsidRDefault="00CB4B9E" w:rsidP="008E2D8C">
            <w:pPr>
              <w:widowControl/>
              <w:jc w:val="center"/>
              <w:rPr>
                <w:color w:val="000000" w:themeColor="text1"/>
                <w:kern w:val="0"/>
                <w:sz w:val="18"/>
                <w:szCs w:val="18"/>
              </w:rPr>
            </w:pPr>
            <w:r w:rsidRPr="00CB4B9E">
              <w:rPr>
                <w:color w:val="000000" w:themeColor="text1"/>
                <w:kern w:val="0"/>
                <w:sz w:val="18"/>
                <w:szCs w:val="18"/>
              </w:rPr>
              <w:t>F0106</w:t>
            </w:r>
          </w:p>
        </w:tc>
      </w:tr>
      <w:tr w:rsidR="00F917C7" w:rsidRPr="009263D7" w:rsidTr="0056139B">
        <w:trPr>
          <w:trHeight w:val="300"/>
        </w:trPr>
        <w:tc>
          <w:tcPr>
            <w:tcW w:w="0" w:type="auto"/>
            <w:tcBorders>
              <w:top w:val="single" w:sz="2" w:space="0" w:color="auto"/>
              <w:left w:val="nil"/>
              <w:bottom w:val="single" w:sz="2" w:space="0" w:color="auto"/>
              <w:right w:val="single" w:sz="2" w:space="0" w:color="auto"/>
            </w:tcBorders>
            <w:shd w:val="clear" w:color="auto" w:fill="auto"/>
            <w:noWrap/>
            <w:vAlign w:val="bottom"/>
          </w:tcPr>
          <w:p w:rsidR="00F917C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0" w:type="auto"/>
            <w:gridSpan w:val="2"/>
            <w:tcBorders>
              <w:top w:val="single" w:sz="2" w:space="0" w:color="auto"/>
              <w:left w:val="single" w:sz="2" w:space="0" w:color="auto"/>
              <w:bottom w:val="single" w:sz="2" w:space="0" w:color="auto"/>
              <w:right w:val="single" w:sz="2" w:space="0" w:color="auto"/>
            </w:tcBorders>
            <w:shd w:val="clear" w:color="auto" w:fill="auto"/>
            <w:noWrap/>
            <w:vAlign w:val="bottom"/>
          </w:tcPr>
          <w:p w:rsidR="00F917C7" w:rsidRPr="009263D7" w:rsidRDefault="00CB4B9E" w:rsidP="006335B2">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0" w:type="auto"/>
            <w:gridSpan w:val="2"/>
            <w:tcBorders>
              <w:top w:val="single" w:sz="2" w:space="0" w:color="auto"/>
              <w:left w:val="single" w:sz="2" w:space="0" w:color="auto"/>
              <w:bottom w:val="single" w:sz="2" w:space="0" w:color="auto"/>
              <w:right w:val="single" w:sz="2" w:space="0" w:color="auto"/>
            </w:tcBorders>
            <w:shd w:val="clear" w:color="auto" w:fill="auto"/>
            <w:vAlign w:val="bottom"/>
          </w:tcPr>
          <w:p w:rsidR="00F917C7" w:rsidRPr="009263D7" w:rsidRDefault="00CB4B9E" w:rsidP="008E2D8C">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0" w:type="auto"/>
            <w:tcBorders>
              <w:top w:val="single" w:sz="2" w:space="0" w:color="auto"/>
              <w:left w:val="single" w:sz="2" w:space="0" w:color="auto"/>
              <w:bottom w:val="single" w:sz="2" w:space="0" w:color="auto"/>
              <w:right w:val="single" w:sz="2" w:space="0" w:color="auto"/>
            </w:tcBorders>
            <w:shd w:val="clear" w:color="auto" w:fill="auto"/>
            <w:noWrap/>
            <w:vAlign w:val="bottom"/>
          </w:tcPr>
          <w:p w:rsidR="00F917C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0" w:type="auto"/>
            <w:tcBorders>
              <w:top w:val="single" w:sz="2" w:space="0" w:color="auto"/>
              <w:left w:val="single" w:sz="2" w:space="0" w:color="auto"/>
              <w:bottom w:val="single" w:sz="2" w:space="0" w:color="auto"/>
              <w:right w:val="single" w:sz="2" w:space="0" w:color="auto"/>
            </w:tcBorders>
            <w:shd w:val="clear" w:color="auto" w:fill="auto"/>
            <w:noWrap/>
            <w:vAlign w:val="bottom"/>
          </w:tcPr>
          <w:p w:rsidR="00F917C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0" w:type="auto"/>
            <w:tcBorders>
              <w:top w:val="single" w:sz="2" w:space="0" w:color="auto"/>
              <w:left w:val="single" w:sz="2" w:space="0" w:color="auto"/>
              <w:bottom w:val="single" w:sz="2" w:space="0" w:color="auto"/>
              <w:right w:val="nil"/>
            </w:tcBorders>
            <w:shd w:val="clear" w:color="auto" w:fill="auto"/>
            <w:vAlign w:val="bottom"/>
          </w:tcPr>
          <w:p w:rsidR="00F917C7"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r>
      <w:tr w:rsidR="00653494" w:rsidRPr="009263D7" w:rsidTr="0056139B">
        <w:trPr>
          <w:trHeight w:val="285"/>
        </w:trPr>
        <w:tc>
          <w:tcPr>
            <w:tcW w:w="0" w:type="auto"/>
            <w:tcBorders>
              <w:top w:val="single" w:sz="2" w:space="0" w:color="auto"/>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tcBorders>
              <w:top w:val="single" w:sz="2" w:space="0" w:color="auto"/>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gridSpan w:val="3"/>
            <w:tcBorders>
              <w:top w:val="single" w:sz="2" w:space="0" w:color="auto"/>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tcBorders>
              <w:top w:val="single" w:sz="2" w:space="0" w:color="auto"/>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tcBorders>
              <w:top w:val="single" w:sz="2" w:space="0" w:color="auto"/>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tcBorders>
              <w:top w:val="single" w:sz="2" w:space="0" w:color="auto"/>
              <w:left w:val="nil"/>
              <w:bottom w:val="nil"/>
              <w:right w:val="nil"/>
            </w:tcBorders>
            <w:shd w:val="clear" w:color="auto" w:fill="auto"/>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r>
      <w:tr w:rsidR="00653494" w:rsidRPr="009263D7" w:rsidTr="0056139B">
        <w:trPr>
          <w:trHeight w:val="285"/>
        </w:trPr>
        <w:tc>
          <w:tcPr>
            <w:tcW w:w="0" w:type="auto"/>
            <w:tcBorders>
              <w:top w:val="nil"/>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tcBorders>
              <w:top w:val="nil"/>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gridSpan w:val="3"/>
            <w:tcBorders>
              <w:top w:val="nil"/>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tcBorders>
              <w:top w:val="nil"/>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tcBorders>
              <w:top w:val="nil"/>
              <w:left w:val="nil"/>
              <w:bottom w:val="nil"/>
              <w:right w:val="nil"/>
            </w:tcBorders>
            <w:shd w:val="clear" w:color="auto" w:fill="auto"/>
            <w:noWrap/>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c>
          <w:tcPr>
            <w:tcW w:w="0" w:type="auto"/>
            <w:tcBorders>
              <w:top w:val="nil"/>
              <w:left w:val="nil"/>
              <w:bottom w:val="nil"/>
              <w:right w:val="nil"/>
            </w:tcBorders>
            <w:shd w:val="clear" w:color="auto" w:fill="auto"/>
            <w:vAlign w:val="bottom"/>
          </w:tcPr>
          <w:p w:rsidR="00653494" w:rsidRPr="009263D7" w:rsidRDefault="00653494" w:rsidP="008E2D8C">
            <w:pPr>
              <w:keepNext/>
              <w:widowControl/>
              <w:spacing w:line="320" w:lineRule="exact"/>
              <w:jc w:val="center"/>
              <w:outlineLvl w:val="0"/>
              <w:rPr>
                <w:color w:val="000000" w:themeColor="text1"/>
                <w:kern w:val="0"/>
                <w:sz w:val="18"/>
                <w:szCs w:val="18"/>
              </w:rPr>
            </w:pPr>
          </w:p>
        </w:tc>
      </w:tr>
      <w:tr w:rsidR="00653494" w:rsidRPr="009263D7" w:rsidTr="0056139B">
        <w:trPr>
          <w:trHeight w:val="300"/>
        </w:trPr>
        <w:tc>
          <w:tcPr>
            <w:tcW w:w="0" w:type="auto"/>
            <w:tcBorders>
              <w:top w:val="nil"/>
              <w:left w:val="nil"/>
              <w:bottom w:val="single" w:sz="8" w:space="0" w:color="auto"/>
              <w:right w:val="nil"/>
            </w:tcBorders>
            <w:shd w:val="clear" w:color="auto" w:fill="auto"/>
            <w:noWrap/>
            <w:vAlign w:val="bottom"/>
          </w:tcPr>
          <w:p w:rsidR="00653494" w:rsidRPr="009263D7" w:rsidRDefault="00CB4B9E" w:rsidP="008E2D8C">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noWrap/>
            <w:vAlign w:val="bottom"/>
          </w:tcPr>
          <w:p w:rsidR="00653494" w:rsidRPr="009263D7" w:rsidRDefault="00CB4B9E" w:rsidP="008E2D8C">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0" w:type="auto"/>
            <w:gridSpan w:val="3"/>
            <w:tcBorders>
              <w:top w:val="nil"/>
              <w:left w:val="nil"/>
              <w:bottom w:val="single" w:sz="8" w:space="0" w:color="auto"/>
              <w:right w:val="nil"/>
            </w:tcBorders>
            <w:shd w:val="clear" w:color="auto" w:fill="auto"/>
            <w:noWrap/>
            <w:vAlign w:val="bottom"/>
          </w:tcPr>
          <w:p w:rsidR="00653494" w:rsidRPr="009263D7" w:rsidRDefault="00CB4B9E" w:rsidP="008E2D8C">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noWrap/>
            <w:vAlign w:val="bottom"/>
          </w:tcPr>
          <w:p w:rsidR="00653494" w:rsidRPr="009263D7" w:rsidRDefault="00CB4B9E" w:rsidP="008E2D8C">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noWrap/>
            <w:vAlign w:val="bottom"/>
          </w:tcPr>
          <w:p w:rsidR="00653494" w:rsidRPr="009263D7" w:rsidRDefault="00CB4B9E" w:rsidP="008E2D8C">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vAlign w:val="bottom"/>
          </w:tcPr>
          <w:p w:rsidR="00653494" w:rsidRPr="009263D7" w:rsidRDefault="00CB4B9E" w:rsidP="008E2D8C">
            <w:pPr>
              <w:widowControl/>
              <w:jc w:val="center"/>
              <w:rPr>
                <w:color w:val="000000" w:themeColor="text1"/>
                <w:kern w:val="0"/>
                <w:sz w:val="18"/>
                <w:szCs w:val="18"/>
              </w:rPr>
            </w:pPr>
            <w:r w:rsidRPr="00CB4B9E">
              <w:rPr>
                <w:rFonts w:hint="eastAsia"/>
                <w:color w:val="000000" w:themeColor="text1"/>
                <w:kern w:val="0"/>
                <w:sz w:val="18"/>
                <w:szCs w:val="18"/>
              </w:rPr>
              <w:t xml:space="preserve">　</w:t>
            </w:r>
          </w:p>
        </w:tc>
      </w:tr>
      <w:tr w:rsidR="00653494" w:rsidRPr="009263D7" w:rsidTr="0056139B">
        <w:trPr>
          <w:trHeight w:val="285"/>
        </w:trPr>
        <w:tc>
          <w:tcPr>
            <w:tcW w:w="0" w:type="auto"/>
            <w:tcBorders>
              <w:top w:val="nil"/>
              <w:left w:val="nil"/>
              <w:bottom w:val="single" w:sz="8" w:space="0" w:color="auto"/>
              <w:right w:val="nil"/>
            </w:tcBorders>
            <w:shd w:val="clear" w:color="auto" w:fill="auto"/>
            <w:noWrap/>
            <w:vAlign w:val="center"/>
          </w:tcPr>
          <w:p w:rsidR="00653494" w:rsidRPr="009263D7" w:rsidRDefault="00CB4B9E" w:rsidP="008E2D8C">
            <w:pPr>
              <w:widowControl/>
              <w:jc w:val="left"/>
              <w:rPr>
                <w:rFonts w:ascii="宋体" w:hAnsi="宋体" w:cs="宋体"/>
                <w:color w:val="000000" w:themeColor="text1"/>
                <w:kern w:val="0"/>
                <w:sz w:val="22"/>
                <w:szCs w:val="22"/>
              </w:rPr>
            </w:pPr>
            <w:r w:rsidRPr="00CB4B9E">
              <w:rPr>
                <w:rFonts w:ascii="宋体" w:hAnsi="宋体" w:cs="宋体" w:hint="eastAsia"/>
                <w:color w:val="000000" w:themeColor="text1"/>
                <w:kern w:val="0"/>
                <w:sz w:val="22"/>
                <w:szCs w:val="22"/>
              </w:rPr>
              <w:t>续表</w:t>
            </w:r>
          </w:p>
        </w:tc>
        <w:tc>
          <w:tcPr>
            <w:tcW w:w="0" w:type="auto"/>
            <w:tcBorders>
              <w:top w:val="nil"/>
              <w:left w:val="nil"/>
              <w:bottom w:val="single" w:sz="8" w:space="0" w:color="auto"/>
              <w:right w:val="nil"/>
            </w:tcBorders>
            <w:shd w:val="clear" w:color="auto" w:fill="auto"/>
            <w:noWrap/>
            <w:vAlign w:val="center"/>
          </w:tcPr>
          <w:p w:rsidR="00653494" w:rsidRPr="009263D7" w:rsidRDefault="00653494" w:rsidP="008E2D8C">
            <w:pPr>
              <w:widowControl/>
              <w:jc w:val="left"/>
              <w:rPr>
                <w:rFonts w:ascii="宋体" w:hAnsi="宋体" w:cs="宋体"/>
                <w:color w:val="000000" w:themeColor="text1"/>
                <w:kern w:val="0"/>
                <w:sz w:val="22"/>
                <w:szCs w:val="22"/>
              </w:rPr>
            </w:pPr>
          </w:p>
        </w:tc>
        <w:tc>
          <w:tcPr>
            <w:tcW w:w="0" w:type="auto"/>
            <w:gridSpan w:val="3"/>
            <w:tcBorders>
              <w:top w:val="nil"/>
              <w:left w:val="nil"/>
              <w:bottom w:val="single" w:sz="8" w:space="0" w:color="auto"/>
              <w:right w:val="nil"/>
            </w:tcBorders>
            <w:shd w:val="clear" w:color="auto" w:fill="auto"/>
            <w:noWrap/>
            <w:vAlign w:val="center"/>
          </w:tcPr>
          <w:p w:rsidR="00653494" w:rsidRPr="009263D7" w:rsidRDefault="00653494" w:rsidP="008E2D8C">
            <w:pPr>
              <w:widowControl/>
              <w:jc w:val="left"/>
              <w:rPr>
                <w:rFonts w:ascii="宋体" w:hAnsi="宋体" w:cs="宋体"/>
                <w:color w:val="000000" w:themeColor="text1"/>
                <w:kern w:val="0"/>
                <w:sz w:val="22"/>
                <w:szCs w:val="22"/>
              </w:rPr>
            </w:pPr>
          </w:p>
        </w:tc>
        <w:tc>
          <w:tcPr>
            <w:tcW w:w="0" w:type="auto"/>
            <w:tcBorders>
              <w:top w:val="nil"/>
              <w:left w:val="nil"/>
              <w:bottom w:val="single" w:sz="8" w:space="0" w:color="auto"/>
              <w:right w:val="nil"/>
            </w:tcBorders>
            <w:shd w:val="clear" w:color="auto" w:fill="auto"/>
            <w:noWrap/>
            <w:vAlign w:val="center"/>
          </w:tcPr>
          <w:p w:rsidR="00653494" w:rsidRPr="009263D7" w:rsidRDefault="00653494" w:rsidP="008E2D8C">
            <w:pPr>
              <w:widowControl/>
              <w:jc w:val="left"/>
              <w:rPr>
                <w:rFonts w:ascii="宋体" w:hAnsi="宋体" w:cs="宋体"/>
                <w:color w:val="000000" w:themeColor="text1"/>
                <w:kern w:val="0"/>
                <w:sz w:val="22"/>
                <w:szCs w:val="22"/>
              </w:rPr>
            </w:pPr>
          </w:p>
        </w:tc>
        <w:tc>
          <w:tcPr>
            <w:tcW w:w="0" w:type="auto"/>
            <w:tcBorders>
              <w:top w:val="nil"/>
              <w:left w:val="nil"/>
              <w:bottom w:val="single" w:sz="8" w:space="0" w:color="auto"/>
              <w:right w:val="nil"/>
            </w:tcBorders>
            <w:shd w:val="clear" w:color="auto" w:fill="auto"/>
            <w:noWrap/>
            <w:vAlign w:val="center"/>
          </w:tcPr>
          <w:p w:rsidR="00653494" w:rsidRPr="009263D7" w:rsidRDefault="00653494" w:rsidP="008E2D8C">
            <w:pPr>
              <w:widowControl/>
              <w:jc w:val="left"/>
              <w:rPr>
                <w:rFonts w:ascii="宋体" w:hAnsi="宋体" w:cs="宋体"/>
                <w:color w:val="000000" w:themeColor="text1"/>
                <w:kern w:val="0"/>
                <w:sz w:val="22"/>
                <w:szCs w:val="22"/>
              </w:rPr>
            </w:pPr>
          </w:p>
        </w:tc>
        <w:tc>
          <w:tcPr>
            <w:tcW w:w="0" w:type="auto"/>
            <w:tcBorders>
              <w:top w:val="nil"/>
              <w:left w:val="nil"/>
              <w:bottom w:val="single" w:sz="8" w:space="0" w:color="auto"/>
              <w:right w:val="nil"/>
            </w:tcBorders>
            <w:shd w:val="clear" w:color="auto" w:fill="auto"/>
            <w:noWrap/>
            <w:vAlign w:val="center"/>
          </w:tcPr>
          <w:p w:rsidR="00653494" w:rsidRPr="009263D7" w:rsidRDefault="00CB4B9E" w:rsidP="008E2D8C">
            <w:pPr>
              <w:widowControl/>
              <w:jc w:val="left"/>
              <w:rPr>
                <w:rFonts w:ascii="宋体" w:hAnsi="宋体" w:cs="宋体"/>
                <w:color w:val="000000" w:themeColor="text1"/>
                <w:kern w:val="0"/>
                <w:sz w:val="22"/>
                <w:szCs w:val="22"/>
              </w:rPr>
            </w:pPr>
            <w:r w:rsidRPr="00CB4B9E">
              <w:rPr>
                <w:rFonts w:ascii="宋体" w:hAnsi="宋体" w:cs="宋体" w:hint="eastAsia"/>
                <w:color w:val="000000" w:themeColor="text1"/>
                <w:kern w:val="0"/>
                <w:sz w:val="22"/>
                <w:szCs w:val="22"/>
              </w:rPr>
              <w:t xml:space="preserve">　</w:t>
            </w:r>
          </w:p>
        </w:tc>
      </w:tr>
      <w:tr w:rsidR="00A63760" w:rsidRPr="009263D7" w:rsidTr="0056139B">
        <w:trPr>
          <w:trHeight w:val="285"/>
        </w:trPr>
        <w:tc>
          <w:tcPr>
            <w:tcW w:w="0" w:type="auto"/>
            <w:gridSpan w:val="8"/>
            <w:tcBorders>
              <w:top w:val="single" w:sz="8" w:space="0" w:color="auto"/>
              <w:left w:val="nil"/>
              <w:bottom w:val="single" w:sz="2" w:space="0" w:color="auto"/>
            </w:tcBorders>
            <w:shd w:val="clear" w:color="auto" w:fill="auto"/>
            <w:vAlign w:val="center"/>
          </w:tcPr>
          <w:p w:rsidR="00A63760"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按出口相关收款凭证的原始币种</w:t>
            </w:r>
          </w:p>
        </w:tc>
      </w:tr>
      <w:tr w:rsidR="00632DE5" w:rsidRPr="009263D7" w:rsidTr="0056139B">
        <w:trPr>
          <w:trHeight w:val="450"/>
        </w:trPr>
        <w:tc>
          <w:tcPr>
            <w:tcW w:w="0" w:type="auto"/>
            <w:vMerge w:val="restart"/>
            <w:tcBorders>
              <w:top w:val="single" w:sz="2" w:space="0" w:color="auto"/>
              <w:left w:val="nil"/>
              <w:right w:val="single" w:sz="2" w:space="0" w:color="auto"/>
            </w:tcBorders>
            <w:vAlign w:val="center"/>
          </w:tcPr>
          <w:p w:rsidR="00632DE5" w:rsidRPr="009263D7" w:rsidRDefault="00CB4B9E" w:rsidP="00A6376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0" w:type="auto"/>
            <w:vMerge w:val="restart"/>
            <w:tcBorders>
              <w:top w:val="single" w:sz="2" w:space="0" w:color="auto"/>
              <w:left w:val="single" w:sz="2" w:space="0" w:color="auto"/>
              <w:right w:val="single" w:sz="2" w:space="0" w:color="auto"/>
            </w:tcBorders>
            <w:shd w:val="clear" w:color="auto" w:fill="auto"/>
            <w:vAlign w:val="center"/>
          </w:tcPr>
          <w:p w:rsidR="00632DE5"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上月末余额</w:t>
            </w:r>
          </w:p>
        </w:tc>
        <w:tc>
          <w:tcPr>
            <w:tcW w:w="0" w:type="auto"/>
            <w:gridSpan w:val="3"/>
            <w:tcBorders>
              <w:top w:val="single" w:sz="2" w:space="0" w:color="auto"/>
              <w:left w:val="single" w:sz="2" w:space="0" w:color="auto"/>
              <w:right w:val="single" w:sz="2" w:space="0" w:color="auto"/>
            </w:tcBorders>
            <w:shd w:val="clear" w:color="auto" w:fill="auto"/>
            <w:vAlign w:val="center"/>
          </w:tcPr>
          <w:p w:rsidR="00632DE5"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本月末余额</w:t>
            </w:r>
          </w:p>
        </w:tc>
        <w:tc>
          <w:tcPr>
            <w:tcW w:w="0" w:type="auto"/>
            <w:vMerge w:val="restart"/>
            <w:tcBorders>
              <w:top w:val="single" w:sz="2" w:space="0" w:color="auto"/>
              <w:left w:val="single" w:sz="2" w:space="0" w:color="auto"/>
              <w:right w:val="single" w:sz="2" w:space="0" w:color="auto"/>
            </w:tcBorders>
            <w:shd w:val="clear" w:color="auto" w:fill="auto"/>
            <w:vAlign w:val="center"/>
          </w:tcPr>
          <w:p w:rsidR="00632DE5"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0" w:type="auto"/>
            <w:vMerge w:val="restart"/>
            <w:tcBorders>
              <w:top w:val="single" w:sz="2" w:space="0" w:color="auto"/>
              <w:left w:val="single" w:sz="2" w:space="0" w:color="auto"/>
              <w:right w:val="single" w:sz="2" w:space="0" w:color="auto"/>
            </w:tcBorders>
            <w:shd w:val="clear" w:color="auto" w:fill="auto"/>
            <w:vAlign w:val="center"/>
          </w:tcPr>
          <w:p w:rsidR="00632DE5"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c>
          <w:tcPr>
            <w:tcW w:w="0" w:type="auto"/>
            <w:vMerge w:val="restart"/>
            <w:tcBorders>
              <w:top w:val="single" w:sz="2" w:space="0" w:color="auto"/>
              <w:left w:val="single" w:sz="2" w:space="0" w:color="auto"/>
              <w:right w:val="nil"/>
            </w:tcBorders>
            <w:shd w:val="clear" w:color="auto" w:fill="auto"/>
            <w:vAlign w:val="center"/>
          </w:tcPr>
          <w:p w:rsidR="00632DE5"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备注</w:t>
            </w:r>
          </w:p>
        </w:tc>
      </w:tr>
      <w:tr w:rsidR="00BE6B53" w:rsidRPr="009263D7" w:rsidTr="0056139B">
        <w:trPr>
          <w:trHeight w:val="165"/>
        </w:trPr>
        <w:tc>
          <w:tcPr>
            <w:tcW w:w="0" w:type="auto"/>
            <w:vMerge/>
            <w:tcBorders>
              <w:left w:val="nil"/>
              <w:right w:val="single" w:sz="2" w:space="0" w:color="auto"/>
            </w:tcBorders>
            <w:vAlign w:val="center"/>
          </w:tcPr>
          <w:p w:rsidR="00BE6B53" w:rsidRPr="009263D7" w:rsidRDefault="00BE6B53" w:rsidP="00A63760">
            <w:pPr>
              <w:keepNext/>
              <w:spacing w:line="320" w:lineRule="exact"/>
              <w:jc w:val="center"/>
              <w:outlineLvl w:val="0"/>
              <w:rPr>
                <w:rFonts w:ascii="宋体" w:hAnsi="宋体" w:cs="宋体"/>
                <w:color w:val="000000" w:themeColor="text1"/>
                <w:kern w:val="0"/>
                <w:sz w:val="18"/>
                <w:szCs w:val="18"/>
              </w:rPr>
            </w:pPr>
          </w:p>
        </w:tc>
        <w:tc>
          <w:tcPr>
            <w:tcW w:w="0" w:type="auto"/>
            <w:vMerge/>
            <w:tcBorders>
              <w:left w:val="single" w:sz="2" w:space="0" w:color="auto"/>
              <w:right w:val="single" w:sz="2" w:space="0" w:color="auto"/>
            </w:tcBorders>
            <w:shd w:val="clear" w:color="auto" w:fill="auto"/>
            <w:vAlign w:val="center"/>
          </w:tcPr>
          <w:p w:rsidR="00BE6B53" w:rsidRPr="009263D7" w:rsidRDefault="00BE6B53" w:rsidP="00A63760">
            <w:pPr>
              <w:keepNext/>
              <w:widowControl/>
              <w:spacing w:line="320" w:lineRule="exact"/>
              <w:jc w:val="center"/>
              <w:outlineLvl w:val="0"/>
              <w:rPr>
                <w:rFonts w:ascii="宋体" w:hAnsi="宋体" w:cs="宋体"/>
                <w:color w:val="000000" w:themeColor="text1"/>
                <w:kern w:val="0"/>
                <w:sz w:val="18"/>
                <w:szCs w:val="18"/>
              </w:rPr>
            </w:pPr>
          </w:p>
        </w:tc>
        <w:tc>
          <w:tcPr>
            <w:tcW w:w="0" w:type="auto"/>
            <w:gridSpan w:val="2"/>
            <w:tcBorders>
              <w:left w:val="single" w:sz="2" w:space="0" w:color="auto"/>
              <w:right w:val="single" w:sz="2" w:space="0" w:color="auto"/>
            </w:tcBorders>
            <w:shd w:val="clear" w:color="auto" w:fill="auto"/>
            <w:vAlign w:val="center"/>
          </w:tcPr>
          <w:p w:rsidR="00BE6B53" w:rsidRPr="009263D7" w:rsidRDefault="00BE6B53" w:rsidP="00A63760">
            <w:pPr>
              <w:keepNext/>
              <w:spacing w:line="320" w:lineRule="exact"/>
              <w:jc w:val="center"/>
              <w:outlineLvl w:val="0"/>
              <w:rPr>
                <w:rFonts w:ascii="宋体" w:hAnsi="宋体" w:cs="宋体"/>
                <w:color w:val="000000" w:themeColor="text1"/>
                <w:kern w:val="0"/>
                <w:sz w:val="18"/>
                <w:szCs w:val="18"/>
              </w:rPr>
            </w:pPr>
          </w:p>
        </w:tc>
        <w:tc>
          <w:tcPr>
            <w:tcW w:w="0" w:type="auto"/>
            <w:tcBorders>
              <w:top w:val="single" w:sz="2" w:space="0" w:color="auto"/>
              <w:left w:val="single" w:sz="2" w:space="0" w:color="auto"/>
              <w:right w:val="single" w:sz="2" w:space="0" w:color="auto"/>
            </w:tcBorders>
            <w:shd w:val="clear" w:color="auto" w:fill="auto"/>
            <w:vAlign w:val="center"/>
          </w:tcPr>
          <w:p w:rsidR="00BE6B53"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0" w:type="auto"/>
            <w:vMerge/>
            <w:tcBorders>
              <w:left w:val="single" w:sz="2" w:space="0" w:color="auto"/>
              <w:right w:val="single" w:sz="2" w:space="0" w:color="auto"/>
            </w:tcBorders>
            <w:shd w:val="clear" w:color="auto" w:fill="auto"/>
            <w:vAlign w:val="center"/>
          </w:tcPr>
          <w:p w:rsidR="00BE6B53" w:rsidRPr="009263D7" w:rsidRDefault="00BE6B53" w:rsidP="00A63760">
            <w:pPr>
              <w:keepNext/>
              <w:widowControl/>
              <w:spacing w:line="320" w:lineRule="exact"/>
              <w:jc w:val="center"/>
              <w:outlineLvl w:val="0"/>
              <w:rPr>
                <w:rFonts w:ascii="宋体" w:hAnsi="宋体" w:cs="宋体"/>
                <w:color w:val="000000" w:themeColor="text1"/>
                <w:kern w:val="0"/>
                <w:sz w:val="18"/>
                <w:szCs w:val="18"/>
              </w:rPr>
            </w:pPr>
          </w:p>
        </w:tc>
        <w:tc>
          <w:tcPr>
            <w:tcW w:w="0" w:type="auto"/>
            <w:vMerge/>
            <w:tcBorders>
              <w:left w:val="single" w:sz="2" w:space="0" w:color="auto"/>
              <w:right w:val="single" w:sz="2" w:space="0" w:color="auto"/>
            </w:tcBorders>
            <w:shd w:val="clear" w:color="auto" w:fill="auto"/>
            <w:vAlign w:val="center"/>
          </w:tcPr>
          <w:p w:rsidR="00BE6B53" w:rsidRPr="009263D7" w:rsidRDefault="00BE6B53" w:rsidP="00A63760">
            <w:pPr>
              <w:keepNext/>
              <w:widowControl/>
              <w:spacing w:line="320" w:lineRule="exact"/>
              <w:jc w:val="center"/>
              <w:outlineLvl w:val="0"/>
              <w:rPr>
                <w:rFonts w:ascii="宋体" w:hAnsi="宋体" w:cs="宋体"/>
                <w:color w:val="000000" w:themeColor="text1"/>
                <w:kern w:val="0"/>
                <w:sz w:val="18"/>
                <w:szCs w:val="18"/>
              </w:rPr>
            </w:pPr>
          </w:p>
        </w:tc>
        <w:tc>
          <w:tcPr>
            <w:tcW w:w="0" w:type="auto"/>
            <w:vMerge/>
            <w:tcBorders>
              <w:left w:val="single" w:sz="2" w:space="0" w:color="auto"/>
              <w:right w:val="nil"/>
            </w:tcBorders>
            <w:shd w:val="clear" w:color="auto" w:fill="auto"/>
            <w:vAlign w:val="center"/>
          </w:tcPr>
          <w:p w:rsidR="00BE6B53" w:rsidRPr="009263D7" w:rsidRDefault="00BE6B53" w:rsidP="00A63760">
            <w:pPr>
              <w:keepNext/>
              <w:widowControl/>
              <w:spacing w:line="320" w:lineRule="exact"/>
              <w:jc w:val="center"/>
              <w:outlineLvl w:val="0"/>
              <w:rPr>
                <w:rFonts w:ascii="宋体" w:hAnsi="宋体" w:cs="宋体"/>
                <w:color w:val="000000" w:themeColor="text1"/>
                <w:kern w:val="0"/>
                <w:sz w:val="18"/>
                <w:szCs w:val="18"/>
              </w:rPr>
            </w:pPr>
          </w:p>
        </w:tc>
      </w:tr>
      <w:tr w:rsidR="00BE6B53" w:rsidRPr="009263D7" w:rsidTr="0056139B">
        <w:trPr>
          <w:trHeight w:val="285"/>
        </w:trPr>
        <w:tc>
          <w:tcPr>
            <w:tcW w:w="0" w:type="auto"/>
            <w:tcBorders>
              <w:top w:val="nil"/>
              <w:left w:val="nil"/>
              <w:bottom w:val="single" w:sz="2" w:space="0" w:color="auto"/>
              <w:right w:val="single" w:sz="2" w:space="0" w:color="auto"/>
            </w:tcBorders>
            <w:shd w:val="clear" w:color="auto" w:fill="auto"/>
            <w:noWrap/>
            <w:vAlign w:val="bottom"/>
          </w:tcPr>
          <w:p w:rsidR="00BE6B53" w:rsidRPr="009263D7" w:rsidRDefault="00CB4B9E" w:rsidP="008E2D8C">
            <w:pPr>
              <w:widowControl/>
              <w:jc w:val="center"/>
              <w:rPr>
                <w:color w:val="000000" w:themeColor="text1"/>
                <w:kern w:val="0"/>
                <w:sz w:val="18"/>
                <w:szCs w:val="18"/>
              </w:rPr>
            </w:pPr>
            <w:r w:rsidRPr="00CB4B9E">
              <w:rPr>
                <w:color w:val="000000" w:themeColor="text1"/>
                <w:kern w:val="0"/>
                <w:sz w:val="18"/>
                <w:szCs w:val="18"/>
              </w:rPr>
              <w:t>F0107</w:t>
            </w:r>
          </w:p>
        </w:tc>
        <w:tc>
          <w:tcPr>
            <w:tcW w:w="0" w:type="auto"/>
            <w:tcBorders>
              <w:top w:val="nil"/>
              <w:left w:val="single" w:sz="2" w:space="0" w:color="auto"/>
              <w:bottom w:val="single" w:sz="2" w:space="0" w:color="auto"/>
              <w:right w:val="single" w:sz="2" w:space="0" w:color="auto"/>
            </w:tcBorders>
            <w:shd w:val="clear" w:color="auto" w:fill="auto"/>
            <w:noWrap/>
            <w:vAlign w:val="bottom"/>
          </w:tcPr>
          <w:p w:rsidR="00BE6B5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F0108</w:t>
            </w:r>
          </w:p>
        </w:tc>
        <w:tc>
          <w:tcPr>
            <w:tcW w:w="0" w:type="auto"/>
            <w:gridSpan w:val="2"/>
            <w:tcBorders>
              <w:top w:val="nil"/>
              <w:left w:val="single" w:sz="2" w:space="0" w:color="auto"/>
              <w:bottom w:val="single" w:sz="2" w:space="0" w:color="auto"/>
              <w:right w:val="single" w:sz="2" w:space="0" w:color="auto"/>
            </w:tcBorders>
            <w:shd w:val="clear" w:color="auto" w:fill="auto"/>
            <w:vAlign w:val="bottom"/>
          </w:tcPr>
          <w:p w:rsidR="00BE6B53" w:rsidRPr="009263D7" w:rsidRDefault="00CB4B9E" w:rsidP="000F2FF6">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F0109</w:t>
            </w:r>
          </w:p>
        </w:tc>
        <w:tc>
          <w:tcPr>
            <w:tcW w:w="0" w:type="auto"/>
            <w:tcBorders>
              <w:top w:val="nil"/>
              <w:left w:val="single" w:sz="2" w:space="0" w:color="auto"/>
              <w:bottom w:val="single" w:sz="2" w:space="0" w:color="auto"/>
              <w:right w:val="single" w:sz="2" w:space="0" w:color="auto"/>
            </w:tcBorders>
            <w:shd w:val="clear" w:color="auto" w:fill="auto"/>
            <w:vAlign w:val="bottom"/>
          </w:tcPr>
          <w:p w:rsidR="00BE6B53" w:rsidRPr="009263D7" w:rsidRDefault="00CB4B9E" w:rsidP="000F2FF6">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F0110</w:t>
            </w:r>
          </w:p>
        </w:tc>
        <w:tc>
          <w:tcPr>
            <w:tcW w:w="0" w:type="auto"/>
            <w:tcBorders>
              <w:top w:val="nil"/>
              <w:left w:val="single" w:sz="2" w:space="0" w:color="auto"/>
              <w:bottom w:val="single" w:sz="2" w:space="0" w:color="auto"/>
              <w:right w:val="single" w:sz="2" w:space="0" w:color="auto"/>
            </w:tcBorders>
            <w:shd w:val="clear" w:color="auto" w:fill="auto"/>
            <w:vAlign w:val="bottom"/>
          </w:tcPr>
          <w:p w:rsidR="00BE6B53" w:rsidRPr="009263D7" w:rsidRDefault="00CB4B9E" w:rsidP="00632DE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F0111</w:t>
            </w:r>
          </w:p>
        </w:tc>
        <w:tc>
          <w:tcPr>
            <w:tcW w:w="0" w:type="auto"/>
            <w:tcBorders>
              <w:top w:val="nil"/>
              <w:left w:val="single" w:sz="2" w:space="0" w:color="auto"/>
              <w:bottom w:val="single" w:sz="2" w:space="0" w:color="auto"/>
              <w:right w:val="single" w:sz="2" w:space="0" w:color="auto"/>
            </w:tcBorders>
            <w:shd w:val="clear" w:color="auto" w:fill="auto"/>
            <w:vAlign w:val="bottom"/>
          </w:tcPr>
          <w:p w:rsidR="00BE6B53" w:rsidRPr="009263D7" w:rsidRDefault="00CB4B9E" w:rsidP="00632DE5">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F0112</w:t>
            </w:r>
          </w:p>
        </w:tc>
        <w:tc>
          <w:tcPr>
            <w:tcW w:w="0" w:type="auto"/>
            <w:tcBorders>
              <w:top w:val="nil"/>
              <w:left w:val="single" w:sz="2" w:space="0" w:color="auto"/>
              <w:bottom w:val="single" w:sz="2" w:space="0" w:color="auto"/>
              <w:right w:val="nil"/>
            </w:tcBorders>
            <w:shd w:val="clear" w:color="auto" w:fill="auto"/>
            <w:vAlign w:val="bottom"/>
          </w:tcPr>
          <w:p w:rsidR="00BE6B53" w:rsidRPr="009263D7" w:rsidRDefault="00CB4B9E" w:rsidP="00632DE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r w:rsidRPr="00CB4B9E">
              <w:rPr>
                <w:rFonts w:ascii="宋体" w:hAnsi="宋体" w:cs="宋体"/>
                <w:color w:val="000000" w:themeColor="text1"/>
                <w:kern w:val="0"/>
                <w:sz w:val="18"/>
                <w:szCs w:val="18"/>
              </w:rPr>
              <w:t>F0113</w:t>
            </w:r>
          </w:p>
        </w:tc>
      </w:tr>
      <w:tr w:rsidR="00BE6B53" w:rsidRPr="009263D7" w:rsidTr="0056139B">
        <w:trPr>
          <w:trHeight w:val="285"/>
        </w:trPr>
        <w:tc>
          <w:tcPr>
            <w:tcW w:w="0" w:type="auto"/>
            <w:tcBorders>
              <w:top w:val="single" w:sz="2" w:space="0" w:color="auto"/>
              <w:left w:val="nil"/>
              <w:bottom w:val="single" w:sz="2" w:space="0" w:color="auto"/>
              <w:right w:val="single" w:sz="2" w:space="0" w:color="auto"/>
            </w:tcBorders>
            <w:shd w:val="clear" w:color="auto" w:fill="auto"/>
            <w:noWrap/>
            <w:vAlign w:val="bottom"/>
          </w:tcPr>
          <w:p w:rsidR="00BE6B5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0" w:type="auto"/>
            <w:tcBorders>
              <w:top w:val="single" w:sz="2" w:space="0" w:color="auto"/>
              <w:left w:val="single" w:sz="2" w:space="0" w:color="auto"/>
              <w:bottom w:val="single" w:sz="2" w:space="0" w:color="auto"/>
              <w:right w:val="single" w:sz="2" w:space="0" w:color="auto"/>
            </w:tcBorders>
            <w:shd w:val="clear" w:color="auto" w:fill="auto"/>
            <w:noWrap/>
            <w:vAlign w:val="bottom"/>
          </w:tcPr>
          <w:p w:rsidR="00BE6B5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0" w:type="auto"/>
            <w:gridSpan w:val="2"/>
            <w:tcBorders>
              <w:top w:val="single" w:sz="2" w:space="0" w:color="auto"/>
              <w:left w:val="single" w:sz="2" w:space="0" w:color="auto"/>
              <w:bottom w:val="single" w:sz="2" w:space="0" w:color="auto"/>
              <w:right w:val="single" w:sz="2" w:space="0" w:color="auto"/>
            </w:tcBorders>
            <w:shd w:val="clear" w:color="auto" w:fill="auto"/>
            <w:vAlign w:val="bottom"/>
          </w:tcPr>
          <w:p w:rsidR="00BE6B53" w:rsidRPr="009263D7" w:rsidRDefault="00CB4B9E" w:rsidP="00BE6B5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0" w:type="auto"/>
            <w:tcBorders>
              <w:top w:val="single" w:sz="2" w:space="0" w:color="auto"/>
              <w:left w:val="single" w:sz="2" w:space="0" w:color="auto"/>
              <w:bottom w:val="single" w:sz="2" w:space="0" w:color="auto"/>
              <w:right w:val="single" w:sz="2" w:space="0" w:color="auto"/>
            </w:tcBorders>
            <w:shd w:val="clear" w:color="auto" w:fill="auto"/>
            <w:vAlign w:val="bottom"/>
          </w:tcPr>
          <w:p w:rsidR="00BE6B53" w:rsidRPr="009263D7" w:rsidRDefault="00CB4B9E" w:rsidP="008E2D8C">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0" w:type="auto"/>
            <w:tcBorders>
              <w:top w:val="single" w:sz="2" w:space="0" w:color="auto"/>
              <w:left w:val="single" w:sz="2" w:space="0" w:color="auto"/>
              <w:bottom w:val="single" w:sz="2" w:space="0" w:color="auto"/>
              <w:right w:val="single" w:sz="2" w:space="0" w:color="auto"/>
            </w:tcBorders>
            <w:shd w:val="clear" w:color="auto" w:fill="auto"/>
            <w:noWrap/>
            <w:vAlign w:val="bottom"/>
          </w:tcPr>
          <w:p w:rsidR="00BE6B5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0" w:type="auto"/>
            <w:tcBorders>
              <w:top w:val="single" w:sz="2" w:space="0" w:color="auto"/>
              <w:left w:val="single" w:sz="2" w:space="0" w:color="auto"/>
              <w:bottom w:val="single" w:sz="2" w:space="0" w:color="auto"/>
              <w:right w:val="single" w:sz="2" w:space="0" w:color="auto"/>
            </w:tcBorders>
            <w:shd w:val="clear" w:color="auto" w:fill="auto"/>
            <w:noWrap/>
            <w:vAlign w:val="bottom"/>
          </w:tcPr>
          <w:p w:rsidR="00BE6B53"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0" w:type="auto"/>
            <w:tcBorders>
              <w:top w:val="single" w:sz="2" w:space="0" w:color="auto"/>
              <w:left w:val="single" w:sz="2" w:space="0" w:color="auto"/>
              <w:bottom w:val="single" w:sz="2" w:space="0" w:color="auto"/>
              <w:right w:val="nil"/>
            </w:tcBorders>
            <w:shd w:val="clear" w:color="auto" w:fill="auto"/>
            <w:noWrap/>
            <w:vAlign w:val="bottom"/>
          </w:tcPr>
          <w:p w:rsidR="00BE6B53"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r>
      <w:tr w:rsidR="00A63760" w:rsidRPr="009263D7" w:rsidTr="0056139B">
        <w:trPr>
          <w:trHeight w:val="270"/>
        </w:trPr>
        <w:tc>
          <w:tcPr>
            <w:tcW w:w="0" w:type="auto"/>
            <w:tcBorders>
              <w:top w:val="single" w:sz="2" w:space="0" w:color="auto"/>
              <w:left w:val="nil"/>
              <w:bottom w:val="nil"/>
              <w:right w:val="nil"/>
            </w:tcBorders>
            <w:shd w:val="clear" w:color="auto" w:fill="auto"/>
            <w:noWrap/>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tcBorders>
              <w:top w:val="single" w:sz="2" w:space="0" w:color="auto"/>
              <w:left w:val="nil"/>
              <w:bottom w:val="nil"/>
              <w:right w:val="nil"/>
            </w:tcBorders>
            <w:shd w:val="clear" w:color="auto" w:fill="auto"/>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gridSpan w:val="3"/>
            <w:tcBorders>
              <w:top w:val="single" w:sz="2" w:space="0" w:color="auto"/>
              <w:left w:val="nil"/>
              <w:bottom w:val="nil"/>
              <w:right w:val="nil"/>
            </w:tcBorders>
            <w:shd w:val="clear" w:color="auto" w:fill="auto"/>
            <w:noWrap/>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tcBorders>
              <w:top w:val="single" w:sz="2" w:space="0" w:color="auto"/>
              <w:left w:val="nil"/>
              <w:bottom w:val="nil"/>
              <w:right w:val="nil"/>
            </w:tcBorders>
            <w:shd w:val="clear" w:color="auto" w:fill="auto"/>
            <w:noWrap/>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tcBorders>
              <w:top w:val="single" w:sz="2" w:space="0" w:color="auto"/>
              <w:left w:val="nil"/>
              <w:bottom w:val="nil"/>
              <w:right w:val="nil"/>
            </w:tcBorders>
            <w:shd w:val="clear" w:color="auto" w:fill="auto"/>
            <w:noWrap/>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tcBorders>
              <w:top w:val="single" w:sz="2" w:space="0" w:color="auto"/>
              <w:left w:val="nil"/>
              <w:bottom w:val="nil"/>
              <w:right w:val="nil"/>
            </w:tcBorders>
            <w:shd w:val="clear" w:color="auto" w:fill="auto"/>
            <w:noWrap/>
            <w:vAlign w:val="center"/>
          </w:tcPr>
          <w:p w:rsidR="00A63760" w:rsidRPr="009263D7" w:rsidRDefault="00A63760" w:rsidP="008E2D8C">
            <w:pPr>
              <w:keepNext/>
              <w:widowControl/>
              <w:spacing w:line="320" w:lineRule="exact"/>
              <w:jc w:val="left"/>
              <w:outlineLvl w:val="0"/>
              <w:rPr>
                <w:rFonts w:ascii="宋体" w:hAnsi="宋体" w:cs="宋体"/>
                <w:color w:val="000000" w:themeColor="text1"/>
                <w:kern w:val="0"/>
                <w:sz w:val="22"/>
                <w:szCs w:val="22"/>
              </w:rPr>
            </w:pPr>
          </w:p>
        </w:tc>
      </w:tr>
      <w:tr w:rsidR="00A63760" w:rsidRPr="009263D7" w:rsidTr="0056139B">
        <w:trPr>
          <w:trHeight w:val="270"/>
        </w:trPr>
        <w:tc>
          <w:tcPr>
            <w:tcW w:w="0" w:type="auto"/>
            <w:tcBorders>
              <w:top w:val="nil"/>
              <w:left w:val="nil"/>
              <w:bottom w:val="nil"/>
              <w:right w:val="nil"/>
            </w:tcBorders>
            <w:shd w:val="clear" w:color="auto" w:fill="auto"/>
            <w:noWrap/>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tcBorders>
              <w:top w:val="nil"/>
              <w:left w:val="nil"/>
              <w:bottom w:val="nil"/>
              <w:right w:val="nil"/>
            </w:tcBorders>
            <w:shd w:val="clear" w:color="auto" w:fill="auto"/>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gridSpan w:val="3"/>
            <w:tcBorders>
              <w:top w:val="nil"/>
              <w:left w:val="nil"/>
              <w:bottom w:val="nil"/>
              <w:right w:val="nil"/>
            </w:tcBorders>
            <w:shd w:val="clear" w:color="auto" w:fill="auto"/>
            <w:noWrap/>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tcBorders>
              <w:top w:val="nil"/>
              <w:left w:val="nil"/>
              <w:bottom w:val="nil"/>
              <w:right w:val="nil"/>
            </w:tcBorders>
            <w:shd w:val="clear" w:color="auto" w:fill="auto"/>
            <w:noWrap/>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tcBorders>
              <w:top w:val="nil"/>
              <w:left w:val="nil"/>
              <w:bottom w:val="nil"/>
              <w:right w:val="nil"/>
            </w:tcBorders>
            <w:shd w:val="clear" w:color="auto" w:fill="auto"/>
            <w:noWrap/>
            <w:vAlign w:val="bottom"/>
          </w:tcPr>
          <w:p w:rsidR="00A63760" w:rsidRPr="009263D7" w:rsidRDefault="00A63760" w:rsidP="008E2D8C">
            <w:pPr>
              <w:keepNext/>
              <w:widowControl/>
              <w:spacing w:line="320" w:lineRule="exact"/>
              <w:jc w:val="center"/>
              <w:outlineLvl w:val="0"/>
              <w:rPr>
                <w:rFonts w:ascii="宋体" w:hAnsi="宋体" w:cs="宋体"/>
                <w:color w:val="000000" w:themeColor="text1"/>
                <w:kern w:val="0"/>
                <w:sz w:val="18"/>
                <w:szCs w:val="18"/>
              </w:rPr>
            </w:pPr>
          </w:p>
        </w:tc>
        <w:tc>
          <w:tcPr>
            <w:tcW w:w="0" w:type="auto"/>
            <w:tcBorders>
              <w:top w:val="nil"/>
              <w:left w:val="nil"/>
              <w:bottom w:val="nil"/>
              <w:right w:val="nil"/>
            </w:tcBorders>
            <w:shd w:val="clear" w:color="auto" w:fill="auto"/>
            <w:noWrap/>
            <w:vAlign w:val="center"/>
          </w:tcPr>
          <w:p w:rsidR="00A63760" w:rsidRPr="009263D7" w:rsidRDefault="00A63760" w:rsidP="008E2D8C">
            <w:pPr>
              <w:keepNext/>
              <w:widowControl/>
              <w:spacing w:after="120" w:line="320" w:lineRule="exact"/>
              <w:ind w:leftChars="200" w:left="420"/>
              <w:jc w:val="left"/>
              <w:outlineLvl w:val="0"/>
              <w:rPr>
                <w:rFonts w:ascii="宋体" w:hAnsi="宋体" w:cs="宋体"/>
                <w:color w:val="000000" w:themeColor="text1"/>
                <w:kern w:val="0"/>
                <w:sz w:val="22"/>
                <w:szCs w:val="22"/>
              </w:rPr>
            </w:pPr>
          </w:p>
        </w:tc>
      </w:tr>
      <w:tr w:rsidR="00A63760" w:rsidRPr="009263D7" w:rsidTr="0056139B">
        <w:trPr>
          <w:trHeight w:val="285"/>
        </w:trPr>
        <w:tc>
          <w:tcPr>
            <w:tcW w:w="0" w:type="auto"/>
            <w:tcBorders>
              <w:top w:val="nil"/>
              <w:left w:val="nil"/>
              <w:bottom w:val="single" w:sz="8" w:space="0" w:color="auto"/>
              <w:right w:val="nil"/>
            </w:tcBorders>
            <w:shd w:val="clear" w:color="auto" w:fill="auto"/>
            <w:noWrap/>
            <w:vAlign w:val="bottom"/>
          </w:tcPr>
          <w:p w:rsidR="00A6376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vAlign w:val="bottom"/>
          </w:tcPr>
          <w:p w:rsidR="00A6376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gridSpan w:val="3"/>
            <w:tcBorders>
              <w:top w:val="nil"/>
              <w:left w:val="nil"/>
              <w:bottom w:val="single" w:sz="8" w:space="0" w:color="auto"/>
              <w:right w:val="nil"/>
            </w:tcBorders>
            <w:shd w:val="clear" w:color="auto" w:fill="auto"/>
            <w:noWrap/>
            <w:vAlign w:val="bottom"/>
          </w:tcPr>
          <w:p w:rsidR="00A6376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noWrap/>
            <w:vAlign w:val="bottom"/>
          </w:tcPr>
          <w:p w:rsidR="00A6376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noWrap/>
            <w:vAlign w:val="bottom"/>
          </w:tcPr>
          <w:p w:rsidR="00A63760"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noWrap/>
            <w:vAlign w:val="center"/>
          </w:tcPr>
          <w:p w:rsidR="00A63760" w:rsidRPr="009263D7" w:rsidRDefault="00CB4B9E" w:rsidP="008E2D8C">
            <w:pPr>
              <w:widowControl/>
              <w:jc w:val="left"/>
              <w:rPr>
                <w:rFonts w:ascii="宋体" w:hAnsi="宋体" w:cs="宋体"/>
                <w:color w:val="000000" w:themeColor="text1"/>
                <w:kern w:val="0"/>
                <w:sz w:val="22"/>
                <w:szCs w:val="22"/>
              </w:rPr>
            </w:pPr>
            <w:r w:rsidRPr="00CB4B9E">
              <w:rPr>
                <w:rFonts w:ascii="宋体" w:hAnsi="宋体" w:cs="宋体" w:hint="eastAsia"/>
                <w:color w:val="000000" w:themeColor="text1"/>
                <w:kern w:val="0"/>
                <w:sz w:val="22"/>
                <w:szCs w:val="22"/>
              </w:rPr>
              <w:t xml:space="preserve">　</w:t>
            </w:r>
          </w:p>
        </w:tc>
      </w:tr>
    </w:tbl>
    <w:p w:rsidR="00653494" w:rsidRPr="009263D7" w:rsidRDefault="00CB4B9E" w:rsidP="00653494">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98239D" w:rsidRPr="009263D7" w:rsidRDefault="0098239D" w:rsidP="00653494">
      <w:pPr>
        <w:rPr>
          <w:rFonts w:ascii="宋体"/>
          <w:color w:val="000000" w:themeColor="text1"/>
          <w:sz w:val="18"/>
        </w:rPr>
      </w:pPr>
    </w:p>
    <w:p w:rsidR="00653494" w:rsidRPr="009263D7" w:rsidRDefault="00CB4B9E" w:rsidP="00653494">
      <w:pPr>
        <w:rPr>
          <w:rFonts w:ascii="宋体" w:hAnsi="宋体" w:cs="宋体"/>
          <w:color w:val="000000" w:themeColor="text1"/>
          <w:kern w:val="0"/>
          <w:sz w:val="18"/>
          <w:szCs w:val="18"/>
        </w:rPr>
      </w:pPr>
      <w:r w:rsidRPr="00CB4B9E">
        <w:rPr>
          <w:rFonts w:ascii="宋体" w:hAnsi="宋体" w:cs="宋体"/>
          <w:color w:val="000000" w:themeColor="text1"/>
          <w:kern w:val="0"/>
          <w:sz w:val="18"/>
          <w:szCs w:val="18"/>
        </w:rPr>
        <w:br w:type="page"/>
      </w:r>
    </w:p>
    <w:p w:rsidR="00653494" w:rsidRPr="009263D7" w:rsidRDefault="00CB4B9E" w:rsidP="000B7204">
      <w:pPr>
        <w:pStyle w:val="3"/>
        <w:jc w:val="center"/>
        <w:rPr>
          <w:rFonts w:ascii="宋体" w:hAnsi="宋体"/>
          <w:b w:val="0"/>
          <w:color w:val="000000" w:themeColor="text1"/>
          <w:kern w:val="0"/>
          <w:sz w:val="28"/>
          <w:szCs w:val="28"/>
        </w:rPr>
      </w:pPr>
      <w:bookmarkStart w:id="40" w:name="_Toc452017150"/>
      <w:r w:rsidRPr="00CB4B9E">
        <w:rPr>
          <w:rFonts w:ascii="宋体" w:hAnsi="宋体" w:hint="eastAsia"/>
          <w:b w:val="0"/>
          <w:color w:val="000000" w:themeColor="text1"/>
          <w:kern w:val="0"/>
          <w:sz w:val="28"/>
          <w:szCs w:val="28"/>
        </w:rPr>
        <w:lastRenderedPageBreak/>
        <w:t>对外承担第一性付款责任的票据、单证业务</w:t>
      </w:r>
      <w:bookmarkEnd w:id="40"/>
    </w:p>
    <w:p w:rsidR="00653494" w:rsidRPr="009263D7" w:rsidRDefault="00653494" w:rsidP="00653494">
      <w:pPr>
        <w:spacing w:line="240" w:lineRule="exact"/>
        <w:ind w:firstLineChars="3350" w:firstLine="8040"/>
        <w:rPr>
          <w:rFonts w:ascii="黑体" w:eastAsia="黑体"/>
          <w:color w:val="000000" w:themeColor="text1"/>
          <w:sz w:val="24"/>
        </w:rPr>
      </w:pPr>
    </w:p>
    <w:p w:rsidR="00653494" w:rsidRPr="009263D7" w:rsidRDefault="00CB4B9E" w:rsidP="00653494">
      <w:pPr>
        <w:spacing w:line="240" w:lineRule="exact"/>
        <w:ind w:firstLineChars="3350" w:firstLine="6030"/>
        <w:rPr>
          <w:rFonts w:ascii="宋体" w:hAnsi="宋体"/>
          <w:color w:val="000000" w:themeColor="text1"/>
          <w:kern w:val="0"/>
          <w:sz w:val="32"/>
          <w:szCs w:val="32"/>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F02表</w:t>
      </w:r>
    </w:p>
    <w:p w:rsidR="00653494" w:rsidRPr="009263D7" w:rsidRDefault="00CB4B9E" w:rsidP="00653494">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653494" w:rsidRPr="009263D7" w:rsidRDefault="00CB4B9E" w:rsidP="00653494">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653494" w:rsidRPr="009263D7" w:rsidRDefault="00CB4B9E" w:rsidP="0065349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653494" w:rsidRPr="009263D7" w:rsidRDefault="00CB4B9E" w:rsidP="00653494">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653494" w:rsidRPr="009263D7" w:rsidRDefault="00CB4B9E" w:rsidP="00653494">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653494" w:rsidRPr="009263D7" w:rsidRDefault="00CB4B9E" w:rsidP="00653494">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9536" w:type="dxa"/>
        <w:tblInd w:w="93" w:type="dxa"/>
        <w:tblLook w:val="04A0"/>
      </w:tblPr>
      <w:tblGrid>
        <w:gridCol w:w="1430"/>
        <w:gridCol w:w="130"/>
        <w:gridCol w:w="1007"/>
        <w:gridCol w:w="283"/>
        <w:gridCol w:w="330"/>
        <w:gridCol w:w="521"/>
        <w:gridCol w:w="1276"/>
        <w:gridCol w:w="1275"/>
        <w:gridCol w:w="1311"/>
        <w:gridCol w:w="251"/>
        <w:gridCol w:w="1704"/>
        <w:gridCol w:w="18"/>
      </w:tblGrid>
      <w:tr w:rsidR="000A10E5" w:rsidRPr="009263D7" w:rsidTr="000A10E5">
        <w:trPr>
          <w:trHeight w:val="722"/>
        </w:trPr>
        <w:tc>
          <w:tcPr>
            <w:tcW w:w="1430" w:type="dxa"/>
            <w:tcBorders>
              <w:top w:val="single" w:sz="8" w:space="0" w:color="auto"/>
              <w:left w:val="nil"/>
              <w:right w:val="single" w:sz="2" w:space="0" w:color="auto"/>
            </w:tcBorders>
            <w:shd w:val="clear" w:color="auto" w:fill="auto"/>
            <w:vAlign w:val="center"/>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相关业务类型</w:t>
            </w:r>
          </w:p>
        </w:tc>
        <w:tc>
          <w:tcPr>
            <w:tcW w:w="1750" w:type="dxa"/>
            <w:gridSpan w:val="4"/>
            <w:tcBorders>
              <w:top w:val="single" w:sz="8" w:space="0" w:color="auto"/>
              <w:left w:val="single" w:sz="2" w:space="0" w:color="auto"/>
              <w:right w:val="single" w:sz="2" w:space="0" w:color="auto"/>
            </w:tcBorders>
            <w:shd w:val="clear" w:color="auto" w:fill="auto"/>
            <w:vAlign w:val="center"/>
          </w:tcPr>
          <w:p w:rsidR="000A10E5" w:rsidRPr="009263D7" w:rsidRDefault="00CB4B9E" w:rsidP="000A10E5">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是否附有银行承兑汇票</w:t>
            </w:r>
          </w:p>
        </w:tc>
        <w:tc>
          <w:tcPr>
            <w:tcW w:w="1797" w:type="dxa"/>
            <w:gridSpan w:val="2"/>
            <w:tcBorders>
              <w:top w:val="single" w:sz="8" w:space="0" w:color="auto"/>
              <w:left w:val="single" w:sz="2" w:space="0" w:color="auto"/>
              <w:right w:val="single" w:sz="2" w:space="0" w:color="auto"/>
            </w:tcBorders>
            <w:shd w:val="clear" w:color="auto" w:fill="auto"/>
            <w:vAlign w:val="center"/>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境外收款人所属国家</w:t>
            </w:r>
            <w:r w:rsidRPr="00CB4B9E">
              <w:rPr>
                <w:rFonts w:ascii="宋体" w:hAnsi="宋体" w:cs="宋体"/>
                <w:color w:val="000000" w:themeColor="text1"/>
                <w:kern w:val="0"/>
                <w:sz w:val="18"/>
                <w:szCs w:val="18"/>
              </w:rPr>
              <w:t>/地区</w:t>
            </w:r>
          </w:p>
        </w:tc>
        <w:tc>
          <w:tcPr>
            <w:tcW w:w="1275" w:type="dxa"/>
            <w:tcBorders>
              <w:top w:val="single" w:sz="8" w:space="0" w:color="auto"/>
              <w:left w:val="single" w:sz="2" w:space="0" w:color="auto"/>
              <w:right w:val="single" w:sz="2" w:space="0" w:color="auto"/>
            </w:tcBorders>
            <w:shd w:val="clear" w:color="auto" w:fill="auto"/>
            <w:vAlign w:val="center"/>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境外收款人所属部门</w:t>
            </w:r>
          </w:p>
        </w:tc>
        <w:tc>
          <w:tcPr>
            <w:tcW w:w="1311" w:type="dxa"/>
            <w:tcBorders>
              <w:top w:val="single" w:sz="8" w:space="0" w:color="auto"/>
              <w:left w:val="single" w:sz="2" w:space="0" w:color="auto"/>
              <w:right w:val="single" w:sz="2" w:space="0" w:color="auto"/>
            </w:tcBorders>
            <w:shd w:val="clear" w:color="auto" w:fill="auto"/>
            <w:vAlign w:val="center"/>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境外收款人与本机构的关系</w:t>
            </w:r>
          </w:p>
        </w:tc>
        <w:tc>
          <w:tcPr>
            <w:tcW w:w="1973" w:type="dxa"/>
            <w:gridSpan w:val="3"/>
            <w:tcBorders>
              <w:top w:val="single" w:sz="8" w:space="0" w:color="auto"/>
              <w:left w:val="single" w:sz="2" w:space="0" w:color="auto"/>
              <w:right w:val="nil"/>
            </w:tcBorders>
            <w:shd w:val="clear" w:color="auto" w:fill="auto"/>
            <w:vAlign w:val="center"/>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原始期限</w:t>
            </w:r>
          </w:p>
        </w:tc>
      </w:tr>
      <w:tr w:rsidR="000A10E5" w:rsidRPr="009263D7" w:rsidTr="000A10E5">
        <w:trPr>
          <w:trHeight w:val="300"/>
        </w:trPr>
        <w:tc>
          <w:tcPr>
            <w:tcW w:w="1430" w:type="dxa"/>
            <w:tcBorders>
              <w:left w:val="nil"/>
              <w:bottom w:val="single" w:sz="2" w:space="0" w:color="auto"/>
              <w:right w:val="single" w:sz="2" w:space="0" w:color="auto"/>
            </w:tcBorders>
            <w:shd w:val="clear" w:color="auto" w:fill="auto"/>
            <w:noWrap/>
            <w:vAlign w:val="bottom"/>
          </w:tcPr>
          <w:p w:rsidR="000A10E5" w:rsidRPr="009263D7" w:rsidRDefault="00CB4B9E" w:rsidP="00972419">
            <w:pPr>
              <w:widowControl/>
              <w:jc w:val="center"/>
              <w:rPr>
                <w:color w:val="000000" w:themeColor="text1"/>
                <w:kern w:val="0"/>
                <w:sz w:val="18"/>
                <w:szCs w:val="18"/>
              </w:rPr>
            </w:pPr>
            <w:r w:rsidRPr="00CB4B9E">
              <w:rPr>
                <w:color w:val="000000" w:themeColor="text1"/>
                <w:kern w:val="0"/>
                <w:sz w:val="18"/>
                <w:szCs w:val="18"/>
              </w:rPr>
              <w:t>F0201</w:t>
            </w:r>
          </w:p>
        </w:tc>
        <w:tc>
          <w:tcPr>
            <w:tcW w:w="1750" w:type="dxa"/>
            <w:gridSpan w:val="4"/>
            <w:tcBorders>
              <w:left w:val="single" w:sz="2" w:space="0" w:color="auto"/>
              <w:bottom w:val="single" w:sz="2" w:space="0" w:color="auto"/>
              <w:right w:val="single" w:sz="2" w:space="0" w:color="auto"/>
            </w:tcBorders>
            <w:shd w:val="clear" w:color="auto" w:fill="auto"/>
            <w:noWrap/>
            <w:vAlign w:val="bottom"/>
          </w:tcPr>
          <w:p w:rsidR="000A10E5" w:rsidRPr="009263D7" w:rsidRDefault="00CB4B9E" w:rsidP="00F917C7">
            <w:pPr>
              <w:widowControl/>
              <w:jc w:val="center"/>
              <w:rPr>
                <w:color w:val="000000" w:themeColor="text1"/>
                <w:kern w:val="0"/>
                <w:sz w:val="18"/>
                <w:szCs w:val="18"/>
              </w:rPr>
            </w:pPr>
            <w:r w:rsidRPr="00CB4B9E">
              <w:rPr>
                <w:color w:val="000000" w:themeColor="text1"/>
                <w:kern w:val="0"/>
                <w:sz w:val="18"/>
                <w:szCs w:val="18"/>
              </w:rPr>
              <w:t>F0202</w:t>
            </w:r>
          </w:p>
        </w:tc>
        <w:tc>
          <w:tcPr>
            <w:tcW w:w="1797" w:type="dxa"/>
            <w:gridSpan w:val="2"/>
            <w:tcBorders>
              <w:left w:val="single" w:sz="2" w:space="0" w:color="auto"/>
              <w:bottom w:val="single" w:sz="2" w:space="0" w:color="auto"/>
              <w:right w:val="single" w:sz="2" w:space="0" w:color="auto"/>
            </w:tcBorders>
            <w:shd w:val="clear" w:color="auto" w:fill="auto"/>
            <w:vAlign w:val="bottom"/>
          </w:tcPr>
          <w:p w:rsidR="000A10E5" w:rsidRPr="009263D7" w:rsidRDefault="00CB4B9E" w:rsidP="00972419">
            <w:pPr>
              <w:jc w:val="center"/>
              <w:rPr>
                <w:color w:val="000000" w:themeColor="text1"/>
                <w:kern w:val="0"/>
                <w:sz w:val="18"/>
                <w:szCs w:val="18"/>
              </w:rPr>
            </w:pPr>
            <w:r w:rsidRPr="00CB4B9E">
              <w:rPr>
                <w:color w:val="000000" w:themeColor="text1"/>
                <w:kern w:val="0"/>
                <w:sz w:val="18"/>
                <w:szCs w:val="18"/>
              </w:rPr>
              <w:t>F0203</w:t>
            </w:r>
          </w:p>
        </w:tc>
        <w:tc>
          <w:tcPr>
            <w:tcW w:w="1275" w:type="dxa"/>
            <w:tcBorders>
              <w:left w:val="single" w:sz="2" w:space="0" w:color="auto"/>
              <w:bottom w:val="single" w:sz="2" w:space="0" w:color="auto"/>
              <w:right w:val="single" w:sz="2" w:space="0" w:color="auto"/>
            </w:tcBorders>
            <w:shd w:val="clear" w:color="auto" w:fill="auto"/>
            <w:noWrap/>
            <w:vAlign w:val="bottom"/>
          </w:tcPr>
          <w:p w:rsidR="000A10E5" w:rsidRPr="009263D7" w:rsidRDefault="00CB4B9E" w:rsidP="00972419">
            <w:pPr>
              <w:widowControl/>
              <w:jc w:val="center"/>
              <w:rPr>
                <w:color w:val="000000" w:themeColor="text1"/>
                <w:kern w:val="0"/>
                <w:sz w:val="18"/>
                <w:szCs w:val="18"/>
              </w:rPr>
            </w:pPr>
            <w:r w:rsidRPr="00CB4B9E">
              <w:rPr>
                <w:color w:val="000000" w:themeColor="text1"/>
                <w:kern w:val="0"/>
                <w:sz w:val="18"/>
                <w:szCs w:val="18"/>
              </w:rPr>
              <w:t>F0204</w:t>
            </w:r>
          </w:p>
        </w:tc>
        <w:tc>
          <w:tcPr>
            <w:tcW w:w="1311" w:type="dxa"/>
            <w:tcBorders>
              <w:left w:val="single" w:sz="2" w:space="0" w:color="auto"/>
              <w:bottom w:val="single" w:sz="2" w:space="0" w:color="auto"/>
              <w:right w:val="single" w:sz="2" w:space="0" w:color="auto"/>
            </w:tcBorders>
            <w:shd w:val="clear" w:color="auto" w:fill="auto"/>
            <w:noWrap/>
            <w:vAlign w:val="bottom"/>
          </w:tcPr>
          <w:p w:rsidR="000A10E5" w:rsidRPr="009263D7" w:rsidRDefault="00CB4B9E" w:rsidP="00972419">
            <w:pPr>
              <w:widowControl/>
              <w:jc w:val="center"/>
              <w:rPr>
                <w:color w:val="000000" w:themeColor="text1"/>
                <w:kern w:val="0"/>
                <w:sz w:val="18"/>
                <w:szCs w:val="18"/>
              </w:rPr>
            </w:pPr>
            <w:r w:rsidRPr="00CB4B9E">
              <w:rPr>
                <w:color w:val="000000" w:themeColor="text1"/>
                <w:kern w:val="0"/>
                <w:sz w:val="18"/>
                <w:szCs w:val="18"/>
              </w:rPr>
              <w:t>F0205</w:t>
            </w:r>
          </w:p>
        </w:tc>
        <w:tc>
          <w:tcPr>
            <w:tcW w:w="1973" w:type="dxa"/>
            <w:gridSpan w:val="3"/>
            <w:tcBorders>
              <w:left w:val="single" w:sz="2" w:space="0" w:color="auto"/>
              <w:bottom w:val="single" w:sz="2" w:space="0" w:color="auto"/>
              <w:right w:val="nil"/>
            </w:tcBorders>
            <w:shd w:val="clear" w:color="auto" w:fill="auto"/>
            <w:vAlign w:val="bottom"/>
          </w:tcPr>
          <w:p w:rsidR="000A10E5" w:rsidRPr="009263D7" w:rsidRDefault="00CB4B9E" w:rsidP="00972419">
            <w:pPr>
              <w:widowControl/>
              <w:jc w:val="center"/>
              <w:rPr>
                <w:color w:val="000000" w:themeColor="text1"/>
                <w:kern w:val="0"/>
                <w:sz w:val="18"/>
                <w:szCs w:val="18"/>
              </w:rPr>
            </w:pPr>
            <w:r w:rsidRPr="00CB4B9E">
              <w:rPr>
                <w:color w:val="000000" w:themeColor="text1"/>
                <w:kern w:val="0"/>
                <w:sz w:val="18"/>
                <w:szCs w:val="18"/>
              </w:rPr>
              <w:t>F0206</w:t>
            </w:r>
          </w:p>
        </w:tc>
      </w:tr>
      <w:tr w:rsidR="000A10E5" w:rsidRPr="009263D7" w:rsidTr="00396DBF">
        <w:trPr>
          <w:trHeight w:val="300"/>
        </w:trPr>
        <w:tc>
          <w:tcPr>
            <w:tcW w:w="1430" w:type="dxa"/>
            <w:tcBorders>
              <w:top w:val="single" w:sz="2" w:space="0" w:color="auto"/>
              <w:left w:val="nil"/>
              <w:bottom w:val="single" w:sz="2" w:space="0" w:color="auto"/>
              <w:right w:val="single" w:sz="2" w:space="0" w:color="auto"/>
            </w:tcBorders>
            <w:shd w:val="clear" w:color="auto" w:fill="auto"/>
            <w:noWrap/>
            <w:vAlign w:val="bottom"/>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750" w:type="dxa"/>
            <w:gridSpan w:val="4"/>
            <w:tcBorders>
              <w:top w:val="single" w:sz="2" w:space="0" w:color="auto"/>
              <w:left w:val="single" w:sz="2" w:space="0" w:color="auto"/>
              <w:bottom w:val="single" w:sz="2" w:space="0" w:color="auto"/>
              <w:right w:val="single" w:sz="2" w:space="0" w:color="auto"/>
            </w:tcBorders>
            <w:shd w:val="clear" w:color="auto" w:fill="auto"/>
            <w:noWrap/>
            <w:vAlign w:val="bottom"/>
          </w:tcPr>
          <w:p w:rsidR="000A10E5" w:rsidRPr="009263D7" w:rsidRDefault="00CB4B9E" w:rsidP="00F917C7">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797" w:type="dxa"/>
            <w:gridSpan w:val="2"/>
            <w:tcBorders>
              <w:top w:val="single" w:sz="2" w:space="0" w:color="auto"/>
              <w:left w:val="single" w:sz="2" w:space="0" w:color="auto"/>
              <w:bottom w:val="single" w:sz="2" w:space="0" w:color="auto"/>
              <w:right w:val="single" w:sz="2" w:space="0" w:color="auto"/>
            </w:tcBorders>
            <w:shd w:val="clear" w:color="auto" w:fill="auto"/>
            <w:vAlign w:val="bottom"/>
          </w:tcPr>
          <w:p w:rsidR="000A10E5" w:rsidRPr="009263D7" w:rsidRDefault="00CB4B9E" w:rsidP="0085513F">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1275" w:type="dxa"/>
            <w:tcBorders>
              <w:top w:val="single" w:sz="2" w:space="0" w:color="auto"/>
              <w:left w:val="single" w:sz="2" w:space="0" w:color="auto"/>
              <w:bottom w:val="single" w:sz="2" w:space="0" w:color="auto"/>
              <w:right w:val="single" w:sz="2" w:space="0" w:color="auto"/>
            </w:tcBorders>
            <w:shd w:val="clear" w:color="auto" w:fill="auto"/>
            <w:noWrap/>
            <w:vAlign w:val="bottom"/>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1311" w:type="dxa"/>
            <w:tcBorders>
              <w:top w:val="single" w:sz="2" w:space="0" w:color="auto"/>
              <w:left w:val="single" w:sz="2" w:space="0" w:color="auto"/>
              <w:bottom w:val="single" w:sz="2" w:space="0" w:color="auto"/>
              <w:right w:val="single" w:sz="2" w:space="0" w:color="auto"/>
            </w:tcBorders>
            <w:shd w:val="clear" w:color="auto" w:fill="auto"/>
            <w:noWrap/>
            <w:vAlign w:val="bottom"/>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1973" w:type="dxa"/>
            <w:gridSpan w:val="3"/>
            <w:tcBorders>
              <w:top w:val="single" w:sz="2" w:space="0" w:color="auto"/>
              <w:left w:val="single" w:sz="2" w:space="0" w:color="auto"/>
              <w:bottom w:val="single" w:sz="2" w:space="0" w:color="auto"/>
              <w:right w:val="nil"/>
            </w:tcBorders>
            <w:shd w:val="clear" w:color="auto" w:fill="auto"/>
            <w:vAlign w:val="bottom"/>
          </w:tcPr>
          <w:p w:rsidR="000A10E5"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r>
      <w:tr w:rsidR="00972419" w:rsidRPr="009263D7" w:rsidTr="0085513F">
        <w:trPr>
          <w:trHeight w:val="285"/>
        </w:trPr>
        <w:tc>
          <w:tcPr>
            <w:tcW w:w="1430" w:type="dxa"/>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1137" w:type="dxa"/>
            <w:gridSpan w:val="2"/>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2410" w:type="dxa"/>
            <w:gridSpan w:val="4"/>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1275" w:type="dxa"/>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1311" w:type="dxa"/>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1973" w:type="dxa"/>
            <w:gridSpan w:val="3"/>
            <w:tcBorders>
              <w:top w:val="single" w:sz="2" w:space="0" w:color="auto"/>
              <w:left w:val="nil"/>
              <w:bottom w:val="nil"/>
              <w:right w:val="nil"/>
            </w:tcBorders>
            <w:shd w:val="clear" w:color="auto" w:fill="auto"/>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r>
      <w:tr w:rsidR="00972419" w:rsidRPr="009263D7" w:rsidTr="0085513F">
        <w:trPr>
          <w:trHeight w:val="285"/>
        </w:trPr>
        <w:tc>
          <w:tcPr>
            <w:tcW w:w="1430" w:type="dxa"/>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1137" w:type="dxa"/>
            <w:gridSpan w:val="2"/>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2410" w:type="dxa"/>
            <w:gridSpan w:val="4"/>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1275" w:type="dxa"/>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1311" w:type="dxa"/>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c>
          <w:tcPr>
            <w:tcW w:w="1973" w:type="dxa"/>
            <w:gridSpan w:val="3"/>
            <w:tcBorders>
              <w:top w:val="nil"/>
              <w:left w:val="nil"/>
              <w:bottom w:val="nil"/>
              <w:right w:val="nil"/>
            </w:tcBorders>
            <w:shd w:val="clear" w:color="auto" w:fill="auto"/>
            <w:vAlign w:val="bottom"/>
          </w:tcPr>
          <w:p w:rsidR="00972419" w:rsidRPr="009263D7" w:rsidRDefault="00972419" w:rsidP="0085513F">
            <w:pPr>
              <w:keepNext/>
              <w:widowControl/>
              <w:spacing w:line="320" w:lineRule="exact"/>
              <w:jc w:val="center"/>
              <w:outlineLvl w:val="0"/>
              <w:rPr>
                <w:color w:val="000000" w:themeColor="text1"/>
                <w:kern w:val="0"/>
                <w:sz w:val="18"/>
                <w:szCs w:val="18"/>
              </w:rPr>
            </w:pPr>
          </w:p>
        </w:tc>
      </w:tr>
      <w:tr w:rsidR="00972419" w:rsidRPr="009263D7" w:rsidTr="0085513F">
        <w:trPr>
          <w:trHeight w:val="300"/>
        </w:trPr>
        <w:tc>
          <w:tcPr>
            <w:tcW w:w="1430" w:type="dxa"/>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1137" w:type="dxa"/>
            <w:gridSpan w:val="2"/>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2410" w:type="dxa"/>
            <w:gridSpan w:val="4"/>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1275" w:type="dxa"/>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1311" w:type="dxa"/>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color w:val="000000" w:themeColor="text1"/>
                <w:kern w:val="0"/>
                <w:sz w:val="18"/>
                <w:szCs w:val="18"/>
              </w:rPr>
            </w:pPr>
            <w:r w:rsidRPr="00CB4B9E">
              <w:rPr>
                <w:rFonts w:hint="eastAsia"/>
                <w:color w:val="000000" w:themeColor="text1"/>
                <w:kern w:val="0"/>
                <w:sz w:val="18"/>
                <w:szCs w:val="18"/>
              </w:rPr>
              <w:t xml:space="preserve">　</w:t>
            </w:r>
          </w:p>
        </w:tc>
        <w:tc>
          <w:tcPr>
            <w:tcW w:w="1973" w:type="dxa"/>
            <w:gridSpan w:val="3"/>
            <w:tcBorders>
              <w:top w:val="nil"/>
              <w:left w:val="nil"/>
              <w:bottom w:val="single" w:sz="8" w:space="0" w:color="auto"/>
              <w:right w:val="nil"/>
            </w:tcBorders>
            <w:shd w:val="clear" w:color="auto" w:fill="auto"/>
            <w:vAlign w:val="bottom"/>
          </w:tcPr>
          <w:p w:rsidR="00972419" w:rsidRPr="009263D7" w:rsidRDefault="00CB4B9E" w:rsidP="0085513F">
            <w:pPr>
              <w:widowControl/>
              <w:jc w:val="center"/>
              <w:rPr>
                <w:color w:val="000000" w:themeColor="text1"/>
                <w:kern w:val="0"/>
                <w:sz w:val="18"/>
                <w:szCs w:val="18"/>
              </w:rPr>
            </w:pPr>
            <w:r w:rsidRPr="00CB4B9E">
              <w:rPr>
                <w:rFonts w:hint="eastAsia"/>
                <w:color w:val="000000" w:themeColor="text1"/>
                <w:kern w:val="0"/>
                <w:sz w:val="18"/>
                <w:szCs w:val="18"/>
              </w:rPr>
              <w:t xml:space="preserve">　</w:t>
            </w:r>
          </w:p>
        </w:tc>
      </w:tr>
      <w:tr w:rsidR="00972419" w:rsidRPr="009263D7" w:rsidTr="0085513F">
        <w:trPr>
          <w:trHeight w:val="285"/>
        </w:trPr>
        <w:tc>
          <w:tcPr>
            <w:tcW w:w="1430" w:type="dxa"/>
            <w:tcBorders>
              <w:top w:val="nil"/>
              <w:left w:val="nil"/>
              <w:bottom w:val="single" w:sz="8" w:space="0" w:color="auto"/>
              <w:right w:val="nil"/>
            </w:tcBorders>
            <w:shd w:val="clear" w:color="auto" w:fill="auto"/>
            <w:noWrap/>
            <w:vAlign w:val="center"/>
          </w:tcPr>
          <w:p w:rsidR="00972419" w:rsidRPr="009263D7" w:rsidRDefault="00CB4B9E" w:rsidP="0085513F">
            <w:pPr>
              <w:widowControl/>
              <w:jc w:val="left"/>
              <w:rPr>
                <w:rFonts w:ascii="宋体" w:hAnsi="宋体" w:cs="宋体"/>
                <w:color w:val="000000" w:themeColor="text1"/>
                <w:kern w:val="0"/>
                <w:sz w:val="22"/>
                <w:szCs w:val="22"/>
              </w:rPr>
            </w:pPr>
            <w:r w:rsidRPr="00CB4B9E">
              <w:rPr>
                <w:rFonts w:ascii="宋体" w:hAnsi="宋体" w:cs="宋体" w:hint="eastAsia"/>
                <w:color w:val="000000" w:themeColor="text1"/>
                <w:kern w:val="0"/>
                <w:sz w:val="22"/>
                <w:szCs w:val="22"/>
              </w:rPr>
              <w:t>续表</w:t>
            </w:r>
          </w:p>
        </w:tc>
        <w:tc>
          <w:tcPr>
            <w:tcW w:w="1137" w:type="dxa"/>
            <w:gridSpan w:val="2"/>
            <w:tcBorders>
              <w:top w:val="nil"/>
              <w:left w:val="nil"/>
              <w:bottom w:val="single" w:sz="8" w:space="0" w:color="auto"/>
              <w:right w:val="nil"/>
            </w:tcBorders>
            <w:shd w:val="clear" w:color="auto" w:fill="auto"/>
            <w:noWrap/>
            <w:vAlign w:val="center"/>
          </w:tcPr>
          <w:p w:rsidR="00972419" w:rsidRPr="009263D7" w:rsidRDefault="00972419" w:rsidP="0085513F">
            <w:pPr>
              <w:widowControl/>
              <w:jc w:val="left"/>
              <w:rPr>
                <w:rFonts w:ascii="宋体" w:hAnsi="宋体" w:cs="宋体"/>
                <w:color w:val="000000" w:themeColor="text1"/>
                <w:kern w:val="0"/>
                <w:sz w:val="22"/>
                <w:szCs w:val="22"/>
              </w:rPr>
            </w:pPr>
          </w:p>
        </w:tc>
        <w:tc>
          <w:tcPr>
            <w:tcW w:w="2410" w:type="dxa"/>
            <w:gridSpan w:val="4"/>
            <w:tcBorders>
              <w:top w:val="nil"/>
              <w:left w:val="nil"/>
              <w:bottom w:val="single" w:sz="8" w:space="0" w:color="auto"/>
              <w:right w:val="nil"/>
            </w:tcBorders>
            <w:shd w:val="clear" w:color="auto" w:fill="auto"/>
            <w:noWrap/>
            <w:vAlign w:val="center"/>
          </w:tcPr>
          <w:p w:rsidR="00972419" w:rsidRPr="009263D7" w:rsidRDefault="00972419" w:rsidP="0085513F">
            <w:pPr>
              <w:widowControl/>
              <w:jc w:val="left"/>
              <w:rPr>
                <w:rFonts w:ascii="宋体" w:hAnsi="宋体" w:cs="宋体"/>
                <w:color w:val="000000" w:themeColor="text1"/>
                <w:kern w:val="0"/>
                <w:sz w:val="22"/>
                <w:szCs w:val="22"/>
              </w:rPr>
            </w:pPr>
          </w:p>
        </w:tc>
        <w:tc>
          <w:tcPr>
            <w:tcW w:w="1275" w:type="dxa"/>
            <w:tcBorders>
              <w:top w:val="nil"/>
              <w:left w:val="nil"/>
              <w:bottom w:val="single" w:sz="8" w:space="0" w:color="auto"/>
              <w:right w:val="nil"/>
            </w:tcBorders>
            <w:shd w:val="clear" w:color="auto" w:fill="auto"/>
            <w:noWrap/>
            <w:vAlign w:val="center"/>
          </w:tcPr>
          <w:p w:rsidR="00972419" w:rsidRPr="009263D7" w:rsidRDefault="00972419" w:rsidP="0085513F">
            <w:pPr>
              <w:widowControl/>
              <w:jc w:val="left"/>
              <w:rPr>
                <w:rFonts w:ascii="宋体" w:hAnsi="宋体" w:cs="宋体"/>
                <w:color w:val="000000" w:themeColor="text1"/>
                <w:kern w:val="0"/>
                <w:sz w:val="22"/>
                <w:szCs w:val="22"/>
              </w:rPr>
            </w:pPr>
          </w:p>
        </w:tc>
        <w:tc>
          <w:tcPr>
            <w:tcW w:w="1311" w:type="dxa"/>
            <w:tcBorders>
              <w:top w:val="nil"/>
              <w:left w:val="nil"/>
              <w:bottom w:val="single" w:sz="8" w:space="0" w:color="auto"/>
              <w:right w:val="nil"/>
            </w:tcBorders>
            <w:shd w:val="clear" w:color="auto" w:fill="auto"/>
            <w:noWrap/>
            <w:vAlign w:val="center"/>
          </w:tcPr>
          <w:p w:rsidR="00972419" w:rsidRPr="009263D7" w:rsidRDefault="00972419" w:rsidP="0085513F">
            <w:pPr>
              <w:widowControl/>
              <w:jc w:val="left"/>
              <w:rPr>
                <w:rFonts w:ascii="宋体" w:hAnsi="宋体" w:cs="宋体"/>
                <w:color w:val="000000" w:themeColor="text1"/>
                <w:kern w:val="0"/>
                <w:sz w:val="22"/>
                <w:szCs w:val="22"/>
              </w:rPr>
            </w:pPr>
          </w:p>
        </w:tc>
        <w:tc>
          <w:tcPr>
            <w:tcW w:w="1973" w:type="dxa"/>
            <w:gridSpan w:val="3"/>
            <w:tcBorders>
              <w:top w:val="nil"/>
              <w:left w:val="nil"/>
              <w:bottom w:val="single" w:sz="8" w:space="0" w:color="auto"/>
              <w:right w:val="nil"/>
            </w:tcBorders>
            <w:shd w:val="clear" w:color="auto" w:fill="auto"/>
            <w:noWrap/>
            <w:vAlign w:val="center"/>
          </w:tcPr>
          <w:p w:rsidR="00972419" w:rsidRPr="009263D7" w:rsidRDefault="00CB4B9E" w:rsidP="0085513F">
            <w:pPr>
              <w:widowControl/>
              <w:jc w:val="left"/>
              <w:rPr>
                <w:rFonts w:ascii="宋体" w:hAnsi="宋体" w:cs="宋体"/>
                <w:color w:val="000000" w:themeColor="text1"/>
                <w:kern w:val="0"/>
                <w:sz w:val="22"/>
                <w:szCs w:val="22"/>
              </w:rPr>
            </w:pPr>
            <w:r w:rsidRPr="00CB4B9E">
              <w:rPr>
                <w:rFonts w:ascii="宋体" w:hAnsi="宋体" w:cs="宋体" w:hint="eastAsia"/>
                <w:color w:val="000000" w:themeColor="text1"/>
                <w:kern w:val="0"/>
                <w:sz w:val="22"/>
                <w:szCs w:val="22"/>
              </w:rPr>
              <w:t xml:space="preserve">　</w:t>
            </w:r>
          </w:p>
        </w:tc>
      </w:tr>
      <w:tr w:rsidR="00972419" w:rsidRPr="009263D7" w:rsidTr="0039746E">
        <w:trPr>
          <w:trHeight w:val="285"/>
        </w:trPr>
        <w:tc>
          <w:tcPr>
            <w:tcW w:w="9536" w:type="dxa"/>
            <w:gridSpan w:val="12"/>
            <w:tcBorders>
              <w:top w:val="single" w:sz="8" w:space="0" w:color="auto"/>
              <w:left w:val="nil"/>
              <w:bottom w:val="single" w:sz="2" w:space="0" w:color="auto"/>
            </w:tcBorders>
            <w:shd w:val="clear" w:color="auto" w:fill="auto"/>
            <w:vAlign w:val="center"/>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按进口相关付款凭证的原始币种</w:t>
            </w:r>
          </w:p>
        </w:tc>
      </w:tr>
      <w:tr w:rsidR="00972419" w:rsidRPr="009263D7" w:rsidTr="0039746E">
        <w:trPr>
          <w:trHeight w:val="450"/>
        </w:trPr>
        <w:tc>
          <w:tcPr>
            <w:tcW w:w="1430" w:type="dxa"/>
            <w:vMerge w:val="restart"/>
            <w:tcBorders>
              <w:top w:val="single" w:sz="2" w:space="0" w:color="auto"/>
              <w:left w:val="nil"/>
              <w:right w:val="single" w:sz="2" w:space="0" w:color="auto"/>
            </w:tcBorders>
            <w:vAlign w:val="center"/>
          </w:tcPr>
          <w:p w:rsidR="00972419" w:rsidRPr="009263D7" w:rsidRDefault="00CB4B9E" w:rsidP="0085513F">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1137" w:type="dxa"/>
            <w:gridSpan w:val="2"/>
            <w:vMerge w:val="restart"/>
            <w:tcBorders>
              <w:top w:val="single" w:sz="2" w:space="0" w:color="auto"/>
              <w:left w:val="single" w:sz="2" w:space="0" w:color="auto"/>
              <w:right w:val="single" w:sz="2" w:space="0" w:color="auto"/>
            </w:tcBorders>
            <w:shd w:val="clear" w:color="auto" w:fill="auto"/>
            <w:vAlign w:val="center"/>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上月末余额</w:t>
            </w:r>
          </w:p>
        </w:tc>
        <w:tc>
          <w:tcPr>
            <w:tcW w:w="2410" w:type="dxa"/>
            <w:gridSpan w:val="4"/>
            <w:tcBorders>
              <w:top w:val="single" w:sz="2" w:space="0" w:color="auto"/>
              <w:left w:val="single" w:sz="2" w:space="0" w:color="auto"/>
              <w:right w:val="single" w:sz="2" w:space="0" w:color="auto"/>
            </w:tcBorders>
            <w:shd w:val="clear" w:color="auto" w:fill="auto"/>
            <w:vAlign w:val="center"/>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本月末余额</w:t>
            </w:r>
          </w:p>
        </w:tc>
        <w:tc>
          <w:tcPr>
            <w:tcW w:w="1275" w:type="dxa"/>
            <w:vMerge w:val="restart"/>
            <w:tcBorders>
              <w:top w:val="single" w:sz="2" w:space="0" w:color="auto"/>
              <w:left w:val="single" w:sz="2" w:space="0" w:color="auto"/>
              <w:right w:val="single" w:sz="2" w:space="0" w:color="auto"/>
            </w:tcBorders>
            <w:shd w:val="clear" w:color="auto" w:fill="auto"/>
            <w:vAlign w:val="center"/>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1311" w:type="dxa"/>
            <w:vMerge w:val="restart"/>
            <w:tcBorders>
              <w:top w:val="single" w:sz="2" w:space="0" w:color="auto"/>
              <w:left w:val="single" w:sz="2" w:space="0" w:color="auto"/>
              <w:right w:val="single" w:sz="2" w:space="0" w:color="auto"/>
            </w:tcBorders>
            <w:shd w:val="clear" w:color="auto" w:fill="auto"/>
            <w:vAlign w:val="center"/>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本月净发生额</w:t>
            </w:r>
          </w:p>
        </w:tc>
        <w:tc>
          <w:tcPr>
            <w:tcW w:w="1973" w:type="dxa"/>
            <w:gridSpan w:val="3"/>
            <w:vMerge w:val="restart"/>
            <w:tcBorders>
              <w:top w:val="single" w:sz="2" w:space="0" w:color="auto"/>
              <w:left w:val="single" w:sz="2" w:space="0" w:color="auto"/>
              <w:right w:val="nil"/>
            </w:tcBorders>
            <w:shd w:val="clear" w:color="auto" w:fill="auto"/>
            <w:vAlign w:val="center"/>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备注</w:t>
            </w:r>
          </w:p>
        </w:tc>
      </w:tr>
      <w:tr w:rsidR="00972419" w:rsidRPr="009263D7" w:rsidTr="0085513F">
        <w:trPr>
          <w:trHeight w:val="165"/>
        </w:trPr>
        <w:tc>
          <w:tcPr>
            <w:tcW w:w="1430" w:type="dxa"/>
            <w:vMerge/>
            <w:tcBorders>
              <w:left w:val="nil"/>
              <w:right w:val="single" w:sz="2" w:space="0" w:color="auto"/>
            </w:tcBorders>
            <w:vAlign w:val="center"/>
          </w:tcPr>
          <w:p w:rsidR="00972419" w:rsidRPr="009263D7" w:rsidRDefault="00972419" w:rsidP="0085513F">
            <w:pPr>
              <w:keepNext/>
              <w:spacing w:line="320" w:lineRule="exact"/>
              <w:jc w:val="center"/>
              <w:outlineLvl w:val="0"/>
              <w:rPr>
                <w:rFonts w:ascii="宋体" w:hAnsi="宋体" w:cs="宋体"/>
                <w:color w:val="000000" w:themeColor="text1"/>
                <w:kern w:val="0"/>
                <w:sz w:val="18"/>
                <w:szCs w:val="18"/>
              </w:rPr>
            </w:pPr>
          </w:p>
        </w:tc>
        <w:tc>
          <w:tcPr>
            <w:tcW w:w="1137" w:type="dxa"/>
            <w:gridSpan w:val="2"/>
            <w:vMerge/>
            <w:tcBorders>
              <w:left w:val="single" w:sz="2" w:space="0" w:color="auto"/>
              <w:right w:val="single" w:sz="2" w:space="0" w:color="auto"/>
            </w:tcBorders>
            <w:shd w:val="clear" w:color="auto" w:fill="auto"/>
            <w:vAlign w:val="center"/>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134" w:type="dxa"/>
            <w:gridSpan w:val="3"/>
            <w:tcBorders>
              <w:left w:val="single" w:sz="2" w:space="0" w:color="auto"/>
              <w:right w:val="single" w:sz="2" w:space="0" w:color="auto"/>
            </w:tcBorders>
            <w:shd w:val="clear" w:color="auto" w:fill="auto"/>
            <w:vAlign w:val="center"/>
          </w:tcPr>
          <w:p w:rsidR="00972419" w:rsidRPr="009263D7" w:rsidRDefault="00972419" w:rsidP="0085513F">
            <w:pPr>
              <w:keepNext/>
              <w:spacing w:line="320" w:lineRule="exact"/>
              <w:jc w:val="center"/>
              <w:outlineLvl w:val="0"/>
              <w:rPr>
                <w:rFonts w:ascii="宋体" w:hAnsi="宋体" w:cs="宋体"/>
                <w:color w:val="000000" w:themeColor="text1"/>
                <w:kern w:val="0"/>
                <w:sz w:val="18"/>
                <w:szCs w:val="18"/>
              </w:rPr>
            </w:pPr>
          </w:p>
        </w:tc>
        <w:tc>
          <w:tcPr>
            <w:tcW w:w="1276" w:type="dxa"/>
            <w:tcBorders>
              <w:top w:val="single" w:sz="2" w:space="0" w:color="auto"/>
              <w:left w:val="single" w:sz="2" w:space="0" w:color="auto"/>
              <w:right w:val="single" w:sz="2" w:space="0" w:color="auto"/>
            </w:tcBorders>
            <w:shd w:val="clear" w:color="auto" w:fill="auto"/>
            <w:vAlign w:val="center"/>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1275" w:type="dxa"/>
            <w:vMerge/>
            <w:tcBorders>
              <w:left w:val="single" w:sz="2" w:space="0" w:color="auto"/>
              <w:right w:val="single" w:sz="2" w:space="0" w:color="auto"/>
            </w:tcBorders>
            <w:shd w:val="clear" w:color="auto" w:fill="auto"/>
            <w:vAlign w:val="center"/>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311" w:type="dxa"/>
            <w:vMerge/>
            <w:tcBorders>
              <w:left w:val="single" w:sz="2" w:space="0" w:color="auto"/>
              <w:right w:val="single" w:sz="2" w:space="0" w:color="auto"/>
            </w:tcBorders>
            <w:shd w:val="clear" w:color="auto" w:fill="auto"/>
            <w:vAlign w:val="center"/>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973" w:type="dxa"/>
            <w:gridSpan w:val="3"/>
            <w:vMerge/>
            <w:tcBorders>
              <w:left w:val="single" w:sz="2" w:space="0" w:color="auto"/>
              <w:right w:val="nil"/>
            </w:tcBorders>
            <w:shd w:val="clear" w:color="auto" w:fill="auto"/>
            <w:vAlign w:val="center"/>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r>
      <w:tr w:rsidR="00972419" w:rsidRPr="009263D7" w:rsidTr="0085513F">
        <w:trPr>
          <w:trHeight w:val="285"/>
        </w:trPr>
        <w:tc>
          <w:tcPr>
            <w:tcW w:w="1430" w:type="dxa"/>
            <w:tcBorders>
              <w:top w:val="nil"/>
              <w:left w:val="nil"/>
              <w:bottom w:val="single" w:sz="2" w:space="0" w:color="auto"/>
              <w:right w:val="single" w:sz="2" w:space="0" w:color="auto"/>
            </w:tcBorders>
            <w:shd w:val="clear" w:color="auto" w:fill="auto"/>
            <w:noWrap/>
            <w:vAlign w:val="bottom"/>
          </w:tcPr>
          <w:p w:rsidR="00972419" w:rsidRPr="009263D7" w:rsidRDefault="00CB4B9E" w:rsidP="00972419">
            <w:pPr>
              <w:widowControl/>
              <w:jc w:val="center"/>
              <w:rPr>
                <w:color w:val="000000" w:themeColor="text1"/>
                <w:kern w:val="0"/>
                <w:sz w:val="18"/>
                <w:szCs w:val="18"/>
              </w:rPr>
            </w:pPr>
            <w:r w:rsidRPr="00CB4B9E">
              <w:rPr>
                <w:color w:val="000000" w:themeColor="text1"/>
                <w:kern w:val="0"/>
                <w:sz w:val="18"/>
                <w:szCs w:val="18"/>
              </w:rPr>
              <w:t>F0207</w:t>
            </w:r>
          </w:p>
        </w:tc>
        <w:tc>
          <w:tcPr>
            <w:tcW w:w="1137" w:type="dxa"/>
            <w:gridSpan w:val="2"/>
            <w:tcBorders>
              <w:top w:val="nil"/>
              <w:left w:val="single" w:sz="2" w:space="0" w:color="auto"/>
              <w:bottom w:val="single" w:sz="2" w:space="0" w:color="auto"/>
              <w:right w:val="single" w:sz="2" w:space="0" w:color="auto"/>
            </w:tcBorders>
            <w:shd w:val="clear" w:color="auto" w:fill="auto"/>
            <w:noWrap/>
            <w:vAlign w:val="bottom"/>
          </w:tcPr>
          <w:p w:rsidR="00972419" w:rsidRPr="009263D7" w:rsidRDefault="00CB4B9E" w:rsidP="00972419">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F0208</w:t>
            </w:r>
          </w:p>
        </w:tc>
        <w:tc>
          <w:tcPr>
            <w:tcW w:w="1134" w:type="dxa"/>
            <w:gridSpan w:val="3"/>
            <w:tcBorders>
              <w:top w:val="nil"/>
              <w:left w:val="single" w:sz="2" w:space="0" w:color="auto"/>
              <w:bottom w:val="single" w:sz="2" w:space="0" w:color="auto"/>
              <w:right w:val="single" w:sz="2" w:space="0" w:color="auto"/>
            </w:tcBorders>
            <w:shd w:val="clear" w:color="auto" w:fill="auto"/>
            <w:vAlign w:val="bottom"/>
          </w:tcPr>
          <w:p w:rsidR="00972419" w:rsidRPr="009263D7" w:rsidRDefault="00CB4B9E" w:rsidP="00972419">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F0209</w:t>
            </w:r>
          </w:p>
        </w:tc>
        <w:tc>
          <w:tcPr>
            <w:tcW w:w="1276" w:type="dxa"/>
            <w:tcBorders>
              <w:top w:val="nil"/>
              <w:left w:val="single" w:sz="2" w:space="0" w:color="auto"/>
              <w:bottom w:val="single" w:sz="2" w:space="0" w:color="auto"/>
              <w:right w:val="single" w:sz="2" w:space="0" w:color="auto"/>
            </w:tcBorders>
            <w:shd w:val="clear" w:color="auto" w:fill="auto"/>
            <w:vAlign w:val="bottom"/>
          </w:tcPr>
          <w:p w:rsidR="00972419" w:rsidRPr="009263D7" w:rsidRDefault="00CB4B9E" w:rsidP="00972419">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F0210</w:t>
            </w:r>
          </w:p>
        </w:tc>
        <w:tc>
          <w:tcPr>
            <w:tcW w:w="1275" w:type="dxa"/>
            <w:tcBorders>
              <w:top w:val="nil"/>
              <w:left w:val="single" w:sz="2" w:space="0" w:color="auto"/>
              <w:bottom w:val="single" w:sz="2" w:space="0" w:color="auto"/>
              <w:right w:val="single" w:sz="2" w:space="0" w:color="auto"/>
            </w:tcBorders>
            <w:shd w:val="clear" w:color="auto" w:fill="auto"/>
            <w:vAlign w:val="bottom"/>
          </w:tcPr>
          <w:p w:rsidR="00972419" w:rsidRPr="009263D7" w:rsidRDefault="00CB4B9E" w:rsidP="00972419">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F0211</w:t>
            </w:r>
          </w:p>
        </w:tc>
        <w:tc>
          <w:tcPr>
            <w:tcW w:w="1311" w:type="dxa"/>
            <w:tcBorders>
              <w:top w:val="nil"/>
              <w:left w:val="single" w:sz="2" w:space="0" w:color="auto"/>
              <w:bottom w:val="single" w:sz="2" w:space="0" w:color="auto"/>
              <w:right w:val="single" w:sz="2" w:space="0" w:color="auto"/>
            </w:tcBorders>
            <w:shd w:val="clear" w:color="auto" w:fill="auto"/>
            <w:vAlign w:val="bottom"/>
          </w:tcPr>
          <w:p w:rsidR="00972419" w:rsidRPr="009263D7" w:rsidRDefault="00CB4B9E" w:rsidP="00972419">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F0212</w:t>
            </w:r>
          </w:p>
        </w:tc>
        <w:tc>
          <w:tcPr>
            <w:tcW w:w="1973" w:type="dxa"/>
            <w:gridSpan w:val="3"/>
            <w:tcBorders>
              <w:top w:val="nil"/>
              <w:left w:val="single" w:sz="2" w:space="0" w:color="auto"/>
              <w:bottom w:val="single" w:sz="2" w:space="0" w:color="auto"/>
              <w:right w:val="nil"/>
            </w:tcBorders>
            <w:shd w:val="clear" w:color="auto" w:fill="auto"/>
            <w:vAlign w:val="bottom"/>
          </w:tcPr>
          <w:p w:rsidR="00972419" w:rsidRPr="009263D7" w:rsidRDefault="00CB4B9E" w:rsidP="00972419">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r w:rsidRPr="00CB4B9E">
              <w:rPr>
                <w:rFonts w:ascii="宋体" w:hAnsi="宋体" w:cs="宋体"/>
                <w:color w:val="000000" w:themeColor="text1"/>
                <w:kern w:val="0"/>
                <w:sz w:val="18"/>
                <w:szCs w:val="18"/>
              </w:rPr>
              <w:t>F0213</w:t>
            </w:r>
          </w:p>
        </w:tc>
      </w:tr>
      <w:tr w:rsidR="00972419" w:rsidRPr="009263D7" w:rsidTr="0085513F">
        <w:trPr>
          <w:trHeight w:val="285"/>
        </w:trPr>
        <w:tc>
          <w:tcPr>
            <w:tcW w:w="1430" w:type="dxa"/>
            <w:tcBorders>
              <w:top w:val="single" w:sz="2" w:space="0" w:color="auto"/>
              <w:left w:val="nil"/>
              <w:bottom w:val="single" w:sz="2" w:space="0" w:color="auto"/>
              <w:right w:val="single" w:sz="2" w:space="0" w:color="auto"/>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1137" w:type="dxa"/>
            <w:gridSpan w:val="2"/>
            <w:tcBorders>
              <w:top w:val="single" w:sz="2" w:space="0" w:color="auto"/>
              <w:left w:val="single" w:sz="2" w:space="0" w:color="auto"/>
              <w:bottom w:val="single" w:sz="2" w:space="0" w:color="auto"/>
              <w:right w:val="single" w:sz="2" w:space="0" w:color="auto"/>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1134" w:type="dxa"/>
            <w:gridSpan w:val="3"/>
            <w:tcBorders>
              <w:top w:val="single" w:sz="2" w:space="0" w:color="auto"/>
              <w:left w:val="single" w:sz="2" w:space="0" w:color="auto"/>
              <w:bottom w:val="single" w:sz="2" w:space="0" w:color="auto"/>
              <w:right w:val="single" w:sz="2" w:space="0" w:color="auto"/>
            </w:tcBorders>
            <w:shd w:val="clear" w:color="auto" w:fill="auto"/>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1276" w:type="dxa"/>
            <w:tcBorders>
              <w:top w:val="single" w:sz="2" w:space="0" w:color="auto"/>
              <w:left w:val="single" w:sz="2" w:space="0" w:color="auto"/>
              <w:bottom w:val="single" w:sz="2" w:space="0" w:color="auto"/>
              <w:right w:val="single" w:sz="2" w:space="0" w:color="auto"/>
            </w:tcBorders>
            <w:shd w:val="clear" w:color="auto" w:fill="auto"/>
            <w:vAlign w:val="bottom"/>
          </w:tcPr>
          <w:p w:rsidR="00972419" w:rsidRPr="009263D7" w:rsidRDefault="00CB4B9E" w:rsidP="0085513F">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1275" w:type="dxa"/>
            <w:tcBorders>
              <w:top w:val="single" w:sz="2" w:space="0" w:color="auto"/>
              <w:left w:val="single" w:sz="2" w:space="0" w:color="auto"/>
              <w:bottom w:val="single" w:sz="2" w:space="0" w:color="auto"/>
              <w:right w:val="single" w:sz="2" w:space="0" w:color="auto"/>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1311" w:type="dxa"/>
            <w:tcBorders>
              <w:top w:val="single" w:sz="2" w:space="0" w:color="auto"/>
              <w:left w:val="single" w:sz="2" w:space="0" w:color="auto"/>
              <w:bottom w:val="single" w:sz="2" w:space="0" w:color="auto"/>
              <w:right w:val="single" w:sz="2" w:space="0" w:color="auto"/>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1973" w:type="dxa"/>
            <w:gridSpan w:val="3"/>
            <w:tcBorders>
              <w:top w:val="single" w:sz="2" w:space="0" w:color="auto"/>
              <w:left w:val="single" w:sz="2" w:space="0" w:color="auto"/>
              <w:bottom w:val="single" w:sz="2" w:space="0" w:color="auto"/>
              <w:right w:val="nil"/>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r>
      <w:tr w:rsidR="00972419" w:rsidRPr="009263D7" w:rsidTr="0085513F">
        <w:trPr>
          <w:trHeight w:val="270"/>
        </w:trPr>
        <w:tc>
          <w:tcPr>
            <w:tcW w:w="1430" w:type="dxa"/>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137" w:type="dxa"/>
            <w:gridSpan w:val="2"/>
            <w:tcBorders>
              <w:top w:val="single" w:sz="2" w:space="0" w:color="auto"/>
              <w:left w:val="nil"/>
              <w:bottom w:val="nil"/>
              <w:right w:val="nil"/>
            </w:tcBorders>
            <w:shd w:val="clear" w:color="auto" w:fill="auto"/>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2410" w:type="dxa"/>
            <w:gridSpan w:val="4"/>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275" w:type="dxa"/>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311" w:type="dxa"/>
            <w:tcBorders>
              <w:top w:val="single" w:sz="2" w:space="0" w:color="auto"/>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973" w:type="dxa"/>
            <w:gridSpan w:val="3"/>
            <w:tcBorders>
              <w:top w:val="single" w:sz="2" w:space="0" w:color="auto"/>
              <w:left w:val="nil"/>
              <w:bottom w:val="nil"/>
              <w:right w:val="nil"/>
            </w:tcBorders>
            <w:shd w:val="clear" w:color="auto" w:fill="auto"/>
            <w:noWrap/>
            <w:vAlign w:val="center"/>
          </w:tcPr>
          <w:p w:rsidR="00972419" w:rsidRPr="009263D7" w:rsidRDefault="00972419" w:rsidP="0085513F">
            <w:pPr>
              <w:keepNext/>
              <w:widowControl/>
              <w:spacing w:line="320" w:lineRule="exact"/>
              <w:jc w:val="left"/>
              <w:outlineLvl w:val="0"/>
              <w:rPr>
                <w:rFonts w:ascii="宋体" w:hAnsi="宋体" w:cs="宋体"/>
                <w:color w:val="000000" w:themeColor="text1"/>
                <w:kern w:val="0"/>
                <w:sz w:val="22"/>
                <w:szCs w:val="22"/>
              </w:rPr>
            </w:pPr>
          </w:p>
        </w:tc>
      </w:tr>
      <w:tr w:rsidR="00972419" w:rsidRPr="009263D7" w:rsidTr="0085513F">
        <w:trPr>
          <w:trHeight w:val="270"/>
        </w:trPr>
        <w:tc>
          <w:tcPr>
            <w:tcW w:w="1430" w:type="dxa"/>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137" w:type="dxa"/>
            <w:gridSpan w:val="2"/>
            <w:tcBorders>
              <w:top w:val="nil"/>
              <w:left w:val="nil"/>
              <w:bottom w:val="nil"/>
              <w:right w:val="nil"/>
            </w:tcBorders>
            <w:shd w:val="clear" w:color="auto" w:fill="auto"/>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2410" w:type="dxa"/>
            <w:gridSpan w:val="4"/>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275" w:type="dxa"/>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311" w:type="dxa"/>
            <w:tcBorders>
              <w:top w:val="nil"/>
              <w:left w:val="nil"/>
              <w:bottom w:val="nil"/>
              <w:right w:val="nil"/>
            </w:tcBorders>
            <w:shd w:val="clear" w:color="auto" w:fill="auto"/>
            <w:noWrap/>
            <w:vAlign w:val="bottom"/>
          </w:tcPr>
          <w:p w:rsidR="00972419" w:rsidRPr="009263D7" w:rsidRDefault="00972419" w:rsidP="0085513F">
            <w:pPr>
              <w:keepNext/>
              <w:widowControl/>
              <w:spacing w:line="320" w:lineRule="exact"/>
              <w:jc w:val="center"/>
              <w:outlineLvl w:val="0"/>
              <w:rPr>
                <w:rFonts w:ascii="宋体" w:hAnsi="宋体" w:cs="宋体"/>
                <w:color w:val="000000" w:themeColor="text1"/>
                <w:kern w:val="0"/>
                <w:sz w:val="18"/>
                <w:szCs w:val="18"/>
              </w:rPr>
            </w:pPr>
          </w:p>
        </w:tc>
        <w:tc>
          <w:tcPr>
            <w:tcW w:w="1973" w:type="dxa"/>
            <w:gridSpan w:val="3"/>
            <w:tcBorders>
              <w:top w:val="nil"/>
              <w:left w:val="nil"/>
              <w:bottom w:val="nil"/>
              <w:right w:val="nil"/>
            </w:tcBorders>
            <w:shd w:val="clear" w:color="auto" w:fill="auto"/>
            <w:noWrap/>
            <w:vAlign w:val="center"/>
          </w:tcPr>
          <w:p w:rsidR="00972419" w:rsidRPr="009263D7" w:rsidRDefault="00972419" w:rsidP="0085513F">
            <w:pPr>
              <w:keepNext/>
              <w:widowControl/>
              <w:spacing w:line="320" w:lineRule="exact"/>
              <w:jc w:val="left"/>
              <w:outlineLvl w:val="0"/>
              <w:rPr>
                <w:rFonts w:ascii="宋体" w:hAnsi="宋体" w:cs="宋体"/>
                <w:color w:val="000000" w:themeColor="text1"/>
                <w:kern w:val="0"/>
                <w:sz w:val="22"/>
                <w:szCs w:val="22"/>
              </w:rPr>
            </w:pPr>
          </w:p>
        </w:tc>
      </w:tr>
      <w:tr w:rsidR="00972419" w:rsidRPr="009263D7" w:rsidTr="0085513F">
        <w:trPr>
          <w:trHeight w:val="285"/>
        </w:trPr>
        <w:tc>
          <w:tcPr>
            <w:tcW w:w="1430" w:type="dxa"/>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37" w:type="dxa"/>
            <w:gridSpan w:val="2"/>
            <w:tcBorders>
              <w:top w:val="nil"/>
              <w:left w:val="nil"/>
              <w:bottom w:val="single" w:sz="8" w:space="0" w:color="auto"/>
              <w:right w:val="nil"/>
            </w:tcBorders>
            <w:shd w:val="clear" w:color="auto" w:fill="auto"/>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410" w:type="dxa"/>
            <w:gridSpan w:val="4"/>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75" w:type="dxa"/>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11" w:type="dxa"/>
            <w:tcBorders>
              <w:top w:val="nil"/>
              <w:left w:val="nil"/>
              <w:bottom w:val="single" w:sz="8" w:space="0" w:color="auto"/>
              <w:right w:val="nil"/>
            </w:tcBorders>
            <w:shd w:val="clear" w:color="auto" w:fill="auto"/>
            <w:noWrap/>
            <w:vAlign w:val="bottom"/>
          </w:tcPr>
          <w:p w:rsidR="00972419" w:rsidRPr="009263D7" w:rsidRDefault="00CB4B9E" w:rsidP="0085513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973" w:type="dxa"/>
            <w:gridSpan w:val="3"/>
            <w:tcBorders>
              <w:top w:val="nil"/>
              <w:left w:val="nil"/>
              <w:bottom w:val="single" w:sz="8" w:space="0" w:color="auto"/>
              <w:right w:val="nil"/>
            </w:tcBorders>
            <w:shd w:val="clear" w:color="auto" w:fill="auto"/>
            <w:noWrap/>
            <w:vAlign w:val="center"/>
          </w:tcPr>
          <w:p w:rsidR="00972419" w:rsidRPr="009263D7" w:rsidRDefault="00CB4B9E" w:rsidP="0085513F">
            <w:pPr>
              <w:widowControl/>
              <w:jc w:val="left"/>
              <w:rPr>
                <w:rFonts w:ascii="宋体" w:hAnsi="宋体" w:cs="宋体"/>
                <w:color w:val="000000" w:themeColor="text1"/>
                <w:kern w:val="0"/>
                <w:sz w:val="22"/>
                <w:szCs w:val="22"/>
              </w:rPr>
            </w:pPr>
            <w:r w:rsidRPr="00CB4B9E">
              <w:rPr>
                <w:rFonts w:ascii="宋体" w:hAnsi="宋体" w:cs="宋体" w:hint="eastAsia"/>
                <w:color w:val="000000" w:themeColor="text1"/>
                <w:kern w:val="0"/>
                <w:sz w:val="22"/>
                <w:szCs w:val="22"/>
              </w:rPr>
              <w:t xml:space="preserve">　</w:t>
            </w:r>
          </w:p>
        </w:tc>
      </w:tr>
      <w:tr w:rsidR="00575195" w:rsidRPr="009263D7" w:rsidTr="00F917C7">
        <w:trPr>
          <w:gridAfter w:val="1"/>
          <w:wAfter w:w="18" w:type="dxa"/>
          <w:trHeight w:val="285"/>
        </w:trPr>
        <w:tc>
          <w:tcPr>
            <w:tcW w:w="1560" w:type="dxa"/>
            <w:gridSpan w:val="2"/>
            <w:tcBorders>
              <w:top w:val="single" w:sz="2" w:space="0" w:color="auto"/>
              <w:left w:val="nil"/>
              <w:bottom w:val="nil"/>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90" w:type="dxa"/>
            <w:gridSpan w:val="2"/>
            <w:tcBorders>
              <w:top w:val="single" w:sz="2" w:space="0" w:color="auto"/>
              <w:left w:val="nil"/>
              <w:bottom w:val="nil"/>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127" w:type="dxa"/>
            <w:gridSpan w:val="3"/>
            <w:tcBorders>
              <w:top w:val="single" w:sz="2" w:space="0" w:color="auto"/>
              <w:left w:val="nil"/>
              <w:bottom w:val="nil"/>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75" w:type="dxa"/>
            <w:tcBorders>
              <w:top w:val="single" w:sz="2" w:space="0" w:color="auto"/>
              <w:left w:val="nil"/>
              <w:bottom w:val="nil"/>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62" w:type="dxa"/>
            <w:gridSpan w:val="2"/>
            <w:tcBorders>
              <w:top w:val="single" w:sz="2" w:space="0" w:color="auto"/>
              <w:left w:val="nil"/>
              <w:bottom w:val="nil"/>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704" w:type="dxa"/>
            <w:tcBorders>
              <w:top w:val="single" w:sz="2" w:space="0" w:color="auto"/>
              <w:left w:val="nil"/>
              <w:bottom w:val="nil"/>
              <w:right w:val="nil"/>
            </w:tcBorders>
            <w:shd w:val="clear" w:color="auto" w:fill="auto"/>
            <w:noWrap/>
            <w:vAlign w:val="bottom"/>
          </w:tcPr>
          <w:p w:rsidR="00575195" w:rsidRPr="009263D7" w:rsidRDefault="00575195" w:rsidP="008E2D8C">
            <w:pPr>
              <w:keepNext/>
              <w:widowControl/>
              <w:spacing w:line="320" w:lineRule="exact"/>
              <w:jc w:val="center"/>
              <w:outlineLvl w:val="0"/>
              <w:rPr>
                <w:rFonts w:ascii="宋体" w:hAnsi="宋体" w:cs="宋体"/>
                <w:color w:val="000000" w:themeColor="text1"/>
                <w:kern w:val="0"/>
                <w:sz w:val="18"/>
                <w:szCs w:val="18"/>
              </w:rPr>
            </w:pPr>
          </w:p>
        </w:tc>
      </w:tr>
      <w:tr w:rsidR="00575195" w:rsidRPr="009263D7" w:rsidTr="00F917C7">
        <w:trPr>
          <w:gridAfter w:val="1"/>
          <w:wAfter w:w="18" w:type="dxa"/>
          <w:trHeight w:val="285"/>
        </w:trPr>
        <w:tc>
          <w:tcPr>
            <w:tcW w:w="1560" w:type="dxa"/>
            <w:gridSpan w:val="2"/>
            <w:tcBorders>
              <w:top w:val="nil"/>
              <w:left w:val="nil"/>
              <w:bottom w:val="nil"/>
              <w:right w:val="nil"/>
            </w:tcBorders>
            <w:shd w:val="clear" w:color="auto" w:fill="auto"/>
            <w:noWrap/>
            <w:vAlign w:val="bottom"/>
          </w:tcPr>
          <w:p w:rsidR="00575195" w:rsidRPr="009263D7" w:rsidRDefault="00575195" w:rsidP="008E2D8C">
            <w:pPr>
              <w:keepNext/>
              <w:widowControl/>
              <w:spacing w:line="320" w:lineRule="exact"/>
              <w:jc w:val="center"/>
              <w:outlineLvl w:val="0"/>
              <w:rPr>
                <w:rFonts w:ascii="宋体" w:hAnsi="宋体" w:cs="宋体"/>
                <w:color w:val="000000" w:themeColor="text1"/>
                <w:kern w:val="0"/>
                <w:sz w:val="18"/>
                <w:szCs w:val="18"/>
              </w:rPr>
            </w:pPr>
          </w:p>
        </w:tc>
        <w:tc>
          <w:tcPr>
            <w:tcW w:w="1290" w:type="dxa"/>
            <w:gridSpan w:val="2"/>
            <w:tcBorders>
              <w:top w:val="nil"/>
              <w:left w:val="nil"/>
              <w:bottom w:val="nil"/>
              <w:right w:val="nil"/>
            </w:tcBorders>
            <w:shd w:val="clear" w:color="auto" w:fill="auto"/>
            <w:noWrap/>
            <w:vAlign w:val="bottom"/>
          </w:tcPr>
          <w:p w:rsidR="00575195" w:rsidRPr="009263D7" w:rsidRDefault="00575195" w:rsidP="008E2D8C">
            <w:pPr>
              <w:keepNext/>
              <w:widowControl/>
              <w:spacing w:line="320" w:lineRule="exact"/>
              <w:jc w:val="center"/>
              <w:outlineLvl w:val="0"/>
              <w:rPr>
                <w:rFonts w:ascii="宋体" w:hAnsi="宋体" w:cs="宋体"/>
                <w:color w:val="000000" w:themeColor="text1"/>
                <w:kern w:val="0"/>
                <w:sz w:val="18"/>
                <w:szCs w:val="18"/>
              </w:rPr>
            </w:pPr>
          </w:p>
        </w:tc>
        <w:tc>
          <w:tcPr>
            <w:tcW w:w="2127" w:type="dxa"/>
            <w:gridSpan w:val="3"/>
            <w:tcBorders>
              <w:top w:val="nil"/>
              <w:left w:val="nil"/>
              <w:bottom w:val="nil"/>
              <w:right w:val="nil"/>
            </w:tcBorders>
            <w:shd w:val="clear" w:color="auto" w:fill="auto"/>
            <w:noWrap/>
            <w:vAlign w:val="bottom"/>
          </w:tcPr>
          <w:p w:rsidR="00575195" w:rsidRPr="009263D7" w:rsidRDefault="00575195" w:rsidP="008E2D8C">
            <w:pPr>
              <w:keepNext/>
              <w:widowControl/>
              <w:spacing w:line="320" w:lineRule="exact"/>
              <w:jc w:val="center"/>
              <w:outlineLvl w:val="0"/>
              <w:rPr>
                <w:rFonts w:ascii="宋体" w:hAnsi="宋体" w:cs="宋体"/>
                <w:color w:val="000000" w:themeColor="text1"/>
                <w:kern w:val="0"/>
                <w:sz w:val="18"/>
                <w:szCs w:val="18"/>
              </w:rPr>
            </w:pPr>
          </w:p>
        </w:tc>
        <w:tc>
          <w:tcPr>
            <w:tcW w:w="1275" w:type="dxa"/>
            <w:tcBorders>
              <w:top w:val="nil"/>
              <w:left w:val="nil"/>
              <w:bottom w:val="nil"/>
              <w:right w:val="nil"/>
            </w:tcBorders>
            <w:shd w:val="clear" w:color="auto" w:fill="auto"/>
            <w:noWrap/>
            <w:vAlign w:val="bottom"/>
          </w:tcPr>
          <w:p w:rsidR="00575195" w:rsidRPr="009263D7" w:rsidRDefault="00575195" w:rsidP="008E2D8C">
            <w:pPr>
              <w:keepNext/>
              <w:widowControl/>
              <w:spacing w:line="320" w:lineRule="exact"/>
              <w:jc w:val="center"/>
              <w:outlineLvl w:val="0"/>
              <w:rPr>
                <w:rFonts w:ascii="宋体" w:hAnsi="宋体" w:cs="宋体"/>
                <w:color w:val="000000" w:themeColor="text1"/>
                <w:kern w:val="0"/>
                <w:sz w:val="18"/>
                <w:szCs w:val="18"/>
              </w:rPr>
            </w:pPr>
          </w:p>
        </w:tc>
        <w:tc>
          <w:tcPr>
            <w:tcW w:w="1562" w:type="dxa"/>
            <w:gridSpan w:val="2"/>
            <w:tcBorders>
              <w:top w:val="nil"/>
              <w:left w:val="nil"/>
              <w:bottom w:val="nil"/>
              <w:right w:val="nil"/>
            </w:tcBorders>
            <w:shd w:val="clear" w:color="auto" w:fill="auto"/>
            <w:noWrap/>
            <w:vAlign w:val="bottom"/>
          </w:tcPr>
          <w:p w:rsidR="00575195" w:rsidRPr="009263D7" w:rsidRDefault="00575195" w:rsidP="008E2D8C">
            <w:pPr>
              <w:keepNext/>
              <w:widowControl/>
              <w:spacing w:line="320" w:lineRule="exact"/>
              <w:jc w:val="center"/>
              <w:outlineLvl w:val="0"/>
              <w:rPr>
                <w:rFonts w:ascii="宋体" w:hAnsi="宋体" w:cs="宋体"/>
                <w:color w:val="000000" w:themeColor="text1"/>
                <w:kern w:val="0"/>
                <w:sz w:val="18"/>
                <w:szCs w:val="18"/>
              </w:rPr>
            </w:pPr>
          </w:p>
        </w:tc>
        <w:tc>
          <w:tcPr>
            <w:tcW w:w="1704" w:type="dxa"/>
            <w:tcBorders>
              <w:top w:val="nil"/>
              <w:left w:val="nil"/>
              <w:bottom w:val="nil"/>
              <w:right w:val="nil"/>
            </w:tcBorders>
            <w:shd w:val="clear" w:color="auto" w:fill="auto"/>
            <w:noWrap/>
            <w:vAlign w:val="bottom"/>
          </w:tcPr>
          <w:p w:rsidR="00575195" w:rsidRPr="009263D7" w:rsidRDefault="00575195" w:rsidP="008E2D8C">
            <w:pPr>
              <w:keepNext/>
              <w:widowControl/>
              <w:spacing w:line="320" w:lineRule="exact"/>
              <w:jc w:val="center"/>
              <w:outlineLvl w:val="0"/>
              <w:rPr>
                <w:rFonts w:ascii="宋体" w:hAnsi="宋体" w:cs="宋体"/>
                <w:color w:val="000000" w:themeColor="text1"/>
                <w:kern w:val="0"/>
                <w:sz w:val="18"/>
                <w:szCs w:val="18"/>
              </w:rPr>
            </w:pPr>
          </w:p>
        </w:tc>
      </w:tr>
      <w:tr w:rsidR="00575195" w:rsidRPr="009263D7" w:rsidTr="00F917C7">
        <w:trPr>
          <w:gridAfter w:val="1"/>
          <w:wAfter w:w="18" w:type="dxa"/>
          <w:trHeight w:val="300"/>
        </w:trPr>
        <w:tc>
          <w:tcPr>
            <w:tcW w:w="1560" w:type="dxa"/>
            <w:gridSpan w:val="2"/>
            <w:tcBorders>
              <w:top w:val="nil"/>
              <w:left w:val="nil"/>
              <w:bottom w:val="single" w:sz="8" w:space="0" w:color="auto"/>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90" w:type="dxa"/>
            <w:gridSpan w:val="2"/>
            <w:tcBorders>
              <w:top w:val="nil"/>
              <w:left w:val="nil"/>
              <w:bottom w:val="single" w:sz="8" w:space="0" w:color="auto"/>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127" w:type="dxa"/>
            <w:gridSpan w:val="3"/>
            <w:tcBorders>
              <w:top w:val="nil"/>
              <w:left w:val="nil"/>
              <w:bottom w:val="single" w:sz="8" w:space="0" w:color="auto"/>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275" w:type="dxa"/>
            <w:tcBorders>
              <w:top w:val="nil"/>
              <w:left w:val="nil"/>
              <w:bottom w:val="single" w:sz="8" w:space="0" w:color="auto"/>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62" w:type="dxa"/>
            <w:gridSpan w:val="2"/>
            <w:tcBorders>
              <w:top w:val="nil"/>
              <w:left w:val="nil"/>
              <w:bottom w:val="single" w:sz="8" w:space="0" w:color="auto"/>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704" w:type="dxa"/>
            <w:tcBorders>
              <w:top w:val="nil"/>
              <w:left w:val="nil"/>
              <w:bottom w:val="single" w:sz="8" w:space="0" w:color="auto"/>
              <w:right w:val="nil"/>
            </w:tcBorders>
            <w:shd w:val="clear" w:color="auto" w:fill="auto"/>
            <w:noWrap/>
            <w:vAlign w:val="bottom"/>
          </w:tcPr>
          <w:p w:rsidR="00575195" w:rsidRPr="009263D7" w:rsidRDefault="00CB4B9E" w:rsidP="008E2D8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653494" w:rsidRPr="009263D7" w:rsidRDefault="00CB4B9E" w:rsidP="00653494">
      <w:pPr>
        <w:rPr>
          <w:color w:val="000000" w:themeColor="text1"/>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653494" w:rsidRPr="009263D7" w:rsidRDefault="00653494" w:rsidP="00653494">
      <w:pPr>
        <w:rPr>
          <w:color w:val="000000" w:themeColor="text1"/>
        </w:rPr>
      </w:pPr>
    </w:p>
    <w:p w:rsidR="00315EA9" w:rsidRPr="009263D7" w:rsidRDefault="00CB4B9E" w:rsidP="005621E0">
      <w:pPr>
        <w:spacing w:line="280" w:lineRule="exact"/>
        <w:rPr>
          <w:color w:val="000000" w:themeColor="text1"/>
        </w:rPr>
      </w:pPr>
      <w:r w:rsidRPr="00CB4B9E">
        <w:rPr>
          <w:rFonts w:ascii="宋体"/>
          <w:color w:val="000000" w:themeColor="text1"/>
          <w:sz w:val="18"/>
        </w:rPr>
        <w:br w:type="page"/>
      </w:r>
    </w:p>
    <w:p w:rsidR="00315EA9" w:rsidRPr="009263D7" w:rsidRDefault="00CB4B9E" w:rsidP="00CB506B">
      <w:pPr>
        <w:pStyle w:val="2"/>
        <w:jc w:val="center"/>
        <w:rPr>
          <w:rFonts w:ascii="宋体" w:eastAsia="宋体" w:hAnsi="宋体"/>
          <w:b w:val="0"/>
          <w:color w:val="000000" w:themeColor="text1"/>
          <w:kern w:val="0"/>
        </w:rPr>
      </w:pPr>
      <w:bookmarkStart w:id="41" w:name="_Toc452017151"/>
      <w:r w:rsidRPr="00CB4B9E">
        <w:rPr>
          <w:rFonts w:ascii="宋体" w:eastAsia="宋体" w:hAnsi="宋体" w:hint="eastAsia"/>
          <w:b w:val="0"/>
          <w:color w:val="000000" w:themeColor="text1"/>
          <w:kern w:val="0"/>
        </w:rPr>
        <w:lastRenderedPageBreak/>
        <w:t>（八）涉外银行卡相关统计</w:t>
      </w:r>
      <w:bookmarkEnd w:id="41"/>
    </w:p>
    <w:p w:rsidR="00315EA9" w:rsidRPr="009263D7" w:rsidRDefault="00CB4B9E" w:rsidP="00CB506B">
      <w:pPr>
        <w:pStyle w:val="3"/>
        <w:jc w:val="center"/>
        <w:rPr>
          <w:rFonts w:ascii="宋体" w:hAnsi="宋体" w:cs="宋体"/>
          <w:b w:val="0"/>
          <w:color w:val="000000" w:themeColor="text1"/>
          <w:kern w:val="0"/>
          <w:sz w:val="28"/>
          <w:szCs w:val="28"/>
        </w:rPr>
      </w:pPr>
      <w:bookmarkStart w:id="42" w:name="_Toc452017152"/>
      <w:bookmarkStart w:id="43" w:name="OLE_LINK4"/>
      <w:r w:rsidRPr="00CB4B9E">
        <w:rPr>
          <w:rFonts w:ascii="宋体" w:hAnsi="宋体" w:cs="宋体" w:hint="eastAsia"/>
          <w:b w:val="0"/>
          <w:color w:val="000000" w:themeColor="text1"/>
          <w:kern w:val="0"/>
          <w:sz w:val="28"/>
          <w:szCs w:val="28"/>
        </w:rPr>
        <w:t>境内银行卡境外消费提现</w:t>
      </w:r>
      <w:bookmarkEnd w:id="42"/>
    </w:p>
    <w:p w:rsidR="00072B16" w:rsidRPr="009263D7" w:rsidRDefault="00CB4B9E" w:rsidP="00072B16">
      <w:pPr>
        <w:spacing w:line="240" w:lineRule="exact"/>
        <w:rPr>
          <w:rFonts w:ascii="宋体" w:hAnsi="宋体"/>
          <w:color w:val="000000" w:themeColor="text1"/>
          <w:kern w:val="0"/>
          <w:sz w:val="32"/>
          <w:szCs w:val="32"/>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G01表</w:t>
      </w:r>
    </w:p>
    <w:p w:rsidR="00072B16" w:rsidRPr="009263D7" w:rsidRDefault="00CB4B9E" w:rsidP="00072B16">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072B16" w:rsidRPr="009263D7" w:rsidRDefault="00CB4B9E" w:rsidP="00072B16">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072B16" w:rsidRPr="009263D7" w:rsidRDefault="00CB4B9E" w:rsidP="00072B16">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072B16" w:rsidRPr="009263D7" w:rsidRDefault="00CB4B9E" w:rsidP="00072B16">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072B16" w:rsidRPr="009263D7" w:rsidRDefault="00CB4B9E" w:rsidP="00072B16">
      <w:pPr>
        <w:tabs>
          <w:tab w:val="left" w:pos="6930"/>
        </w:tabs>
        <w:spacing w:line="240" w:lineRule="exact"/>
        <w:rPr>
          <w:color w:val="000000" w:themeColor="text1"/>
          <w:sz w:val="18"/>
        </w:rPr>
      </w:pPr>
      <w:r w:rsidRPr="00CB4B9E">
        <w:rPr>
          <w:rFonts w:ascii="宋体" w:hAnsi="宋体" w:cs="宋体"/>
          <w:color w:val="000000" w:themeColor="text1"/>
          <w:kern w:val="0"/>
          <w:sz w:val="22"/>
        </w:rPr>
        <w:t xml:space="preserve">                                   </w:t>
      </w:r>
    </w:p>
    <w:p w:rsidR="00072B16" w:rsidRPr="009263D7" w:rsidRDefault="00CB4B9E" w:rsidP="00072B16">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0" w:type="auto"/>
        <w:tblInd w:w="93" w:type="dxa"/>
        <w:tblLook w:val="04A0"/>
      </w:tblPr>
      <w:tblGrid>
        <w:gridCol w:w="1192"/>
        <w:gridCol w:w="1192"/>
        <w:gridCol w:w="1192"/>
        <w:gridCol w:w="1192"/>
        <w:gridCol w:w="1192"/>
        <w:gridCol w:w="1192"/>
        <w:gridCol w:w="1192"/>
        <w:gridCol w:w="1192"/>
      </w:tblGrid>
      <w:tr w:rsidR="00D003E9" w:rsidRPr="009263D7" w:rsidTr="005D5C90">
        <w:trPr>
          <w:trHeight w:val="1350"/>
        </w:trPr>
        <w:tc>
          <w:tcPr>
            <w:tcW w:w="1192" w:type="dxa"/>
            <w:tcBorders>
              <w:top w:val="single" w:sz="8" w:space="0" w:color="auto"/>
              <w:left w:val="nil"/>
              <w:bottom w:val="nil"/>
              <w:right w:val="single" w:sz="2" w:space="0" w:color="auto"/>
            </w:tcBorders>
            <w:shd w:val="clear" w:color="auto" w:fill="auto"/>
            <w:vAlign w:val="center"/>
          </w:tcPr>
          <w:bookmarkEnd w:id="43"/>
          <w:p w:rsidR="0035038B"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发卡机构</w:t>
            </w:r>
          </w:p>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名称</w:t>
            </w:r>
          </w:p>
        </w:tc>
        <w:tc>
          <w:tcPr>
            <w:tcW w:w="1192" w:type="dxa"/>
            <w:tcBorders>
              <w:top w:val="single" w:sz="8" w:space="0" w:color="auto"/>
              <w:left w:val="single" w:sz="2" w:space="0" w:color="auto"/>
              <w:bottom w:val="nil"/>
              <w:right w:val="single" w:sz="2" w:space="0" w:color="auto"/>
            </w:tcBorders>
            <w:shd w:val="clear" w:color="auto" w:fill="auto"/>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银行卡清算渠道</w:t>
            </w:r>
          </w:p>
        </w:tc>
        <w:tc>
          <w:tcPr>
            <w:tcW w:w="1192" w:type="dxa"/>
            <w:tcBorders>
              <w:top w:val="single" w:sz="8" w:space="0" w:color="auto"/>
              <w:left w:val="single" w:sz="2" w:space="0" w:color="auto"/>
              <w:bottom w:val="nil"/>
              <w:right w:val="single" w:sz="2" w:space="0" w:color="auto"/>
            </w:tcBorders>
            <w:shd w:val="clear" w:color="auto" w:fill="auto"/>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持卡人所属国家</w:t>
            </w:r>
            <w:r w:rsidRPr="00CB4B9E">
              <w:rPr>
                <w:rFonts w:ascii="宋体" w:hAnsi="宋体" w:cs="宋体"/>
                <w:color w:val="000000" w:themeColor="text1"/>
                <w:kern w:val="0"/>
                <w:sz w:val="18"/>
                <w:szCs w:val="18"/>
              </w:rPr>
              <w:t>/地区</w:t>
            </w:r>
          </w:p>
        </w:tc>
        <w:tc>
          <w:tcPr>
            <w:tcW w:w="1192" w:type="dxa"/>
            <w:tcBorders>
              <w:top w:val="single" w:sz="8" w:space="0" w:color="auto"/>
              <w:left w:val="single" w:sz="2" w:space="0" w:color="auto"/>
              <w:bottom w:val="nil"/>
              <w:right w:val="single" w:sz="2" w:space="0" w:color="auto"/>
            </w:tcBorders>
            <w:shd w:val="clear" w:color="auto" w:fill="auto"/>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交易类型</w:t>
            </w:r>
          </w:p>
        </w:tc>
        <w:tc>
          <w:tcPr>
            <w:tcW w:w="1192" w:type="dxa"/>
            <w:tcBorders>
              <w:top w:val="single" w:sz="8" w:space="0" w:color="auto"/>
              <w:left w:val="single" w:sz="2" w:space="0" w:color="auto"/>
              <w:bottom w:val="nil"/>
              <w:right w:val="single" w:sz="2" w:space="0" w:color="auto"/>
            </w:tcBorders>
            <w:vAlign w:val="center"/>
          </w:tcPr>
          <w:p w:rsidR="008F1B1B" w:rsidRPr="009263D7"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交易方式</w:t>
            </w:r>
          </w:p>
        </w:tc>
        <w:tc>
          <w:tcPr>
            <w:tcW w:w="1192" w:type="dxa"/>
            <w:tcBorders>
              <w:top w:val="single" w:sz="8" w:space="0" w:color="auto"/>
              <w:left w:val="single" w:sz="2" w:space="0" w:color="auto"/>
              <w:bottom w:val="nil"/>
              <w:right w:val="single" w:sz="2" w:space="0" w:color="auto"/>
            </w:tcBorders>
            <w:shd w:val="clear" w:color="auto" w:fill="auto"/>
            <w:vAlign w:val="center"/>
          </w:tcPr>
          <w:p w:rsidR="00D003E9" w:rsidRPr="009263D7" w:rsidRDefault="00CB4B9E" w:rsidP="000C690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交易所在地国家</w:t>
            </w:r>
            <w:r w:rsidRPr="00CB4B9E">
              <w:rPr>
                <w:rFonts w:ascii="宋体" w:hAnsi="宋体" w:cs="宋体"/>
                <w:color w:val="000000" w:themeColor="text1"/>
                <w:kern w:val="0"/>
                <w:sz w:val="18"/>
                <w:szCs w:val="18"/>
              </w:rPr>
              <w:t>/地区</w:t>
            </w:r>
          </w:p>
        </w:tc>
        <w:tc>
          <w:tcPr>
            <w:tcW w:w="1192" w:type="dxa"/>
            <w:tcBorders>
              <w:top w:val="single" w:sz="8" w:space="0" w:color="auto"/>
              <w:left w:val="single" w:sz="2" w:space="0" w:color="auto"/>
              <w:bottom w:val="nil"/>
              <w:right w:val="single" w:sz="2" w:space="0" w:color="auto"/>
            </w:tcBorders>
            <w:shd w:val="clear" w:color="auto" w:fill="auto"/>
            <w:vAlign w:val="center"/>
          </w:tcPr>
          <w:p w:rsidR="00D003E9" w:rsidRPr="009263D7" w:rsidRDefault="00CB4B9E" w:rsidP="000C690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交易原币</w:t>
            </w:r>
          </w:p>
        </w:tc>
        <w:tc>
          <w:tcPr>
            <w:tcW w:w="1192" w:type="dxa"/>
            <w:tcBorders>
              <w:top w:val="single" w:sz="8" w:space="0" w:color="auto"/>
              <w:left w:val="single" w:sz="2" w:space="0" w:color="auto"/>
              <w:bottom w:val="nil"/>
              <w:right w:val="nil"/>
            </w:tcBorders>
            <w:shd w:val="clear" w:color="auto" w:fill="auto"/>
            <w:vAlign w:val="center"/>
          </w:tcPr>
          <w:p w:rsidR="00D003E9" w:rsidRPr="009263D7" w:rsidRDefault="00CB4B9E" w:rsidP="000C690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交易金额</w:t>
            </w:r>
          </w:p>
        </w:tc>
      </w:tr>
      <w:tr w:rsidR="00D003E9" w:rsidRPr="009263D7" w:rsidTr="005D5C90">
        <w:trPr>
          <w:trHeight w:val="285"/>
        </w:trPr>
        <w:tc>
          <w:tcPr>
            <w:tcW w:w="1192" w:type="dxa"/>
            <w:tcBorders>
              <w:top w:val="nil"/>
              <w:left w:val="nil"/>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G0101</w:t>
            </w:r>
          </w:p>
        </w:tc>
        <w:tc>
          <w:tcPr>
            <w:tcW w:w="1192" w:type="dxa"/>
            <w:tcBorders>
              <w:top w:val="nil"/>
              <w:left w:val="single" w:sz="2" w:space="0" w:color="auto"/>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G0102</w:t>
            </w:r>
          </w:p>
        </w:tc>
        <w:tc>
          <w:tcPr>
            <w:tcW w:w="1192" w:type="dxa"/>
            <w:tcBorders>
              <w:top w:val="nil"/>
              <w:left w:val="single" w:sz="2" w:space="0" w:color="auto"/>
              <w:bottom w:val="single" w:sz="2" w:space="0" w:color="auto"/>
              <w:right w:val="single" w:sz="2" w:space="0" w:color="auto"/>
            </w:tcBorders>
            <w:shd w:val="clear" w:color="auto" w:fill="auto"/>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G0103</w:t>
            </w:r>
          </w:p>
        </w:tc>
        <w:tc>
          <w:tcPr>
            <w:tcW w:w="1192" w:type="dxa"/>
            <w:tcBorders>
              <w:top w:val="nil"/>
              <w:left w:val="single" w:sz="2" w:space="0" w:color="auto"/>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G0104</w:t>
            </w:r>
          </w:p>
        </w:tc>
        <w:tc>
          <w:tcPr>
            <w:tcW w:w="1192" w:type="dxa"/>
            <w:tcBorders>
              <w:top w:val="nil"/>
              <w:left w:val="single" w:sz="2" w:space="0" w:color="auto"/>
              <w:bottom w:val="single" w:sz="2" w:space="0" w:color="auto"/>
              <w:right w:val="single" w:sz="2" w:space="0" w:color="auto"/>
            </w:tcBorders>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G0104CODE</w:t>
            </w:r>
          </w:p>
        </w:tc>
        <w:tc>
          <w:tcPr>
            <w:tcW w:w="1192" w:type="dxa"/>
            <w:tcBorders>
              <w:top w:val="nil"/>
              <w:left w:val="single" w:sz="2" w:space="0" w:color="auto"/>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G0105</w:t>
            </w:r>
          </w:p>
        </w:tc>
        <w:tc>
          <w:tcPr>
            <w:tcW w:w="1192" w:type="dxa"/>
            <w:tcBorders>
              <w:top w:val="nil"/>
              <w:left w:val="single" w:sz="2" w:space="0" w:color="auto"/>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G0106</w:t>
            </w:r>
          </w:p>
        </w:tc>
        <w:tc>
          <w:tcPr>
            <w:tcW w:w="1192" w:type="dxa"/>
            <w:tcBorders>
              <w:top w:val="nil"/>
              <w:left w:val="single" w:sz="2" w:space="0" w:color="auto"/>
              <w:bottom w:val="single" w:sz="2" w:space="0" w:color="auto"/>
              <w:right w:val="nil"/>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G0107</w:t>
            </w:r>
          </w:p>
        </w:tc>
      </w:tr>
      <w:tr w:rsidR="00D003E9" w:rsidRPr="009263D7" w:rsidTr="005D5C90">
        <w:trPr>
          <w:trHeight w:val="285"/>
        </w:trPr>
        <w:tc>
          <w:tcPr>
            <w:tcW w:w="1192" w:type="dxa"/>
            <w:tcBorders>
              <w:top w:val="single" w:sz="2" w:space="0" w:color="auto"/>
              <w:left w:val="nil"/>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1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192" w:type="dxa"/>
            <w:tcBorders>
              <w:top w:val="single" w:sz="2" w:space="0" w:color="auto"/>
              <w:left w:val="single" w:sz="2" w:space="0" w:color="auto"/>
              <w:bottom w:val="single" w:sz="2" w:space="0" w:color="auto"/>
              <w:right w:val="single" w:sz="2" w:space="0" w:color="auto"/>
            </w:tcBorders>
            <w:shd w:val="clear" w:color="auto" w:fill="auto"/>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11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1192" w:type="dxa"/>
            <w:tcBorders>
              <w:top w:val="single" w:sz="2" w:space="0" w:color="auto"/>
              <w:left w:val="single" w:sz="2" w:space="0" w:color="auto"/>
              <w:bottom w:val="single" w:sz="2" w:space="0" w:color="auto"/>
              <w:right w:val="single" w:sz="2" w:space="0" w:color="auto"/>
            </w:tcBorders>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11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11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1192" w:type="dxa"/>
            <w:tcBorders>
              <w:top w:val="single" w:sz="2" w:space="0" w:color="auto"/>
              <w:left w:val="single" w:sz="2" w:space="0" w:color="auto"/>
              <w:bottom w:val="single" w:sz="2" w:space="0" w:color="auto"/>
              <w:right w:val="nil"/>
            </w:tcBorders>
            <w:shd w:val="clear" w:color="auto" w:fill="auto"/>
            <w:noWrap/>
            <w:vAlign w:val="center"/>
          </w:tcPr>
          <w:p w:rsidR="00D003E9" w:rsidRPr="009263D7" w:rsidRDefault="00CB4B9E" w:rsidP="00AF3BE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r>
      <w:tr w:rsidR="00D003E9" w:rsidRPr="009263D7" w:rsidTr="005D5C90">
        <w:trPr>
          <w:trHeight w:val="270"/>
        </w:trPr>
        <w:tc>
          <w:tcPr>
            <w:tcW w:w="1192" w:type="dxa"/>
            <w:tcBorders>
              <w:top w:val="single" w:sz="4" w:space="0" w:color="auto"/>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single" w:sz="4" w:space="0" w:color="auto"/>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single" w:sz="4" w:space="0" w:color="auto"/>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single" w:sz="4" w:space="0" w:color="auto"/>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single" w:sz="4" w:space="0" w:color="auto"/>
              <w:left w:val="nil"/>
              <w:bottom w:val="nil"/>
              <w:right w:val="nil"/>
            </w:tcBorders>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single" w:sz="4" w:space="0" w:color="auto"/>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single" w:sz="4" w:space="0" w:color="auto"/>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single" w:sz="4" w:space="0" w:color="auto"/>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r>
      <w:tr w:rsidR="00D003E9" w:rsidRPr="009263D7" w:rsidTr="005D5C90">
        <w:trPr>
          <w:trHeight w:val="270"/>
        </w:trPr>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r>
      <w:tr w:rsidR="00D003E9" w:rsidRPr="009263D7" w:rsidTr="005D5C90">
        <w:trPr>
          <w:trHeight w:val="270"/>
        </w:trPr>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r>
      <w:tr w:rsidR="00D003E9" w:rsidRPr="009263D7" w:rsidTr="005D5C90">
        <w:trPr>
          <w:trHeight w:val="270"/>
        </w:trPr>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c>
          <w:tcPr>
            <w:tcW w:w="1192" w:type="dxa"/>
            <w:tcBorders>
              <w:top w:val="nil"/>
              <w:left w:val="nil"/>
              <w:bottom w:val="nil"/>
              <w:right w:val="nil"/>
            </w:tcBorders>
            <w:shd w:val="clear" w:color="auto" w:fill="auto"/>
            <w:noWrap/>
            <w:vAlign w:val="center"/>
          </w:tcPr>
          <w:p w:rsidR="00D003E9" w:rsidRPr="009263D7" w:rsidRDefault="00D003E9" w:rsidP="00AF3BED">
            <w:pPr>
              <w:keepNext/>
              <w:keepLines/>
              <w:widowControl/>
              <w:tabs>
                <w:tab w:val="num" w:pos="1440"/>
              </w:tabs>
              <w:spacing w:before="260" w:after="260" w:line="415" w:lineRule="auto"/>
              <w:ind w:left="1080" w:hanging="720"/>
              <w:jc w:val="left"/>
              <w:outlineLvl w:val="2"/>
              <w:rPr>
                <w:rFonts w:ascii="宋体" w:hAnsi="宋体" w:cs="宋体"/>
                <w:color w:val="000000" w:themeColor="text1"/>
                <w:kern w:val="0"/>
                <w:sz w:val="18"/>
                <w:szCs w:val="18"/>
              </w:rPr>
            </w:pPr>
          </w:p>
        </w:tc>
      </w:tr>
      <w:tr w:rsidR="00D003E9" w:rsidRPr="009263D7" w:rsidTr="005D5C90">
        <w:trPr>
          <w:trHeight w:val="285"/>
        </w:trPr>
        <w:tc>
          <w:tcPr>
            <w:tcW w:w="1192" w:type="dxa"/>
            <w:tcBorders>
              <w:top w:val="nil"/>
              <w:left w:val="nil"/>
              <w:bottom w:val="single" w:sz="8" w:space="0" w:color="auto"/>
              <w:right w:val="nil"/>
            </w:tcBorders>
            <w:shd w:val="clear" w:color="auto" w:fill="auto"/>
            <w:noWrap/>
            <w:vAlign w:val="center"/>
          </w:tcPr>
          <w:p w:rsidR="00D003E9" w:rsidRPr="009263D7" w:rsidRDefault="00CB4B9E" w:rsidP="00AF3BE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92" w:type="dxa"/>
            <w:tcBorders>
              <w:top w:val="nil"/>
              <w:left w:val="nil"/>
              <w:bottom w:val="single" w:sz="8" w:space="0" w:color="auto"/>
              <w:right w:val="nil"/>
            </w:tcBorders>
            <w:shd w:val="clear" w:color="auto" w:fill="auto"/>
            <w:noWrap/>
            <w:vAlign w:val="center"/>
          </w:tcPr>
          <w:p w:rsidR="00D003E9" w:rsidRPr="009263D7" w:rsidRDefault="00CB4B9E" w:rsidP="00AF3BE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92" w:type="dxa"/>
            <w:tcBorders>
              <w:top w:val="nil"/>
              <w:left w:val="nil"/>
              <w:bottom w:val="single" w:sz="8" w:space="0" w:color="auto"/>
              <w:right w:val="nil"/>
            </w:tcBorders>
            <w:shd w:val="clear" w:color="auto" w:fill="auto"/>
            <w:noWrap/>
            <w:vAlign w:val="center"/>
          </w:tcPr>
          <w:p w:rsidR="00D003E9" w:rsidRPr="009263D7" w:rsidRDefault="00CB4B9E" w:rsidP="00AF3BE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92" w:type="dxa"/>
            <w:tcBorders>
              <w:top w:val="nil"/>
              <w:left w:val="nil"/>
              <w:bottom w:val="single" w:sz="8" w:space="0" w:color="auto"/>
              <w:right w:val="nil"/>
            </w:tcBorders>
            <w:shd w:val="clear" w:color="auto" w:fill="auto"/>
            <w:noWrap/>
            <w:vAlign w:val="center"/>
          </w:tcPr>
          <w:p w:rsidR="00D003E9" w:rsidRPr="009263D7" w:rsidRDefault="00CB4B9E" w:rsidP="00AF3BE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92" w:type="dxa"/>
            <w:tcBorders>
              <w:top w:val="nil"/>
              <w:left w:val="nil"/>
              <w:bottom w:val="single" w:sz="8" w:space="0" w:color="auto"/>
              <w:right w:val="nil"/>
            </w:tcBorders>
          </w:tcPr>
          <w:p w:rsidR="00D003E9" w:rsidRPr="009263D7" w:rsidRDefault="00D003E9" w:rsidP="00AF3BED">
            <w:pPr>
              <w:widowControl/>
              <w:jc w:val="left"/>
              <w:rPr>
                <w:rFonts w:ascii="宋体" w:hAnsi="宋体" w:cs="宋体"/>
                <w:color w:val="000000" w:themeColor="text1"/>
                <w:kern w:val="0"/>
                <w:sz w:val="18"/>
                <w:szCs w:val="18"/>
              </w:rPr>
            </w:pPr>
          </w:p>
        </w:tc>
        <w:tc>
          <w:tcPr>
            <w:tcW w:w="1192" w:type="dxa"/>
            <w:tcBorders>
              <w:top w:val="nil"/>
              <w:left w:val="nil"/>
              <w:bottom w:val="single" w:sz="8" w:space="0" w:color="auto"/>
              <w:right w:val="nil"/>
            </w:tcBorders>
            <w:shd w:val="clear" w:color="auto" w:fill="auto"/>
            <w:noWrap/>
            <w:vAlign w:val="center"/>
          </w:tcPr>
          <w:p w:rsidR="00D003E9" w:rsidRPr="009263D7" w:rsidRDefault="00CB4B9E" w:rsidP="00AF3BE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92" w:type="dxa"/>
            <w:tcBorders>
              <w:top w:val="nil"/>
              <w:left w:val="nil"/>
              <w:bottom w:val="single" w:sz="8" w:space="0" w:color="auto"/>
              <w:right w:val="nil"/>
            </w:tcBorders>
            <w:shd w:val="clear" w:color="auto" w:fill="auto"/>
            <w:noWrap/>
            <w:vAlign w:val="center"/>
          </w:tcPr>
          <w:p w:rsidR="00D003E9" w:rsidRPr="009263D7" w:rsidRDefault="00CB4B9E" w:rsidP="00AF3BE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192" w:type="dxa"/>
            <w:tcBorders>
              <w:top w:val="nil"/>
              <w:left w:val="nil"/>
              <w:bottom w:val="single" w:sz="8" w:space="0" w:color="auto"/>
              <w:right w:val="nil"/>
            </w:tcBorders>
            <w:shd w:val="clear" w:color="auto" w:fill="auto"/>
            <w:noWrap/>
            <w:vAlign w:val="center"/>
          </w:tcPr>
          <w:p w:rsidR="00D003E9" w:rsidRPr="009263D7" w:rsidRDefault="00CB4B9E" w:rsidP="00AF3BE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AF3BED" w:rsidRPr="009263D7" w:rsidRDefault="00CB4B9E" w:rsidP="00AF3BED">
      <w:pPr>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072B16" w:rsidRPr="009263D7" w:rsidRDefault="00CB4B9E" w:rsidP="00072B16">
      <w:pPr>
        <w:spacing w:line="280" w:lineRule="exact"/>
        <w:ind w:leftChars="-1" w:left="1062" w:hangingChars="591" w:hanging="1064"/>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072B16" w:rsidRPr="009263D7" w:rsidRDefault="00CB4B9E" w:rsidP="00072B16">
      <w:pPr>
        <w:rPr>
          <w:rFonts w:ascii="宋体"/>
          <w:color w:val="000000" w:themeColor="text1"/>
          <w:sz w:val="18"/>
        </w:rPr>
      </w:pPr>
      <w:r w:rsidRPr="00CB4B9E">
        <w:rPr>
          <w:rFonts w:ascii="宋体"/>
          <w:color w:val="000000" w:themeColor="text1"/>
          <w:sz w:val="18"/>
        </w:rPr>
        <w:t xml:space="preserve">           </w:t>
      </w:r>
    </w:p>
    <w:p w:rsidR="00072B16" w:rsidRPr="009263D7" w:rsidRDefault="00CB4B9E" w:rsidP="00072B16">
      <w:pPr>
        <w:pStyle w:val="3"/>
        <w:jc w:val="center"/>
        <w:rPr>
          <w:rFonts w:ascii="宋体"/>
          <w:color w:val="000000" w:themeColor="text1"/>
          <w:sz w:val="18"/>
        </w:rPr>
      </w:pPr>
      <w:r w:rsidRPr="00CB4B9E">
        <w:rPr>
          <w:rFonts w:ascii="宋体" w:hAnsi="宋体" w:cs="宋体"/>
          <w:color w:val="000000" w:themeColor="text1"/>
          <w:kern w:val="0"/>
          <w:sz w:val="18"/>
          <w:szCs w:val="18"/>
        </w:rPr>
        <w:br w:type="page"/>
      </w:r>
      <w:r w:rsidRPr="00CB4B9E">
        <w:rPr>
          <w:rFonts w:ascii="宋体"/>
          <w:color w:val="000000" w:themeColor="text1"/>
          <w:sz w:val="18"/>
        </w:rPr>
        <w:lastRenderedPageBreak/>
        <w:t xml:space="preserve">          </w:t>
      </w:r>
    </w:p>
    <w:p w:rsidR="00072B16" w:rsidRPr="009263D7" w:rsidRDefault="00CB4B9E" w:rsidP="00072B16">
      <w:pPr>
        <w:pStyle w:val="3"/>
        <w:jc w:val="center"/>
        <w:rPr>
          <w:rFonts w:ascii="宋体" w:hAnsi="宋体" w:cs="宋体"/>
          <w:b w:val="0"/>
          <w:color w:val="000000" w:themeColor="text1"/>
          <w:kern w:val="0"/>
          <w:sz w:val="28"/>
          <w:szCs w:val="28"/>
        </w:rPr>
      </w:pPr>
      <w:bookmarkStart w:id="44" w:name="_Toc452017153"/>
      <w:r w:rsidRPr="00CB4B9E">
        <w:rPr>
          <w:rFonts w:ascii="宋体" w:hAnsi="宋体" w:cs="宋体" w:hint="eastAsia"/>
          <w:b w:val="0"/>
          <w:color w:val="000000" w:themeColor="text1"/>
          <w:kern w:val="0"/>
          <w:sz w:val="28"/>
          <w:szCs w:val="28"/>
        </w:rPr>
        <w:t>境外银行卡境内消费提现</w:t>
      </w:r>
      <w:bookmarkEnd w:id="44"/>
    </w:p>
    <w:p w:rsidR="00072B16" w:rsidRPr="009263D7" w:rsidRDefault="00CB4B9E" w:rsidP="00072B16">
      <w:pPr>
        <w:spacing w:line="240" w:lineRule="exact"/>
        <w:rPr>
          <w:rFonts w:ascii="宋体" w:hAnsi="宋体"/>
          <w:color w:val="000000" w:themeColor="text1"/>
          <w:kern w:val="0"/>
          <w:sz w:val="32"/>
          <w:szCs w:val="32"/>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G02表</w:t>
      </w:r>
    </w:p>
    <w:p w:rsidR="00072B16" w:rsidRPr="009263D7" w:rsidRDefault="00CB4B9E" w:rsidP="00072B16">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072B16" w:rsidRPr="009263D7" w:rsidRDefault="00CB4B9E" w:rsidP="00072B16">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072B16" w:rsidRPr="009263D7" w:rsidRDefault="00CB4B9E" w:rsidP="00072B16">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072B16" w:rsidRPr="009263D7" w:rsidRDefault="00CB4B9E" w:rsidP="00072B16">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072B16" w:rsidRPr="009263D7" w:rsidRDefault="00CB4B9E" w:rsidP="00072B16">
      <w:pPr>
        <w:tabs>
          <w:tab w:val="left" w:pos="6930"/>
        </w:tabs>
        <w:spacing w:line="240" w:lineRule="exact"/>
        <w:rPr>
          <w:color w:val="000000" w:themeColor="text1"/>
          <w:sz w:val="18"/>
        </w:rPr>
      </w:pPr>
      <w:r w:rsidRPr="00CB4B9E">
        <w:rPr>
          <w:rFonts w:ascii="宋体" w:hAnsi="宋体" w:cs="宋体"/>
          <w:color w:val="000000" w:themeColor="text1"/>
          <w:kern w:val="0"/>
          <w:sz w:val="22"/>
        </w:rPr>
        <w:t xml:space="preserve">                                   </w:t>
      </w:r>
    </w:p>
    <w:p w:rsidR="00072B16" w:rsidRPr="009263D7" w:rsidRDefault="00CB4B9E" w:rsidP="00072B16">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9536" w:type="dxa"/>
        <w:jc w:val="center"/>
        <w:tblInd w:w="93" w:type="dxa"/>
        <w:tblLayout w:type="fixed"/>
        <w:tblLook w:val="04A0"/>
      </w:tblPr>
      <w:tblGrid>
        <w:gridCol w:w="1589"/>
        <w:gridCol w:w="1589"/>
        <w:gridCol w:w="1590"/>
        <w:gridCol w:w="1589"/>
        <w:gridCol w:w="1589"/>
        <w:gridCol w:w="1590"/>
      </w:tblGrid>
      <w:tr w:rsidR="00914360" w:rsidRPr="009263D7" w:rsidTr="005D5C90">
        <w:trPr>
          <w:trHeight w:val="1350"/>
          <w:jc w:val="center"/>
        </w:trPr>
        <w:tc>
          <w:tcPr>
            <w:tcW w:w="1589" w:type="dxa"/>
            <w:tcBorders>
              <w:top w:val="single" w:sz="8" w:space="0" w:color="auto"/>
              <w:left w:val="nil"/>
              <w:bottom w:val="nil"/>
              <w:right w:val="single" w:sz="2" w:space="0" w:color="auto"/>
            </w:tcBorders>
            <w:shd w:val="clear" w:color="auto" w:fill="auto"/>
            <w:vAlign w:val="center"/>
          </w:tcPr>
          <w:p w:rsidR="00914360"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银行卡清算渠道</w:t>
            </w:r>
          </w:p>
        </w:tc>
        <w:tc>
          <w:tcPr>
            <w:tcW w:w="1589" w:type="dxa"/>
            <w:tcBorders>
              <w:top w:val="single" w:sz="8" w:space="0" w:color="auto"/>
              <w:left w:val="single" w:sz="2" w:space="0" w:color="auto"/>
              <w:bottom w:val="nil"/>
              <w:right w:val="single" w:sz="2" w:space="0" w:color="auto"/>
            </w:tcBorders>
            <w:shd w:val="clear" w:color="auto" w:fill="auto"/>
            <w:vAlign w:val="center"/>
          </w:tcPr>
          <w:p w:rsidR="00914360"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交易类型</w:t>
            </w:r>
          </w:p>
        </w:tc>
        <w:tc>
          <w:tcPr>
            <w:tcW w:w="1590" w:type="dxa"/>
            <w:tcBorders>
              <w:top w:val="single" w:sz="8" w:space="0" w:color="auto"/>
              <w:left w:val="single" w:sz="2" w:space="0" w:color="auto"/>
              <w:bottom w:val="nil"/>
              <w:right w:val="single" w:sz="2" w:space="0" w:color="auto"/>
            </w:tcBorders>
            <w:vAlign w:val="center"/>
          </w:tcPr>
          <w:p w:rsidR="00914360" w:rsidRPr="009263D7" w:rsidRDefault="00CB4B9E" w:rsidP="000C690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交易方式</w:t>
            </w:r>
          </w:p>
        </w:tc>
        <w:tc>
          <w:tcPr>
            <w:tcW w:w="1589" w:type="dxa"/>
            <w:tcBorders>
              <w:top w:val="single" w:sz="8" w:space="0" w:color="auto"/>
              <w:left w:val="single" w:sz="2" w:space="0" w:color="auto"/>
              <w:bottom w:val="nil"/>
              <w:right w:val="single" w:sz="2" w:space="0" w:color="auto"/>
            </w:tcBorders>
            <w:shd w:val="clear" w:color="auto" w:fill="auto"/>
            <w:vAlign w:val="center"/>
          </w:tcPr>
          <w:p w:rsidR="00914360" w:rsidRPr="009263D7" w:rsidRDefault="00CB4B9E" w:rsidP="000C690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发卡行所属国家</w:t>
            </w:r>
            <w:r w:rsidRPr="00CB4B9E">
              <w:rPr>
                <w:rFonts w:ascii="宋体" w:hAnsi="宋体" w:cs="宋体"/>
                <w:color w:val="000000" w:themeColor="text1"/>
                <w:kern w:val="0"/>
                <w:sz w:val="18"/>
                <w:szCs w:val="18"/>
              </w:rPr>
              <w:t>/地区</w:t>
            </w:r>
          </w:p>
        </w:tc>
        <w:tc>
          <w:tcPr>
            <w:tcW w:w="1589" w:type="dxa"/>
            <w:tcBorders>
              <w:top w:val="single" w:sz="8" w:space="0" w:color="auto"/>
              <w:left w:val="single" w:sz="2" w:space="0" w:color="auto"/>
              <w:bottom w:val="nil"/>
              <w:right w:val="single" w:sz="2" w:space="0" w:color="auto"/>
            </w:tcBorders>
            <w:shd w:val="clear" w:color="auto" w:fill="auto"/>
            <w:vAlign w:val="center"/>
          </w:tcPr>
          <w:p w:rsidR="00914360" w:rsidRPr="009263D7" w:rsidRDefault="00CB4B9E" w:rsidP="000C690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交易原币</w:t>
            </w:r>
          </w:p>
        </w:tc>
        <w:tc>
          <w:tcPr>
            <w:tcW w:w="1590" w:type="dxa"/>
            <w:tcBorders>
              <w:top w:val="single" w:sz="8" w:space="0" w:color="auto"/>
              <w:left w:val="single" w:sz="2" w:space="0" w:color="auto"/>
              <w:bottom w:val="nil"/>
              <w:right w:val="nil"/>
            </w:tcBorders>
            <w:shd w:val="clear" w:color="auto" w:fill="auto"/>
            <w:vAlign w:val="center"/>
          </w:tcPr>
          <w:p w:rsidR="00914360" w:rsidRPr="009263D7" w:rsidRDefault="00CB4B9E" w:rsidP="000C690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交易金额</w:t>
            </w:r>
          </w:p>
        </w:tc>
      </w:tr>
      <w:tr w:rsidR="00914360" w:rsidRPr="009263D7" w:rsidTr="005D5C90">
        <w:trPr>
          <w:trHeight w:val="285"/>
          <w:jc w:val="center"/>
        </w:trPr>
        <w:tc>
          <w:tcPr>
            <w:tcW w:w="1589" w:type="dxa"/>
            <w:tcBorders>
              <w:top w:val="nil"/>
              <w:left w:val="nil"/>
              <w:bottom w:val="single" w:sz="2" w:space="0" w:color="auto"/>
              <w:right w:val="single" w:sz="2" w:space="0" w:color="auto"/>
            </w:tcBorders>
            <w:shd w:val="clear" w:color="auto" w:fill="auto"/>
            <w:noWrap/>
            <w:vAlign w:val="center"/>
          </w:tcPr>
          <w:p w:rsidR="00914360"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G0201</w:t>
            </w:r>
          </w:p>
        </w:tc>
        <w:tc>
          <w:tcPr>
            <w:tcW w:w="1589" w:type="dxa"/>
            <w:tcBorders>
              <w:top w:val="nil"/>
              <w:left w:val="single" w:sz="2" w:space="0" w:color="auto"/>
              <w:bottom w:val="single" w:sz="2" w:space="0" w:color="auto"/>
              <w:right w:val="single" w:sz="2" w:space="0" w:color="auto"/>
            </w:tcBorders>
            <w:shd w:val="clear" w:color="auto" w:fill="auto"/>
            <w:noWrap/>
            <w:vAlign w:val="center"/>
          </w:tcPr>
          <w:p w:rsidR="00914360"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G0202</w:t>
            </w:r>
          </w:p>
        </w:tc>
        <w:tc>
          <w:tcPr>
            <w:tcW w:w="1590" w:type="dxa"/>
            <w:tcBorders>
              <w:top w:val="nil"/>
              <w:left w:val="single" w:sz="2" w:space="0" w:color="auto"/>
              <w:bottom w:val="single" w:sz="2" w:space="0" w:color="auto"/>
              <w:right w:val="single" w:sz="2" w:space="0" w:color="auto"/>
            </w:tcBorders>
            <w:vAlign w:val="center"/>
          </w:tcPr>
          <w:p w:rsidR="00914360"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G0202CODE</w:t>
            </w:r>
          </w:p>
        </w:tc>
        <w:tc>
          <w:tcPr>
            <w:tcW w:w="1589" w:type="dxa"/>
            <w:tcBorders>
              <w:top w:val="nil"/>
              <w:left w:val="single" w:sz="2" w:space="0" w:color="auto"/>
              <w:bottom w:val="single" w:sz="2" w:space="0" w:color="auto"/>
              <w:right w:val="single" w:sz="2" w:space="0" w:color="auto"/>
            </w:tcBorders>
            <w:shd w:val="clear" w:color="auto" w:fill="auto"/>
            <w:noWrap/>
            <w:vAlign w:val="center"/>
          </w:tcPr>
          <w:p w:rsidR="00914360"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G0203</w:t>
            </w:r>
          </w:p>
        </w:tc>
        <w:tc>
          <w:tcPr>
            <w:tcW w:w="1589" w:type="dxa"/>
            <w:tcBorders>
              <w:top w:val="nil"/>
              <w:left w:val="single" w:sz="2" w:space="0" w:color="auto"/>
              <w:bottom w:val="single" w:sz="2" w:space="0" w:color="auto"/>
              <w:right w:val="single" w:sz="2" w:space="0" w:color="auto"/>
            </w:tcBorders>
            <w:shd w:val="clear" w:color="auto" w:fill="auto"/>
            <w:noWrap/>
            <w:vAlign w:val="center"/>
          </w:tcPr>
          <w:p w:rsidR="00914360"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G0204</w:t>
            </w:r>
          </w:p>
        </w:tc>
        <w:tc>
          <w:tcPr>
            <w:tcW w:w="1590" w:type="dxa"/>
            <w:tcBorders>
              <w:top w:val="nil"/>
              <w:left w:val="single" w:sz="2" w:space="0" w:color="auto"/>
              <w:bottom w:val="single" w:sz="2" w:space="0" w:color="auto"/>
              <w:right w:val="nil"/>
            </w:tcBorders>
            <w:shd w:val="clear" w:color="auto" w:fill="auto"/>
            <w:noWrap/>
            <w:vAlign w:val="center"/>
          </w:tcPr>
          <w:p w:rsidR="00914360"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G0205</w:t>
            </w:r>
          </w:p>
        </w:tc>
      </w:tr>
      <w:tr w:rsidR="00962CEA" w:rsidRPr="009263D7" w:rsidTr="005D5C90">
        <w:trPr>
          <w:trHeight w:val="285"/>
          <w:jc w:val="center"/>
        </w:trPr>
        <w:tc>
          <w:tcPr>
            <w:tcW w:w="1589" w:type="dxa"/>
            <w:tcBorders>
              <w:top w:val="single" w:sz="2" w:space="0" w:color="auto"/>
              <w:left w:val="nil"/>
              <w:bottom w:val="single" w:sz="2" w:space="0" w:color="auto"/>
              <w:right w:val="single" w:sz="2" w:space="0" w:color="auto"/>
            </w:tcBorders>
            <w:shd w:val="clear" w:color="auto" w:fill="auto"/>
            <w:noWrap/>
            <w:vAlign w:val="center"/>
          </w:tcPr>
          <w:p w:rsidR="00962CEA"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58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62CEA"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590" w:type="dxa"/>
            <w:tcBorders>
              <w:top w:val="single" w:sz="2" w:space="0" w:color="auto"/>
              <w:left w:val="single" w:sz="2" w:space="0" w:color="auto"/>
              <w:bottom w:val="single" w:sz="2" w:space="0" w:color="auto"/>
              <w:right w:val="single" w:sz="2" w:space="0" w:color="auto"/>
            </w:tcBorders>
            <w:vAlign w:val="center"/>
          </w:tcPr>
          <w:p w:rsidR="00962CEA"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158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62CEA"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158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62CEA"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1590" w:type="dxa"/>
            <w:tcBorders>
              <w:top w:val="single" w:sz="2" w:space="0" w:color="auto"/>
              <w:left w:val="single" w:sz="2" w:space="0" w:color="auto"/>
              <w:bottom w:val="single" w:sz="2" w:space="0" w:color="auto"/>
              <w:right w:val="nil"/>
            </w:tcBorders>
            <w:shd w:val="clear" w:color="auto" w:fill="auto"/>
            <w:noWrap/>
            <w:vAlign w:val="center"/>
          </w:tcPr>
          <w:p w:rsidR="00962CEA" w:rsidRPr="009263D7" w:rsidRDefault="00CB4B9E" w:rsidP="00774FC3">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r>
      <w:tr w:rsidR="00914360" w:rsidRPr="009263D7" w:rsidTr="005D5C90">
        <w:trPr>
          <w:trHeight w:val="270"/>
          <w:jc w:val="center"/>
        </w:trPr>
        <w:tc>
          <w:tcPr>
            <w:tcW w:w="1589" w:type="dxa"/>
            <w:tcBorders>
              <w:top w:val="single" w:sz="2" w:space="0" w:color="auto"/>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single" w:sz="2" w:space="0" w:color="auto"/>
              <w:left w:val="nil"/>
              <w:bottom w:val="nil"/>
              <w:right w:val="nil"/>
            </w:tcBorders>
            <w:shd w:val="clear" w:color="auto" w:fill="auto"/>
            <w:noWrap/>
            <w:vAlign w:val="center"/>
          </w:tcPr>
          <w:p w:rsidR="00914360" w:rsidRPr="009263D7" w:rsidRDefault="00914360" w:rsidP="00774FC3">
            <w:pPr>
              <w:keepNext/>
              <w:widowControl/>
              <w:spacing w:line="320" w:lineRule="exact"/>
              <w:jc w:val="center"/>
              <w:outlineLvl w:val="0"/>
              <w:rPr>
                <w:rFonts w:ascii="宋体" w:hAnsi="宋体" w:cs="宋体"/>
                <w:color w:val="000000" w:themeColor="text1"/>
                <w:kern w:val="0"/>
                <w:sz w:val="18"/>
                <w:szCs w:val="18"/>
              </w:rPr>
            </w:pPr>
          </w:p>
        </w:tc>
        <w:tc>
          <w:tcPr>
            <w:tcW w:w="1590" w:type="dxa"/>
            <w:tcBorders>
              <w:top w:val="single" w:sz="2" w:space="0" w:color="auto"/>
              <w:left w:val="nil"/>
              <w:bottom w:val="nil"/>
              <w:right w:val="nil"/>
            </w:tcBorders>
          </w:tcPr>
          <w:p w:rsidR="00914360" w:rsidRPr="009263D7" w:rsidRDefault="00914360" w:rsidP="00774FC3">
            <w:pPr>
              <w:keepNext/>
              <w:widowControl/>
              <w:spacing w:line="320" w:lineRule="exact"/>
              <w:jc w:val="center"/>
              <w:outlineLvl w:val="0"/>
              <w:rPr>
                <w:rFonts w:ascii="宋体" w:hAnsi="宋体" w:cs="宋体"/>
                <w:color w:val="000000" w:themeColor="text1"/>
                <w:kern w:val="0"/>
                <w:sz w:val="18"/>
                <w:szCs w:val="18"/>
              </w:rPr>
            </w:pPr>
          </w:p>
        </w:tc>
        <w:tc>
          <w:tcPr>
            <w:tcW w:w="1589" w:type="dxa"/>
            <w:tcBorders>
              <w:top w:val="single" w:sz="2" w:space="0" w:color="auto"/>
              <w:left w:val="nil"/>
              <w:bottom w:val="nil"/>
              <w:right w:val="nil"/>
            </w:tcBorders>
            <w:shd w:val="clear" w:color="auto" w:fill="auto"/>
            <w:noWrap/>
            <w:vAlign w:val="center"/>
          </w:tcPr>
          <w:p w:rsidR="00914360" w:rsidRPr="009263D7" w:rsidRDefault="00914360" w:rsidP="00774FC3">
            <w:pPr>
              <w:keepNext/>
              <w:widowControl/>
              <w:spacing w:line="320" w:lineRule="exact"/>
              <w:jc w:val="center"/>
              <w:outlineLvl w:val="0"/>
              <w:rPr>
                <w:rFonts w:ascii="宋体" w:hAnsi="宋体" w:cs="宋体"/>
                <w:color w:val="000000" w:themeColor="text1"/>
                <w:kern w:val="0"/>
                <w:sz w:val="18"/>
                <w:szCs w:val="18"/>
              </w:rPr>
            </w:pPr>
          </w:p>
        </w:tc>
        <w:tc>
          <w:tcPr>
            <w:tcW w:w="1589" w:type="dxa"/>
            <w:tcBorders>
              <w:top w:val="single" w:sz="2" w:space="0" w:color="auto"/>
              <w:left w:val="nil"/>
              <w:bottom w:val="nil"/>
              <w:right w:val="nil"/>
            </w:tcBorders>
            <w:shd w:val="clear" w:color="auto" w:fill="auto"/>
            <w:noWrap/>
            <w:vAlign w:val="center"/>
          </w:tcPr>
          <w:p w:rsidR="00914360" w:rsidRPr="009263D7" w:rsidRDefault="00914360" w:rsidP="00774FC3">
            <w:pPr>
              <w:keepNext/>
              <w:widowControl/>
              <w:spacing w:line="320" w:lineRule="exact"/>
              <w:jc w:val="center"/>
              <w:outlineLvl w:val="0"/>
              <w:rPr>
                <w:rFonts w:ascii="宋体" w:hAnsi="宋体" w:cs="宋体"/>
                <w:color w:val="000000" w:themeColor="text1"/>
                <w:kern w:val="0"/>
                <w:sz w:val="18"/>
                <w:szCs w:val="18"/>
              </w:rPr>
            </w:pPr>
          </w:p>
        </w:tc>
        <w:tc>
          <w:tcPr>
            <w:tcW w:w="1590" w:type="dxa"/>
            <w:tcBorders>
              <w:top w:val="single" w:sz="2" w:space="0" w:color="auto"/>
              <w:left w:val="nil"/>
              <w:bottom w:val="nil"/>
              <w:right w:val="nil"/>
            </w:tcBorders>
            <w:shd w:val="clear" w:color="auto" w:fill="auto"/>
            <w:noWrap/>
            <w:vAlign w:val="center"/>
          </w:tcPr>
          <w:p w:rsidR="00914360" w:rsidRPr="009263D7" w:rsidRDefault="00914360" w:rsidP="00774FC3">
            <w:pPr>
              <w:keepNext/>
              <w:widowControl/>
              <w:spacing w:line="320" w:lineRule="exact"/>
              <w:jc w:val="center"/>
              <w:outlineLvl w:val="0"/>
              <w:rPr>
                <w:rFonts w:ascii="宋体" w:hAnsi="宋体" w:cs="宋体"/>
                <w:color w:val="000000" w:themeColor="text1"/>
                <w:kern w:val="0"/>
                <w:sz w:val="18"/>
                <w:szCs w:val="18"/>
              </w:rPr>
            </w:pPr>
          </w:p>
        </w:tc>
      </w:tr>
      <w:tr w:rsidR="00914360" w:rsidRPr="009263D7" w:rsidTr="005D5C90">
        <w:trPr>
          <w:trHeight w:val="270"/>
          <w:jc w:val="center"/>
        </w:trPr>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shd w:val="clear" w:color="auto" w:fill="auto"/>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r>
      <w:tr w:rsidR="00914360" w:rsidRPr="009263D7" w:rsidTr="005D5C90">
        <w:trPr>
          <w:trHeight w:val="270"/>
          <w:jc w:val="center"/>
        </w:trPr>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shd w:val="clear" w:color="auto" w:fill="auto"/>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r>
      <w:tr w:rsidR="00914360" w:rsidRPr="009263D7" w:rsidTr="005D5C90">
        <w:trPr>
          <w:trHeight w:val="270"/>
          <w:jc w:val="center"/>
        </w:trPr>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shd w:val="clear" w:color="auto" w:fill="auto"/>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r>
      <w:tr w:rsidR="00914360" w:rsidRPr="009263D7" w:rsidTr="005D5C90">
        <w:trPr>
          <w:trHeight w:val="270"/>
          <w:jc w:val="center"/>
        </w:trPr>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shd w:val="clear" w:color="auto" w:fill="auto"/>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r>
      <w:tr w:rsidR="00914360" w:rsidRPr="009263D7" w:rsidTr="005D5C90">
        <w:trPr>
          <w:trHeight w:val="270"/>
          <w:jc w:val="center"/>
        </w:trPr>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shd w:val="clear" w:color="auto" w:fill="auto"/>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r>
      <w:tr w:rsidR="00914360" w:rsidRPr="009263D7" w:rsidTr="005D5C90">
        <w:trPr>
          <w:trHeight w:val="270"/>
          <w:jc w:val="center"/>
        </w:trPr>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shd w:val="clear" w:color="auto" w:fill="auto"/>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r>
      <w:tr w:rsidR="00914360" w:rsidRPr="009263D7" w:rsidTr="005D5C90">
        <w:trPr>
          <w:trHeight w:val="270"/>
          <w:jc w:val="center"/>
        </w:trPr>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89" w:type="dxa"/>
            <w:tcBorders>
              <w:top w:val="nil"/>
              <w:left w:val="nil"/>
              <w:bottom w:val="nil"/>
              <w:right w:val="nil"/>
            </w:tcBorders>
            <w:shd w:val="clear" w:color="auto" w:fill="auto"/>
            <w:noWrap/>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c>
          <w:tcPr>
            <w:tcW w:w="1590" w:type="dxa"/>
            <w:tcBorders>
              <w:top w:val="nil"/>
              <w:left w:val="nil"/>
              <w:bottom w:val="nil"/>
              <w:right w:val="nil"/>
            </w:tcBorders>
            <w:shd w:val="clear" w:color="auto" w:fill="auto"/>
            <w:vAlign w:val="center"/>
          </w:tcPr>
          <w:p w:rsidR="00914360" w:rsidRPr="009263D7" w:rsidRDefault="00914360" w:rsidP="00774FC3">
            <w:pPr>
              <w:keepNext/>
              <w:widowControl/>
              <w:spacing w:line="320" w:lineRule="exact"/>
              <w:jc w:val="left"/>
              <w:outlineLvl w:val="0"/>
              <w:rPr>
                <w:rFonts w:ascii="宋体" w:hAnsi="宋体" w:cs="宋体"/>
                <w:color w:val="000000" w:themeColor="text1"/>
                <w:kern w:val="0"/>
                <w:sz w:val="18"/>
                <w:szCs w:val="18"/>
              </w:rPr>
            </w:pPr>
          </w:p>
        </w:tc>
      </w:tr>
      <w:tr w:rsidR="00914360" w:rsidRPr="009263D7" w:rsidTr="005D5C90">
        <w:trPr>
          <w:trHeight w:val="285"/>
          <w:jc w:val="center"/>
        </w:trPr>
        <w:tc>
          <w:tcPr>
            <w:tcW w:w="1589" w:type="dxa"/>
            <w:tcBorders>
              <w:top w:val="nil"/>
              <w:left w:val="nil"/>
              <w:bottom w:val="single" w:sz="8" w:space="0" w:color="000000"/>
              <w:right w:val="nil"/>
            </w:tcBorders>
            <w:shd w:val="clear" w:color="auto" w:fill="auto"/>
            <w:noWrap/>
            <w:vAlign w:val="center"/>
          </w:tcPr>
          <w:p w:rsidR="00914360" w:rsidRPr="009263D7" w:rsidRDefault="00CB4B9E" w:rsidP="00774FC3">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89" w:type="dxa"/>
            <w:tcBorders>
              <w:top w:val="nil"/>
              <w:left w:val="nil"/>
              <w:bottom w:val="single" w:sz="8" w:space="0" w:color="000000"/>
              <w:right w:val="nil"/>
            </w:tcBorders>
            <w:shd w:val="clear" w:color="auto" w:fill="auto"/>
            <w:noWrap/>
            <w:vAlign w:val="center"/>
          </w:tcPr>
          <w:p w:rsidR="00914360" w:rsidRPr="009263D7" w:rsidRDefault="00CB4B9E" w:rsidP="00774FC3">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90" w:type="dxa"/>
            <w:tcBorders>
              <w:top w:val="nil"/>
              <w:left w:val="nil"/>
              <w:bottom w:val="single" w:sz="8" w:space="0" w:color="000000"/>
              <w:right w:val="nil"/>
            </w:tcBorders>
          </w:tcPr>
          <w:p w:rsidR="00914360" w:rsidRPr="009263D7" w:rsidRDefault="00914360" w:rsidP="00774FC3">
            <w:pPr>
              <w:widowControl/>
              <w:jc w:val="left"/>
              <w:rPr>
                <w:rFonts w:ascii="宋体" w:hAnsi="宋体" w:cs="宋体"/>
                <w:color w:val="000000" w:themeColor="text1"/>
                <w:kern w:val="0"/>
                <w:sz w:val="18"/>
                <w:szCs w:val="18"/>
              </w:rPr>
            </w:pPr>
          </w:p>
        </w:tc>
        <w:tc>
          <w:tcPr>
            <w:tcW w:w="1589" w:type="dxa"/>
            <w:tcBorders>
              <w:top w:val="nil"/>
              <w:left w:val="nil"/>
              <w:bottom w:val="single" w:sz="8" w:space="0" w:color="000000"/>
              <w:right w:val="nil"/>
            </w:tcBorders>
            <w:shd w:val="clear" w:color="auto" w:fill="auto"/>
            <w:noWrap/>
            <w:vAlign w:val="center"/>
          </w:tcPr>
          <w:p w:rsidR="00914360" w:rsidRPr="009263D7" w:rsidRDefault="00CB4B9E" w:rsidP="00774FC3">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89" w:type="dxa"/>
            <w:tcBorders>
              <w:top w:val="nil"/>
              <w:left w:val="nil"/>
              <w:bottom w:val="single" w:sz="8" w:space="0" w:color="000000"/>
              <w:right w:val="nil"/>
            </w:tcBorders>
            <w:shd w:val="clear" w:color="auto" w:fill="auto"/>
            <w:noWrap/>
            <w:vAlign w:val="center"/>
          </w:tcPr>
          <w:p w:rsidR="00914360" w:rsidRPr="009263D7" w:rsidRDefault="00CB4B9E" w:rsidP="00774FC3">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90" w:type="dxa"/>
            <w:tcBorders>
              <w:top w:val="nil"/>
              <w:left w:val="nil"/>
              <w:bottom w:val="single" w:sz="8" w:space="0" w:color="000000"/>
              <w:right w:val="nil"/>
            </w:tcBorders>
            <w:shd w:val="clear" w:color="auto" w:fill="auto"/>
            <w:vAlign w:val="center"/>
          </w:tcPr>
          <w:p w:rsidR="00914360" w:rsidRPr="009263D7" w:rsidRDefault="00CB4B9E" w:rsidP="00774FC3">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000000" w:rsidRDefault="00CB4B9E">
      <w:pPr>
        <w:ind w:leftChars="270" w:left="567"/>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000000" w:rsidRDefault="00CB4B9E">
      <w:pPr>
        <w:ind w:leftChars="270" w:left="567"/>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000000" w:rsidRDefault="00C97103">
      <w:pPr>
        <w:ind w:leftChars="270" w:left="567"/>
        <w:rPr>
          <w:rFonts w:ascii="宋体"/>
          <w:color w:val="000000" w:themeColor="text1"/>
          <w:sz w:val="18"/>
        </w:rPr>
      </w:pPr>
    </w:p>
    <w:p w:rsidR="00072B16" w:rsidRPr="009263D7" w:rsidDel="00072B16" w:rsidRDefault="00CB4B9E" w:rsidP="00072B16">
      <w:pPr>
        <w:spacing w:line="360" w:lineRule="auto"/>
        <w:ind w:rightChars="154" w:right="323" w:firstLineChars="200" w:firstLine="360"/>
        <w:rPr>
          <w:color w:val="000000" w:themeColor="text1"/>
          <w:sz w:val="18"/>
        </w:rPr>
      </w:pPr>
      <w:r w:rsidRPr="00CB4B9E">
        <w:rPr>
          <w:rFonts w:ascii="宋体" w:hAnsi="宋体" w:cs="宋体"/>
          <w:color w:val="000000" w:themeColor="text1"/>
          <w:kern w:val="0"/>
          <w:sz w:val="18"/>
          <w:szCs w:val="18"/>
        </w:rPr>
        <w:br w:type="page"/>
      </w:r>
    </w:p>
    <w:p w:rsidR="0080021F" w:rsidRPr="009263D7" w:rsidRDefault="00CB4B9E" w:rsidP="0080021F">
      <w:pPr>
        <w:pStyle w:val="2"/>
        <w:jc w:val="center"/>
        <w:rPr>
          <w:rFonts w:ascii="宋体" w:eastAsia="宋体" w:hAnsi="宋体"/>
          <w:b w:val="0"/>
          <w:color w:val="000000" w:themeColor="text1"/>
          <w:kern w:val="0"/>
        </w:rPr>
      </w:pPr>
      <w:bookmarkStart w:id="45" w:name="_Toc452017154"/>
      <w:r w:rsidRPr="00CB4B9E">
        <w:rPr>
          <w:rFonts w:ascii="宋体" w:eastAsia="宋体" w:hAnsi="宋体" w:hint="eastAsia"/>
          <w:b w:val="0"/>
          <w:color w:val="000000" w:themeColor="text1"/>
          <w:kern w:val="0"/>
        </w:rPr>
        <w:lastRenderedPageBreak/>
        <w:t>（九）涉外托管业务</w:t>
      </w:r>
      <w:bookmarkEnd w:id="45"/>
    </w:p>
    <w:p w:rsidR="0080021F" w:rsidRPr="009263D7" w:rsidRDefault="00CB4B9E" w:rsidP="0080021F">
      <w:pPr>
        <w:pStyle w:val="3"/>
        <w:jc w:val="center"/>
        <w:rPr>
          <w:rFonts w:ascii="宋体" w:hAnsi="宋体"/>
          <w:b w:val="0"/>
          <w:color w:val="000000" w:themeColor="text1"/>
          <w:kern w:val="0"/>
          <w:sz w:val="28"/>
          <w:szCs w:val="28"/>
        </w:rPr>
      </w:pPr>
      <w:bookmarkStart w:id="46" w:name="_Toc452017155"/>
      <w:r w:rsidRPr="00CB4B9E">
        <w:rPr>
          <w:rFonts w:ascii="宋体" w:hAnsi="宋体" w:hint="eastAsia"/>
          <w:b w:val="0"/>
          <w:color w:val="000000" w:themeColor="text1"/>
          <w:kern w:val="0"/>
          <w:sz w:val="28"/>
          <w:szCs w:val="28"/>
        </w:rPr>
        <w:t>为非居民托管业务统计（</w:t>
      </w:r>
      <w:r w:rsidRPr="00CB4B9E">
        <w:rPr>
          <w:rFonts w:ascii="宋体" w:hAnsi="宋体"/>
          <w:b w:val="0"/>
          <w:color w:val="000000" w:themeColor="text1"/>
          <w:kern w:val="0"/>
          <w:sz w:val="28"/>
          <w:szCs w:val="28"/>
        </w:rPr>
        <w:t>QFII</w:t>
      </w:r>
      <w:r w:rsidRPr="00CB4B9E">
        <w:rPr>
          <w:rFonts w:ascii="宋体" w:hAnsi="宋体" w:hint="eastAsia"/>
          <w:b w:val="0"/>
          <w:color w:val="000000" w:themeColor="text1"/>
          <w:kern w:val="0"/>
          <w:sz w:val="28"/>
          <w:szCs w:val="28"/>
        </w:rPr>
        <w:t>、</w:t>
      </w:r>
      <w:r w:rsidRPr="00CB4B9E">
        <w:rPr>
          <w:rFonts w:ascii="宋体" w:hAnsi="宋体"/>
          <w:b w:val="0"/>
          <w:color w:val="000000" w:themeColor="text1"/>
          <w:kern w:val="0"/>
          <w:sz w:val="28"/>
          <w:szCs w:val="28"/>
        </w:rPr>
        <w:t>RQFII</w:t>
      </w:r>
      <w:r w:rsidRPr="00CB4B9E">
        <w:rPr>
          <w:rFonts w:ascii="宋体" w:hAnsi="宋体" w:hint="eastAsia"/>
          <w:b w:val="0"/>
          <w:color w:val="000000" w:themeColor="text1"/>
          <w:kern w:val="0"/>
          <w:sz w:val="28"/>
          <w:szCs w:val="28"/>
        </w:rPr>
        <w:t>相关）</w:t>
      </w:r>
      <w:bookmarkEnd w:id="46"/>
    </w:p>
    <w:p w:rsidR="0080021F" w:rsidRPr="009263D7" w:rsidRDefault="00CB4B9E" w:rsidP="007C4373">
      <w:pPr>
        <w:spacing w:line="240" w:lineRule="exact"/>
        <w:rPr>
          <w:color w:val="000000" w:themeColor="text1"/>
          <w:sz w:val="18"/>
        </w:rPr>
      </w:pPr>
      <w:r w:rsidRPr="00CB4B9E">
        <w:rPr>
          <w:color w:val="000000" w:themeColor="text1"/>
          <w:sz w:val="1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H01表</w:t>
      </w:r>
    </w:p>
    <w:p w:rsidR="0080021F" w:rsidRPr="009263D7" w:rsidRDefault="00CB4B9E" w:rsidP="0080021F">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80021F" w:rsidRPr="009263D7" w:rsidRDefault="00CB4B9E" w:rsidP="0080021F">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80021F" w:rsidRPr="009263D7" w:rsidRDefault="00CB4B9E" w:rsidP="0080021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80021F" w:rsidRPr="009263D7" w:rsidRDefault="00CB4B9E" w:rsidP="0080021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80021F" w:rsidRPr="009263D7" w:rsidRDefault="00CB4B9E" w:rsidP="0080021F">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11503" w:type="dxa"/>
        <w:tblInd w:w="97" w:type="dxa"/>
        <w:tblLayout w:type="fixed"/>
        <w:tblLook w:val="04A0"/>
      </w:tblPr>
      <w:tblGrid>
        <w:gridCol w:w="703"/>
        <w:gridCol w:w="706"/>
        <w:gridCol w:w="711"/>
        <w:gridCol w:w="711"/>
        <w:gridCol w:w="711"/>
        <w:gridCol w:w="670"/>
        <w:gridCol w:w="754"/>
        <w:gridCol w:w="857"/>
        <w:gridCol w:w="704"/>
        <w:gridCol w:w="676"/>
        <w:gridCol w:w="717"/>
        <w:gridCol w:w="684"/>
        <w:gridCol w:w="686"/>
        <w:gridCol w:w="779"/>
        <w:gridCol w:w="1136"/>
        <w:gridCol w:w="298"/>
      </w:tblGrid>
      <w:tr w:rsidR="009F5A15" w:rsidRPr="009263D7" w:rsidTr="009F5A15">
        <w:trPr>
          <w:gridAfter w:val="2"/>
          <w:wAfter w:w="1434" w:type="dxa"/>
          <w:trHeight w:val="2940"/>
        </w:trPr>
        <w:tc>
          <w:tcPr>
            <w:tcW w:w="703" w:type="dxa"/>
            <w:tcBorders>
              <w:top w:val="single" w:sz="8" w:space="0" w:color="auto"/>
              <w:left w:val="nil"/>
              <w:bottom w:val="single" w:sz="4" w:space="0" w:color="auto"/>
              <w:right w:val="single" w:sz="2" w:space="0" w:color="auto"/>
            </w:tcBorders>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非居民委托人名称</w:t>
            </w:r>
          </w:p>
        </w:tc>
        <w:tc>
          <w:tcPr>
            <w:tcW w:w="706" w:type="dxa"/>
            <w:tcBorders>
              <w:top w:val="single" w:sz="8" w:space="0" w:color="auto"/>
              <w:left w:val="nil"/>
              <w:bottom w:val="single" w:sz="4"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非居民委托人代码</w:t>
            </w:r>
          </w:p>
        </w:tc>
        <w:tc>
          <w:tcPr>
            <w:tcW w:w="711" w:type="dxa"/>
            <w:tcBorders>
              <w:top w:val="single" w:sz="8" w:space="0" w:color="auto"/>
              <w:left w:val="single" w:sz="2" w:space="0" w:color="auto"/>
              <w:bottom w:val="single" w:sz="4" w:space="0" w:color="auto"/>
              <w:right w:val="single" w:sz="2" w:space="0" w:color="auto"/>
            </w:tcBorders>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非居民委托人所属国家</w:t>
            </w:r>
            <w:r w:rsidRPr="00CB4B9E">
              <w:rPr>
                <w:rFonts w:ascii="宋体" w:hAnsi="宋体" w:cs="宋体"/>
                <w:color w:val="000000" w:themeColor="text1"/>
                <w:kern w:val="0"/>
                <w:sz w:val="18"/>
                <w:szCs w:val="18"/>
              </w:rPr>
              <w:t>/地区</w:t>
            </w:r>
          </w:p>
        </w:tc>
        <w:tc>
          <w:tcPr>
            <w:tcW w:w="711" w:type="dxa"/>
            <w:tcBorders>
              <w:top w:val="single" w:sz="8" w:space="0" w:color="auto"/>
              <w:left w:val="single" w:sz="2" w:space="0" w:color="auto"/>
              <w:bottom w:val="single" w:sz="4"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非居民委托人所属部门</w:t>
            </w:r>
          </w:p>
        </w:tc>
        <w:tc>
          <w:tcPr>
            <w:tcW w:w="711" w:type="dxa"/>
            <w:tcBorders>
              <w:top w:val="single" w:sz="8" w:space="0" w:color="auto"/>
              <w:left w:val="single" w:sz="2" w:space="0" w:color="auto"/>
              <w:bottom w:val="single" w:sz="4"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非居民委托人产品名称</w:t>
            </w:r>
          </w:p>
        </w:tc>
        <w:tc>
          <w:tcPr>
            <w:tcW w:w="670" w:type="dxa"/>
            <w:tcBorders>
              <w:top w:val="single" w:sz="8" w:space="0" w:color="auto"/>
              <w:left w:val="single" w:sz="2" w:space="0" w:color="auto"/>
              <w:bottom w:val="single" w:sz="4"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业务编号</w:t>
            </w:r>
          </w:p>
        </w:tc>
        <w:tc>
          <w:tcPr>
            <w:tcW w:w="754" w:type="dxa"/>
            <w:tcBorders>
              <w:top w:val="single" w:sz="8" w:space="0" w:color="auto"/>
              <w:left w:val="single" w:sz="2" w:space="0" w:color="auto"/>
              <w:bottom w:val="single" w:sz="4" w:space="0" w:color="auto"/>
              <w:right w:val="single" w:sz="2" w:space="0" w:color="auto"/>
            </w:tcBorders>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投资工具类型</w:t>
            </w:r>
          </w:p>
        </w:tc>
        <w:tc>
          <w:tcPr>
            <w:tcW w:w="857" w:type="dxa"/>
            <w:tcBorders>
              <w:top w:val="single" w:sz="8" w:space="0" w:color="auto"/>
              <w:left w:val="single" w:sz="2" w:space="0" w:color="auto"/>
              <w:bottom w:val="single" w:sz="4" w:space="0" w:color="auto"/>
              <w:right w:val="single" w:sz="2" w:space="0" w:color="auto"/>
            </w:tcBorders>
            <w:shd w:val="clear" w:color="auto" w:fill="auto"/>
            <w:vAlign w:val="center"/>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投资品种类型</w:t>
            </w:r>
          </w:p>
        </w:tc>
        <w:tc>
          <w:tcPr>
            <w:tcW w:w="704" w:type="dxa"/>
            <w:tcBorders>
              <w:top w:val="single" w:sz="8" w:space="0" w:color="auto"/>
              <w:left w:val="single" w:sz="2" w:space="0" w:color="auto"/>
              <w:bottom w:val="single" w:sz="4" w:space="0" w:color="auto"/>
              <w:right w:val="single" w:sz="4" w:space="0" w:color="000000" w:themeColor="text1"/>
            </w:tcBorders>
            <w:shd w:val="clear" w:color="auto" w:fill="auto"/>
            <w:vAlign w:val="center"/>
          </w:tcPr>
          <w:p w:rsidR="009F5A15" w:rsidRPr="009263D7" w:rsidRDefault="009F5A15" w:rsidP="00E25984">
            <w:pPr>
              <w:widowControl/>
              <w:jc w:val="center"/>
              <w:rPr>
                <w:rFonts w:ascii="宋体" w:hAnsi="宋体" w:cs="宋体"/>
                <w:color w:val="000000" w:themeColor="text1"/>
                <w:kern w:val="0"/>
                <w:sz w:val="18"/>
                <w:szCs w:val="18"/>
              </w:rPr>
            </w:pPr>
          </w:p>
          <w:p w:rsidR="009F5A15" w:rsidRPr="009263D7" w:rsidRDefault="00CB4B9E" w:rsidP="00E2598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业务</w:t>
            </w:r>
          </w:p>
          <w:p w:rsidR="009F5A15" w:rsidRPr="009263D7" w:rsidRDefault="00CB4B9E" w:rsidP="00E2598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类型</w:t>
            </w:r>
          </w:p>
          <w:p w:rsidR="00000000" w:rsidRDefault="00C97103">
            <w:pPr>
              <w:widowControl/>
              <w:jc w:val="center"/>
              <w:rPr>
                <w:rFonts w:ascii="宋体" w:hAnsi="宋体" w:cs="宋体"/>
                <w:color w:val="000000" w:themeColor="text1"/>
                <w:kern w:val="0"/>
                <w:sz w:val="18"/>
                <w:szCs w:val="18"/>
              </w:rPr>
            </w:pPr>
          </w:p>
        </w:tc>
        <w:tc>
          <w:tcPr>
            <w:tcW w:w="676" w:type="dxa"/>
            <w:tcBorders>
              <w:top w:val="single" w:sz="8" w:space="0" w:color="auto"/>
              <w:left w:val="single" w:sz="4" w:space="0" w:color="000000" w:themeColor="text1"/>
              <w:bottom w:val="single" w:sz="4" w:space="0" w:color="auto"/>
              <w:right w:val="single" w:sz="2" w:space="0" w:color="auto"/>
            </w:tcBorders>
            <w:shd w:val="clear" w:color="auto" w:fill="auto"/>
            <w:vAlign w:val="center"/>
          </w:tcPr>
          <w:p w:rsidR="009F5A15" w:rsidRPr="009263D7" w:rsidRDefault="00CB4B9E" w:rsidP="00E2598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金融衍生产品</w:t>
            </w:r>
          </w:p>
          <w:p w:rsidR="009F5A15" w:rsidRPr="009263D7" w:rsidRDefault="00CB4B9E" w:rsidP="00E2598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的合约</w:t>
            </w:r>
          </w:p>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类别</w:t>
            </w:r>
          </w:p>
        </w:tc>
        <w:tc>
          <w:tcPr>
            <w:tcW w:w="717" w:type="dxa"/>
            <w:tcBorders>
              <w:top w:val="single" w:sz="8" w:space="0" w:color="auto"/>
              <w:left w:val="single" w:sz="2" w:space="0" w:color="auto"/>
              <w:bottom w:val="single" w:sz="4"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金融衍生产品的风险类别</w:t>
            </w:r>
          </w:p>
        </w:tc>
        <w:tc>
          <w:tcPr>
            <w:tcW w:w="684" w:type="dxa"/>
            <w:tcBorders>
              <w:top w:val="single" w:sz="8" w:space="0" w:color="auto"/>
              <w:left w:val="single" w:sz="2" w:space="0" w:color="auto"/>
              <w:bottom w:val="single" w:sz="4"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投资工具代码（逐支报送使用）</w:t>
            </w:r>
          </w:p>
        </w:tc>
        <w:tc>
          <w:tcPr>
            <w:tcW w:w="686" w:type="dxa"/>
            <w:tcBorders>
              <w:top w:val="single" w:sz="8" w:space="0" w:color="auto"/>
              <w:left w:val="single" w:sz="2" w:space="0" w:color="auto"/>
              <w:bottom w:val="single" w:sz="4" w:space="0" w:color="auto"/>
              <w:right w:val="single" w:sz="2"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投资工具发行人名称（逐支报送使用）</w:t>
            </w:r>
          </w:p>
        </w:tc>
        <w:tc>
          <w:tcPr>
            <w:tcW w:w="779" w:type="dxa"/>
            <w:tcBorders>
              <w:top w:val="single" w:sz="8" w:space="0" w:color="auto"/>
              <w:left w:val="single" w:sz="2" w:space="0" w:color="auto"/>
              <w:bottom w:val="single" w:sz="4" w:space="0" w:color="auto"/>
            </w:tcBorders>
            <w:shd w:val="clear" w:color="auto" w:fill="auto"/>
            <w:vAlign w:val="center"/>
          </w:tcPr>
          <w:p w:rsidR="00371B78" w:rsidRDefault="00CB4B9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投资工具发行人（对手方）所属部门</w:t>
            </w:r>
          </w:p>
        </w:tc>
      </w:tr>
      <w:tr w:rsidR="009F5A15" w:rsidRPr="009263D7" w:rsidTr="009F5A15">
        <w:trPr>
          <w:gridAfter w:val="2"/>
          <w:wAfter w:w="1434" w:type="dxa"/>
          <w:trHeight w:val="225"/>
        </w:trPr>
        <w:tc>
          <w:tcPr>
            <w:tcW w:w="703" w:type="dxa"/>
            <w:tcBorders>
              <w:top w:val="single" w:sz="4" w:space="0" w:color="FFFFFF" w:themeColor="background1"/>
              <w:left w:val="nil"/>
              <w:bottom w:val="single" w:sz="2" w:space="0" w:color="auto"/>
              <w:right w:val="single" w:sz="2" w:space="0" w:color="auto"/>
            </w:tcBorders>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H0101</w:t>
            </w:r>
          </w:p>
        </w:tc>
        <w:tc>
          <w:tcPr>
            <w:tcW w:w="706" w:type="dxa"/>
            <w:tcBorders>
              <w:top w:val="single" w:sz="4" w:space="0" w:color="FFFFFF" w:themeColor="background1"/>
              <w:left w:val="nil"/>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H0101CODE</w:t>
            </w:r>
          </w:p>
        </w:tc>
        <w:tc>
          <w:tcPr>
            <w:tcW w:w="711" w:type="dxa"/>
            <w:tcBorders>
              <w:top w:val="single" w:sz="4" w:space="0" w:color="FFFFFF" w:themeColor="background1"/>
              <w:left w:val="single" w:sz="2" w:space="0" w:color="auto"/>
              <w:bottom w:val="single" w:sz="2" w:space="0" w:color="auto"/>
              <w:right w:val="single" w:sz="2" w:space="0" w:color="auto"/>
            </w:tcBorders>
            <w:shd w:val="clear" w:color="auto" w:fill="auto"/>
            <w:vAlign w:val="bottom"/>
          </w:tcPr>
          <w:p w:rsidR="00000000" w:rsidRDefault="00CB4B9E">
            <w:pPr>
              <w:widowControl/>
              <w:spacing w:line="240" w:lineRule="exact"/>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H0102</w:t>
            </w:r>
          </w:p>
        </w:tc>
        <w:tc>
          <w:tcPr>
            <w:tcW w:w="711" w:type="dxa"/>
            <w:tcBorders>
              <w:top w:val="single" w:sz="4" w:space="0" w:color="FFFFFF" w:themeColor="background1"/>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H0103</w:t>
            </w:r>
          </w:p>
        </w:tc>
        <w:tc>
          <w:tcPr>
            <w:tcW w:w="711" w:type="dxa"/>
            <w:tcBorders>
              <w:top w:val="single" w:sz="4" w:space="0" w:color="FFFFFF" w:themeColor="background1"/>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H0104</w:t>
            </w:r>
          </w:p>
        </w:tc>
        <w:tc>
          <w:tcPr>
            <w:tcW w:w="670" w:type="dxa"/>
            <w:tcBorders>
              <w:top w:val="single" w:sz="4" w:space="0" w:color="FFFFFF" w:themeColor="background1"/>
              <w:left w:val="single" w:sz="2" w:space="0" w:color="auto"/>
              <w:bottom w:val="single" w:sz="2" w:space="0" w:color="auto"/>
              <w:right w:val="single" w:sz="2" w:space="0" w:color="auto"/>
            </w:tcBorders>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H0104CODE</w:t>
            </w:r>
          </w:p>
        </w:tc>
        <w:tc>
          <w:tcPr>
            <w:tcW w:w="754" w:type="dxa"/>
            <w:tcBorders>
              <w:top w:val="single" w:sz="4" w:space="0" w:color="FFFFFF" w:themeColor="background1"/>
              <w:left w:val="single" w:sz="2" w:space="0" w:color="auto"/>
              <w:bottom w:val="single" w:sz="2" w:space="0" w:color="auto"/>
              <w:right w:val="single" w:sz="2" w:space="0" w:color="auto"/>
            </w:tcBorders>
            <w:shd w:val="clear" w:color="auto" w:fill="auto"/>
            <w:vAlign w:val="bottom"/>
          </w:tcPr>
          <w:p w:rsidR="00000000" w:rsidRDefault="00CB4B9E">
            <w:pPr>
              <w:widowControl/>
              <w:spacing w:line="240" w:lineRule="exact"/>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H0105</w:t>
            </w:r>
          </w:p>
        </w:tc>
        <w:tc>
          <w:tcPr>
            <w:tcW w:w="857" w:type="dxa"/>
            <w:tcBorders>
              <w:top w:val="single" w:sz="4" w:space="0" w:color="FFFFFF" w:themeColor="background1"/>
              <w:left w:val="single" w:sz="2" w:space="0" w:color="auto"/>
              <w:bottom w:val="single" w:sz="2" w:space="0" w:color="auto"/>
              <w:right w:val="single" w:sz="2"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INVTYPE </w:t>
            </w:r>
          </w:p>
        </w:tc>
        <w:tc>
          <w:tcPr>
            <w:tcW w:w="704" w:type="dxa"/>
            <w:tcBorders>
              <w:top w:val="single" w:sz="4" w:space="0" w:color="FFFFFF" w:themeColor="background1"/>
              <w:left w:val="single" w:sz="2" w:space="0" w:color="auto"/>
              <w:bottom w:val="single" w:sz="2" w:space="0" w:color="auto"/>
              <w:right w:val="single" w:sz="4" w:space="0" w:color="000000" w:themeColor="text1"/>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H0105CODE</w:t>
            </w:r>
          </w:p>
        </w:tc>
        <w:tc>
          <w:tcPr>
            <w:tcW w:w="676" w:type="dxa"/>
            <w:tcBorders>
              <w:top w:val="single" w:sz="4" w:space="0" w:color="FFFFFF" w:themeColor="background1"/>
              <w:left w:val="single" w:sz="4" w:space="0" w:color="000000" w:themeColor="text1"/>
              <w:bottom w:val="single" w:sz="2" w:space="0" w:color="auto"/>
              <w:right w:val="single" w:sz="2"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H0106</w:t>
            </w:r>
          </w:p>
        </w:tc>
        <w:tc>
          <w:tcPr>
            <w:tcW w:w="717" w:type="dxa"/>
            <w:tcBorders>
              <w:top w:val="single" w:sz="4" w:space="0" w:color="FFFFFF" w:themeColor="background1"/>
              <w:left w:val="single" w:sz="2" w:space="0" w:color="auto"/>
              <w:bottom w:val="single" w:sz="2" w:space="0" w:color="auto"/>
              <w:right w:val="single" w:sz="2"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H0107</w:t>
            </w:r>
          </w:p>
        </w:tc>
        <w:tc>
          <w:tcPr>
            <w:tcW w:w="684" w:type="dxa"/>
            <w:tcBorders>
              <w:top w:val="single" w:sz="4" w:space="0" w:color="FFFFFF" w:themeColor="background1"/>
              <w:left w:val="single" w:sz="2" w:space="0" w:color="auto"/>
              <w:bottom w:val="single" w:sz="2" w:space="0" w:color="auto"/>
              <w:right w:val="single" w:sz="2"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H0108</w:t>
            </w:r>
          </w:p>
        </w:tc>
        <w:tc>
          <w:tcPr>
            <w:tcW w:w="686" w:type="dxa"/>
            <w:tcBorders>
              <w:top w:val="single" w:sz="4" w:space="0" w:color="FFFFFF" w:themeColor="background1"/>
              <w:left w:val="single" w:sz="2" w:space="0" w:color="auto"/>
              <w:bottom w:val="single" w:sz="2" w:space="0" w:color="auto"/>
              <w:right w:val="single" w:sz="2"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H0109</w:t>
            </w:r>
          </w:p>
        </w:tc>
        <w:tc>
          <w:tcPr>
            <w:tcW w:w="779" w:type="dxa"/>
            <w:tcBorders>
              <w:top w:val="single" w:sz="4" w:space="0" w:color="FFFFFF" w:themeColor="background1"/>
              <w:left w:val="single" w:sz="2" w:space="0" w:color="auto"/>
              <w:bottom w:val="single" w:sz="2"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H0110</w:t>
            </w:r>
          </w:p>
        </w:tc>
      </w:tr>
      <w:tr w:rsidR="00D1396C" w:rsidRPr="009263D7" w:rsidTr="009F5A15">
        <w:trPr>
          <w:trHeight w:val="225"/>
        </w:trPr>
        <w:tc>
          <w:tcPr>
            <w:tcW w:w="703" w:type="dxa"/>
            <w:tcBorders>
              <w:top w:val="single" w:sz="2" w:space="0" w:color="auto"/>
              <w:left w:val="nil"/>
              <w:bottom w:val="single" w:sz="2" w:space="0" w:color="auto"/>
              <w:right w:val="single" w:sz="4" w:space="0" w:color="auto"/>
            </w:tcBorders>
            <w:vAlign w:val="center"/>
          </w:tcPr>
          <w:p w:rsidR="00525D49" w:rsidRPr="009263D7" w:rsidRDefault="00CB4B9E" w:rsidP="00921DD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706" w:type="dxa"/>
            <w:tcBorders>
              <w:top w:val="single" w:sz="2" w:space="0" w:color="auto"/>
              <w:left w:val="nil"/>
              <w:bottom w:val="single" w:sz="2" w:space="0" w:color="auto"/>
              <w:right w:val="single" w:sz="4" w:space="0" w:color="auto"/>
            </w:tcBorders>
            <w:shd w:val="clear" w:color="auto" w:fill="auto"/>
            <w:noWrap/>
            <w:vAlign w:val="center"/>
          </w:tcPr>
          <w:p w:rsidR="00525D49" w:rsidRPr="009263D7" w:rsidRDefault="00CB4B9E" w:rsidP="00921DD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711" w:type="dxa"/>
            <w:tcBorders>
              <w:top w:val="single" w:sz="2" w:space="0" w:color="auto"/>
              <w:left w:val="single" w:sz="4" w:space="0" w:color="auto"/>
              <w:bottom w:val="single" w:sz="2" w:space="0" w:color="auto"/>
              <w:right w:val="single" w:sz="4" w:space="0" w:color="auto"/>
            </w:tcBorders>
            <w:shd w:val="clear" w:color="auto" w:fill="auto"/>
            <w:vAlign w:val="center"/>
          </w:tcPr>
          <w:p w:rsidR="00525D49" w:rsidRPr="009263D7" w:rsidRDefault="00CB4B9E" w:rsidP="00BF157C">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711" w:type="dxa"/>
            <w:tcBorders>
              <w:top w:val="single" w:sz="2" w:space="0" w:color="auto"/>
              <w:left w:val="single" w:sz="4" w:space="0" w:color="auto"/>
              <w:bottom w:val="single" w:sz="2" w:space="0" w:color="auto"/>
              <w:right w:val="single" w:sz="4" w:space="0" w:color="auto"/>
            </w:tcBorders>
            <w:shd w:val="clear" w:color="auto" w:fill="auto"/>
            <w:noWrap/>
            <w:vAlign w:val="center"/>
          </w:tcPr>
          <w:p w:rsidR="00525D49" w:rsidRPr="009263D7" w:rsidRDefault="00CB4B9E" w:rsidP="00921DD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711" w:type="dxa"/>
            <w:tcBorders>
              <w:top w:val="single" w:sz="2" w:space="0" w:color="auto"/>
              <w:left w:val="single" w:sz="4" w:space="0" w:color="auto"/>
              <w:bottom w:val="single" w:sz="2" w:space="0" w:color="auto"/>
              <w:right w:val="single" w:sz="4" w:space="0" w:color="auto"/>
            </w:tcBorders>
            <w:shd w:val="clear" w:color="auto" w:fill="auto"/>
            <w:noWrap/>
            <w:vAlign w:val="center"/>
          </w:tcPr>
          <w:p w:rsidR="00525D49" w:rsidRPr="009263D7" w:rsidRDefault="00CB4B9E" w:rsidP="00921DD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670" w:type="dxa"/>
            <w:tcBorders>
              <w:top w:val="single" w:sz="2" w:space="0" w:color="auto"/>
              <w:left w:val="single" w:sz="4" w:space="0" w:color="auto"/>
              <w:bottom w:val="single" w:sz="2" w:space="0" w:color="auto"/>
              <w:right w:val="single" w:sz="4" w:space="0" w:color="auto"/>
            </w:tcBorders>
            <w:noWrap/>
            <w:vAlign w:val="center"/>
          </w:tcPr>
          <w:p w:rsidR="00525D49" w:rsidRPr="009263D7" w:rsidRDefault="00CB4B9E" w:rsidP="00921DD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754" w:type="dxa"/>
            <w:tcBorders>
              <w:top w:val="single" w:sz="2" w:space="0" w:color="auto"/>
              <w:left w:val="single" w:sz="4" w:space="0" w:color="auto"/>
              <w:bottom w:val="single" w:sz="2" w:space="0" w:color="auto"/>
              <w:right w:val="single" w:sz="4" w:space="0" w:color="auto"/>
            </w:tcBorders>
            <w:shd w:val="clear" w:color="auto" w:fill="auto"/>
            <w:vAlign w:val="center"/>
          </w:tcPr>
          <w:p w:rsidR="00525D49" w:rsidRPr="009263D7" w:rsidRDefault="00CB4B9E" w:rsidP="00921DD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857" w:type="dxa"/>
            <w:tcBorders>
              <w:top w:val="single" w:sz="2" w:space="0" w:color="auto"/>
              <w:left w:val="single" w:sz="4" w:space="0" w:color="auto"/>
              <w:bottom w:val="single" w:sz="2" w:space="0" w:color="auto"/>
              <w:right w:val="single" w:sz="4" w:space="0" w:color="auto"/>
            </w:tcBorders>
            <w:shd w:val="clear" w:color="auto" w:fill="auto"/>
            <w:vAlign w:val="center"/>
          </w:tcPr>
          <w:p w:rsidR="00525D49" w:rsidRPr="009263D7" w:rsidRDefault="00CB4B9E" w:rsidP="00921DD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c>
          <w:tcPr>
            <w:tcW w:w="704" w:type="dxa"/>
            <w:tcBorders>
              <w:top w:val="single" w:sz="2" w:space="0" w:color="auto"/>
              <w:left w:val="single" w:sz="4" w:space="0" w:color="auto"/>
              <w:bottom w:val="single" w:sz="2" w:space="0" w:color="auto"/>
              <w:right w:val="single" w:sz="4" w:space="0" w:color="000000" w:themeColor="text1"/>
            </w:tcBorders>
            <w:shd w:val="clear" w:color="auto" w:fill="auto"/>
            <w:noWrap/>
            <w:vAlign w:val="center"/>
          </w:tcPr>
          <w:p w:rsidR="00525D49" w:rsidRPr="009263D7" w:rsidRDefault="00CB4B9E" w:rsidP="00BC338E">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壬</w:t>
            </w:r>
          </w:p>
        </w:tc>
        <w:tc>
          <w:tcPr>
            <w:tcW w:w="676" w:type="dxa"/>
            <w:tcBorders>
              <w:top w:val="single" w:sz="2" w:space="0" w:color="auto"/>
              <w:left w:val="single" w:sz="4" w:space="0" w:color="000000" w:themeColor="text1"/>
              <w:bottom w:val="single" w:sz="2" w:space="0" w:color="auto"/>
              <w:right w:val="single" w:sz="4" w:space="0" w:color="auto"/>
            </w:tcBorders>
            <w:shd w:val="clear" w:color="auto" w:fill="auto"/>
            <w:vAlign w:val="center"/>
          </w:tcPr>
          <w:p w:rsidR="00525D49" w:rsidRPr="009263D7" w:rsidRDefault="00CB4B9E" w:rsidP="00921DD4">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癸</w:t>
            </w:r>
          </w:p>
        </w:tc>
        <w:tc>
          <w:tcPr>
            <w:tcW w:w="717" w:type="dxa"/>
            <w:tcBorders>
              <w:top w:val="single" w:sz="2" w:space="0" w:color="auto"/>
              <w:left w:val="single" w:sz="4" w:space="0" w:color="auto"/>
              <w:bottom w:val="single" w:sz="2" w:space="0" w:color="auto"/>
              <w:right w:val="single" w:sz="4" w:space="0" w:color="auto"/>
            </w:tcBorders>
            <w:shd w:val="clear" w:color="auto" w:fill="auto"/>
            <w:vAlign w:val="center"/>
          </w:tcPr>
          <w:p w:rsidR="00525D49" w:rsidRPr="009263D7" w:rsidRDefault="00CB4B9E" w:rsidP="00921DD4">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子</w:t>
            </w:r>
          </w:p>
        </w:tc>
        <w:tc>
          <w:tcPr>
            <w:tcW w:w="684" w:type="dxa"/>
            <w:tcBorders>
              <w:top w:val="single" w:sz="2" w:space="0" w:color="auto"/>
              <w:left w:val="single" w:sz="4" w:space="0" w:color="auto"/>
              <w:bottom w:val="single" w:sz="2" w:space="0" w:color="auto"/>
              <w:right w:val="single" w:sz="4" w:space="0" w:color="auto"/>
            </w:tcBorders>
            <w:shd w:val="clear" w:color="auto" w:fill="auto"/>
            <w:noWrap/>
            <w:vAlign w:val="center"/>
          </w:tcPr>
          <w:p w:rsidR="00525D49" w:rsidRPr="009263D7" w:rsidRDefault="00CB4B9E" w:rsidP="00B17EAA">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丑</w:t>
            </w:r>
          </w:p>
        </w:tc>
        <w:tc>
          <w:tcPr>
            <w:tcW w:w="686" w:type="dxa"/>
            <w:tcBorders>
              <w:top w:val="single" w:sz="2" w:space="0" w:color="auto"/>
              <w:left w:val="single" w:sz="4" w:space="0" w:color="auto"/>
              <w:bottom w:val="single" w:sz="2" w:space="0" w:color="auto"/>
              <w:right w:val="single" w:sz="4" w:space="0" w:color="auto"/>
            </w:tcBorders>
            <w:shd w:val="clear" w:color="auto" w:fill="auto"/>
            <w:vAlign w:val="center"/>
          </w:tcPr>
          <w:p w:rsidR="00525D49" w:rsidRPr="009263D7" w:rsidRDefault="00CB4B9E" w:rsidP="00D14616">
            <w:pPr>
              <w:jc w:val="center"/>
              <w:rPr>
                <w:rFonts w:ascii="宋体" w:hAnsi="宋体" w:cs="宋体"/>
                <w:color w:val="000000" w:themeColor="text1"/>
                <w:kern w:val="0"/>
                <w:sz w:val="18"/>
                <w:szCs w:val="18"/>
              </w:rPr>
            </w:pPr>
            <w:r w:rsidRPr="00CB4B9E">
              <w:rPr>
                <w:rFonts w:hint="eastAsia"/>
                <w:color w:val="000000" w:themeColor="text1"/>
                <w:sz w:val="18"/>
                <w:szCs w:val="18"/>
              </w:rPr>
              <w:t>寅</w:t>
            </w:r>
          </w:p>
        </w:tc>
        <w:tc>
          <w:tcPr>
            <w:tcW w:w="779" w:type="dxa"/>
            <w:tcBorders>
              <w:top w:val="single" w:sz="2" w:space="0" w:color="auto"/>
              <w:left w:val="single" w:sz="4" w:space="0" w:color="auto"/>
              <w:bottom w:val="single" w:sz="2" w:space="0" w:color="auto"/>
            </w:tcBorders>
            <w:shd w:val="clear" w:color="auto" w:fill="auto"/>
            <w:vAlign w:val="center"/>
          </w:tcPr>
          <w:p w:rsidR="00525D49" w:rsidRPr="009263D7" w:rsidRDefault="00CB4B9E" w:rsidP="00D14616">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卯</w:t>
            </w:r>
          </w:p>
        </w:tc>
        <w:tc>
          <w:tcPr>
            <w:tcW w:w="1136" w:type="dxa"/>
            <w:shd w:val="clear" w:color="auto" w:fill="auto"/>
            <w:noWrap/>
            <w:vAlign w:val="center"/>
          </w:tcPr>
          <w:p w:rsidR="00525D49" w:rsidRPr="009263D7" w:rsidRDefault="00525D49" w:rsidP="000979C0">
            <w:pPr>
              <w:widowControl/>
              <w:jc w:val="center"/>
              <w:rPr>
                <w:rFonts w:ascii="宋体" w:hAnsi="宋体" w:cs="宋体"/>
                <w:color w:val="000000" w:themeColor="text1"/>
                <w:kern w:val="0"/>
                <w:sz w:val="18"/>
                <w:szCs w:val="18"/>
              </w:rPr>
            </w:pPr>
          </w:p>
        </w:tc>
        <w:tc>
          <w:tcPr>
            <w:tcW w:w="298" w:type="dxa"/>
            <w:tcBorders>
              <w:top w:val="single" w:sz="2" w:space="0" w:color="auto"/>
              <w:left w:val="nil"/>
              <w:bottom w:val="single" w:sz="2" w:space="0" w:color="auto"/>
              <w:right w:val="nil"/>
            </w:tcBorders>
          </w:tcPr>
          <w:p w:rsidR="00525D49" w:rsidRPr="009263D7" w:rsidRDefault="00525D49" w:rsidP="000979C0">
            <w:pPr>
              <w:widowControl/>
              <w:jc w:val="center"/>
              <w:rPr>
                <w:rFonts w:ascii="宋体" w:hAnsi="宋体" w:cs="宋体"/>
                <w:color w:val="000000" w:themeColor="text1"/>
                <w:kern w:val="0"/>
                <w:sz w:val="18"/>
                <w:szCs w:val="18"/>
              </w:rPr>
            </w:pPr>
          </w:p>
        </w:tc>
      </w:tr>
    </w:tbl>
    <w:p w:rsidR="005B113B" w:rsidRPr="009263D7" w:rsidRDefault="005B113B" w:rsidP="0080021F">
      <w:pPr>
        <w:spacing w:line="280" w:lineRule="exact"/>
        <w:ind w:leftChars="-1" w:left="-2"/>
        <w:rPr>
          <w:rFonts w:ascii="宋体"/>
          <w:color w:val="000000" w:themeColor="text1"/>
          <w:sz w:val="18"/>
        </w:rPr>
      </w:pPr>
    </w:p>
    <w:p w:rsidR="005B113B" w:rsidRPr="009263D7" w:rsidRDefault="005B113B" w:rsidP="0080021F">
      <w:pPr>
        <w:spacing w:line="280" w:lineRule="exact"/>
        <w:ind w:leftChars="-1" w:left="-2"/>
        <w:rPr>
          <w:rFonts w:ascii="宋体"/>
          <w:color w:val="000000" w:themeColor="text1"/>
          <w:sz w:val="18"/>
        </w:rPr>
      </w:pPr>
    </w:p>
    <w:tbl>
      <w:tblPr>
        <w:tblW w:w="10216" w:type="dxa"/>
        <w:tblInd w:w="98" w:type="dxa"/>
        <w:tblLook w:val="04A0"/>
      </w:tblPr>
      <w:tblGrid>
        <w:gridCol w:w="666"/>
        <w:gridCol w:w="666"/>
        <w:gridCol w:w="666"/>
        <w:gridCol w:w="666"/>
        <w:gridCol w:w="666"/>
        <w:gridCol w:w="666"/>
        <w:gridCol w:w="666"/>
        <w:gridCol w:w="666"/>
        <w:gridCol w:w="666"/>
        <w:gridCol w:w="666"/>
        <w:gridCol w:w="666"/>
        <w:gridCol w:w="666"/>
        <w:gridCol w:w="333"/>
        <w:gridCol w:w="333"/>
        <w:gridCol w:w="666"/>
        <w:gridCol w:w="892"/>
      </w:tblGrid>
      <w:tr w:rsidR="009F5A15" w:rsidRPr="009263D7" w:rsidTr="009F5A15">
        <w:trPr>
          <w:trHeight w:val="290"/>
        </w:trPr>
        <w:tc>
          <w:tcPr>
            <w:tcW w:w="439" w:type="dxa"/>
            <w:tcBorders>
              <w:top w:val="nil"/>
              <w:left w:val="nil"/>
              <w:bottom w:val="nil"/>
              <w:right w:val="nil"/>
            </w:tcBorders>
          </w:tcPr>
          <w:p w:rsidR="009F5A15" w:rsidRPr="009263D7" w:rsidRDefault="009F5A15" w:rsidP="005B113B">
            <w:pPr>
              <w:widowControl/>
              <w:jc w:val="left"/>
              <w:rPr>
                <w:rFonts w:ascii="宋体" w:hAnsi="宋体" w:cs="宋体"/>
                <w:color w:val="000000" w:themeColor="text1"/>
                <w:kern w:val="0"/>
                <w:sz w:val="18"/>
                <w:szCs w:val="18"/>
              </w:rPr>
            </w:pPr>
          </w:p>
        </w:tc>
        <w:tc>
          <w:tcPr>
            <w:tcW w:w="0" w:type="auto"/>
            <w:tcBorders>
              <w:top w:val="nil"/>
              <w:left w:val="nil"/>
              <w:bottom w:val="nil"/>
              <w:right w:val="nil"/>
            </w:tcBorders>
            <w:shd w:val="clear" w:color="auto" w:fill="auto"/>
            <w:hideMark/>
          </w:tcPr>
          <w:p w:rsidR="009F5A15" w:rsidRPr="009263D7" w:rsidRDefault="009F5A15" w:rsidP="005B113B">
            <w:pPr>
              <w:widowControl/>
              <w:jc w:val="left"/>
              <w:rPr>
                <w:rFonts w:ascii="宋体" w:hAnsi="宋体" w:cs="宋体"/>
                <w:color w:val="000000" w:themeColor="text1"/>
                <w:kern w:val="0"/>
                <w:sz w:val="18"/>
                <w:szCs w:val="18"/>
              </w:rPr>
            </w:pPr>
          </w:p>
        </w:tc>
        <w:tc>
          <w:tcPr>
            <w:tcW w:w="0" w:type="auto"/>
            <w:tcBorders>
              <w:top w:val="nil"/>
              <w:left w:val="nil"/>
              <w:bottom w:val="single" w:sz="8" w:space="0" w:color="auto"/>
              <w:right w:val="nil"/>
            </w:tcBorders>
            <w:shd w:val="clear" w:color="auto" w:fill="auto"/>
            <w:vAlign w:val="center"/>
            <w:hideMark/>
          </w:tcPr>
          <w:p w:rsidR="009F5A15" w:rsidRPr="009263D7" w:rsidRDefault="00CB4B9E" w:rsidP="005B113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0" w:type="auto"/>
            <w:tcBorders>
              <w:top w:val="nil"/>
              <w:left w:val="nil"/>
              <w:bottom w:val="single" w:sz="8" w:space="0" w:color="auto"/>
              <w:right w:val="nil"/>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nil"/>
              <w:left w:val="nil"/>
              <w:bottom w:val="nil"/>
              <w:right w:val="nil"/>
            </w:tcBorders>
            <w:shd w:val="clear" w:color="auto" w:fill="auto"/>
            <w:vAlign w:val="center"/>
            <w:hideMark/>
          </w:tcPr>
          <w:p w:rsidR="009F5A15" w:rsidRPr="009263D7" w:rsidRDefault="009F5A15" w:rsidP="005B113B">
            <w:pPr>
              <w:widowControl/>
              <w:jc w:val="left"/>
              <w:rPr>
                <w:rFonts w:ascii="宋体" w:hAnsi="宋体" w:cs="宋体"/>
                <w:color w:val="000000" w:themeColor="text1"/>
                <w:kern w:val="0"/>
                <w:sz w:val="18"/>
                <w:szCs w:val="18"/>
              </w:rPr>
            </w:pPr>
          </w:p>
        </w:tc>
        <w:tc>
          <w:tcPr>
            <w:tcW w:w="0" w:type="auto"/>
            <w:tcBorders>
              <w:top w:val="nil"/>
              <w:left w:val="nil"/>
              <w:bottom w:val="nil"/>
              <w:right w:val="nil"/>
            </w:tcBorders>
            <w:shd w:val="clear" w:color="auto" w:fill="auto"/>
            <w:vAlign w:val="center"/>
            <w:hideMark/>
          </w:tcPr>
          <w:p w:rsidR="009F5A15" w:rsidRPr="009263D7" w:rsidRDefault="009F5A15" w:rsidP="005B113B">
            <w:pPr>
              <w:widowControl/>
              <w:jc w:val="left"/>
              <w:rPr>
                <w:rFonts w:ascii="宋体" w:hAnsi="宋体" w:cs="宋体"/>
                <w:color w:val="000000" w:themeColor="text1"/>
                <w:kern w:val="0"/>
                <w:sz w:val="18"/>
                <w:szCs w:val="18"/>
              </w:rPr>
            </w:pPr>
          </w:p>
        </w:tc>
        <w:tc>
          <w:tcPr>
            <w:tcW w:w="0" w:type="auto"/>
            <w:tcBorders>
              <w:top w:val="nil"/>
              <w:left w:val="nil"/>
              <w:bottom w:val="single" w:sz="8" w:space="0" w:color="auto"/>
              <w:right w:val="nil"/>
            </w:tcBorders>
            <w:shd w:val="clear" w:color="auto" w:fill="auto"/>
            <w:hideMark/>
          </w:tcPr>
          <w:p w:rsidR="009F5A15" w:rsidRPr="009263D7" w:rsidRDefault="00CB4B9E" w:rsidP="005B113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gridSpan w:val="2"/>
            <w:tcBorders>
              <w:top w:val="nil"/>
              <w:left w:val="nil"/>
              <w:bottom w:val="single" w:sz="8" w:space="0" w:color="auto"/>
              <w:right w:val="nil"/>
            </w:tcBorders>
            <w:shd w:val="clear" w:color="auto" w:fill="auto"/>
            <w:vAlign w:val="center"/>
            <w:hideMark/>
          </w:tcPr>
          <w:p w:rsidR="009F5A15" w:rsidRPr="009263D7" w:rsidRDefault="00CB4B9E" w:rsidP="005B113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vAlign w:val="center"/>
            <w:hideMark/>
          </w:tcPr>
          <w:p w:rsidR="009F5A15" w:rsidRPr="009263D7" w:rsidRDefault="00CB4B9E" w:rsidP="005B113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gridSpan w:val="3"/>
            <w:tcBorders>
              <w:top w:val="nil"/>
              <w:left w:val="nil"/>
              <w:bottom w:val="single" w:sz="8" w:space="0" w:color="auto"/>
              <w:right w:val="nil"/>
            </w:tcBorders>
            <w:shd w:val="clear" w:color="auto" w:fill="auto"/>
            <w:vAlign w:val="center"/>
            <w:hideMark/>
          </w:tcPr>
          <w:p w:rsidR="009F5A15" w:rsidRPr="009263D7" w:rsidRDefault="00CB4B9E" w:rsidP="005B113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118" w:type="dxa"/>
            <w:gridSpan w:val="3"/>
            <w:tcBorders>
              <w:top w:val="nil"/>
              <w:left w:val="nil"/>
              <w:bottom w:val="single" w:sz="8" w:space="0" w:color="auto"/>
              <w:right w:val="nil"/>
            </w:tcBorders>
            <w:shd w:val="clear" w:color="auto" w:fill="auto"/>
            <w:vAlign w:val="center"/>
            <w:hideMark/>
          </w:tcPr>
          <w:p w:rsidR="009F5A15" w:rsidRPr="009263D7" w:rsidRDefault="00CB4B9E" w:rsidP="005B113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E25984" w:rsidRPr="009263D7" w:rsidTr="009F5A15">
        <w:trPr>
          <w:trHeight w:val="290"/>
        </w:trPr>
        <w:tc>
          <w:tcPr>
            <w:tcW w:w="439" w:type="dxa"/>
            <w:tcBorders>
              <w:top w:val="single" w:sz="8" w:space="0" w:color="auto"/>
              <w:left w:val="nil"/>
              <w:bottom w:val="single" w:sz="8" w:space="0" w:color="auto"/>
              <w:right w:val="nil"/>
            </w:tcBorders>
          </w:tcPr>
          <w:p w:rsidR="009F5A15" w:rsidRPr="009263D7" w:rsidRDefault="009F5A15" w:rsidP="005B113B">
            <w:pPr>
              <w:widowControl/>
              <w:jc w:val="center"/>
              <w:rPr>
                <w:rFonts w:ascii="宋体" w:hAnsi="宋体" w:cs="宋体"/>
                <w:color w:val="000000" w:themeColor="text1"/>
                <w:kern w:val="0"/>
                <w:sz w:val="18"/>
                <w:szCs w:val="18"/>
              </w:rPr>
            </w:pPr>
          </w:p>
        </w:tc>
        <w:tc>
          <w:tcPr>
            <w:tcW w:w="0" w:type="auto"/>
            <w:tcBorders>
              <w:top w:val="single" w:sz="8" w:space="0" w:color="auto"/>
              <w:left w:val="nil"/>
              <w:bottom w:val="single" w:sz="8" w:space="0" w:color="auto"/>
              <w:right w:val="nil"/>
            </w:tcBorders>
            <w:shd w:val="clear" w:color="auto" w:fill="auto"/>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nil"/>
              <w:left w:val="nil"/>
              <w:bottom w:val="single" w:sz="8" w:space="0" w:color="auto"/>
              <w:right w:val="nil"/>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7779" w:type="dxa"/>
            <w:gridSpan w:val="12"/>
            <w:tcBorders>
              <w:top w:val="single" w:sz="8" w:space="0" w:color="auto"/>
              <w:left w:val="nil"/>
              <w:bottom w:val="single" w:sz="8" w:space="0" w:color="auto"/>
              <w:right w:val="nil"/>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9F5A15" w:rsidRPr="009263D7" w:rsidTr="009F5A15">
        <w:trPr>
          <w:trHeight w:val="644"/>
        </w:trPr>
        <w:tc>
          <w:tcPr>
            <w:tcW w:w="439" w:type="dxa"/>
            <w:vMerge w:val="restart"/>
            <w:tcBorders>
              <w:top w:val="nil"/>
              <w:left w:val="nil"/>
              <w:bottom w:val="nil"/>
              <w:right w:val="single" w:sz="4" w:space="0" w:color="auto"/>
            </w:tcBorders>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非居民委托人与境内发行人（对手方）的关系</w:t>
            </w:r>
          </w:p>
        </w:tc>
        <w:tc>
          <w:tcPr>
            <w:tcW w:w="0" w:type="auto"/>
            <w:vMerge w:val="restart"/>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投资工具的原始期限</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上月末市值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本月买入</w:t>
            </w:r>
            <w:r w:rsidRPr="00CB4B9E">
              <w:rPr>
                <w:rFonts w:ascii="宋体" w:hAnsi="宋体" w:cs="宋体"/>
                <w:color w:val="000000" w:themeColor="text1"/>
                <w:kern w:val="0"/>
                <w:sz w:val="18"/>
                <w:szCs w:val="18"/>
              </w:rPr>
              <w:t>/申购/(现金)结算付款额</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本月卖出</w:t>
            </w:r>
            <w:r w:rsidRPr="00CB4B9E">
              <w:rPr>
                <w:rFonts w:ascii="宋体" w:hAnsi="宋体" w:cs="宋体"/>
                <w:color w:val="000000" w:themeColor="text1"/>
                <w:kern w:val="0"/>
                <w:sz w:val="18"/>
                <w:szCs w:val="18"/>
              </w:rPr>
              <w:t>/赎回/(现金)结算收款额</w:t>
            </w:r>
          </w:p>
        </w:tc>
        <w:tc>
          <w:tcPr>
            <w:tcW w:w="0" w:type="auto"/>
            <w:gridSpan w:val="3"/>
            <w:tcBorders>
              <w:top w:val="single" w:sz="8" w:space="0" w:color="auto"/>
              <w:left w:val="single" w:sz="4" w:space="0" w:color="auto"/>
              <w:bottom w:val="nil"/>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0" w:type="auto"/>
            <w:gridSpan w:val="2"/>
            <w:tcBorders>
              <w:top w:val="single" w:sz="8" w:space="0" w:color="auto"/>
              <w:left w:val="single" w:sz="4" w:space="0" w:color="auto"/>
              <w:bottom w:val="nil"/>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本月末市值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本月红利或利息收入</w:t>
            </w:r>
          </w:p>
        </w:tc>
        <w:tc>
          <w:tcPr>
            <w:tcW w:w="66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本月未实现收益（仅适用于货币市场基金份额）</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金融衍生产品的名义本金币种</w:t>
            </w:r>
          </w:p>
        </w:tc>
        <w:tc>
          <w:tcPr>
            <w:tcW w:w="1119" w:type="dxa"/>
            <w:vMerge w:val="restart"/>
            <w:tcBorders>
              <w:top w:val="nil"/>
              <w:left w:val="single" w:sz="4" w:space="0" w:color="auto"/>
              <w:bottom w:val="single" w:sz="4" w:space="0" w:color="auto"/>
              <w:right w:val="nil"/>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金融衍生产品的本月末名义本金金额</w:t>
            </w:r>
          </w:p>
        </w:tc>
      </w:tr>
      <w:tr w:rsidR="009F5A15" w:rsidRPr="009263D7" w:rsidTr="009F5A15">
        <w:trPr>
          <w:trHeight w:val="1200"/>
        </w:trPr>
        <w:tc>
          <w:tcPr>
            <w:tcW w:w="439" w:type="dxa"/>
            <w:vMerge/>
            <w:tcBorders>
              <w:left w:val="nil"/>
              <w:bottom w:val="single" w:sz="2" w:space="0" w:color="FFFFFF" w:themeColor="background1"/>
              <w:right w:val="single" w:sz="4" w:space="0" w:color="auto"/>
            </w:tcBorders>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0" w:type="auto"/>
            <w:vMerge/>
            <w:tcBorders>
              <w:top w:val="nil"/>
              <w:left w:val="nil"/>
              <w:bottom w:val="single" w:sz="2" w:space="0" w:color="FFFFFF" w:themeColor="background1"/>
              <w:right w:val="single" w:sz="4" w:space="0" w:color="auto"/>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0" w:type="auto"/>
            <w:vMerge/>
            <w:tcBorders>
              <w:top w:val="nil"/>
              <w:left w:val="single" w:sz="4" w:space="0" w:color="auto"/>
              <w:bottom w:val="single" w:sz="2" w:space="0" w:color="FFFFFF" w:themeColor="background1"/>
              <w:right w:val="single" w:sz="4" w:space="0" w:color="auto"/>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0" w:type="auto"/>
            <w:vMerge/>
            <w:tcBorders>
              <w:top w:val="nil"/>
              <w:left w:val="single" w:sz="4" w:space="0" w:color="auto"/>
              <w:bottom w:val="single" w:sz="2" w:space="0" w:color="FFFFFF" w:themeColor="background1"/>
              <w:right w:val="single" w:sz="4" w:space="0" w:color="auto"/>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0" w:type="auto"/>
            <w:vMerge/>
            <w:tcBorders>
              <w:top w:val="nil"/>
              <w:left w:val="single" w:sz="4" w:space="0" w:color="auto"/>
              <w:bottom w:val="single" w:sz="2" w:space="0" w:color="FFFFFF" w:themeColor="background1"/>
              <w:right w:val="single" w:sz="4" w:space="0" w:color="auto"/>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0" w:type="auto"/>
            <w:vMerge/>
            <w:tcBorders>
              <w:top w:val="nil"/>
              <w:left w:val="single" w:sz="4" w:space="0" w:color="auto"/>
              <w:bottom w:val="single" w:sz="2" w:space="0" w:color="FFFFFF" w:themeColor="background1"/>
              <w:right w:val="single" w:sz="4" w:space="0" w:color="auto"/>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0" w:type="auto"/>
            <w:tcBorders>
              <w:top w:val="nil"/>
              <w:left w:val="nil"/>
              <w:bottom w:val="single" w:sz="2" w:space="0" w:color="FFFFFF" w:themeColor="background1"/>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single" w:sz="4" w:space="0" w:color="000000" w:themeColor="text1"/>
              <w:left w:val="nil"/>
              <w:bottom w:val="single" w:sz="2" w:space="0" w:color="FFFFFF" w:themeColor="background1"/>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注销或重新分类至其他项目统计的金额</w:t>
            </w:r>
          </w:p>
        </w:tc>
        <w:tc>
          <w:tcPr>
            <w:tcW w:w="0" w:type="auto"/>
            <w:tcBorders>
              <w:top w:val="single" w:sz="4" w:space="0" w:color="000000" w:themeColor="text1"/>
              <w:left w:val="nil"/>
              <w:bottom w:val="single" w:sz="2" w:space="0" w:color="FFFFFF" w:themeColor="background1"/>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价值重估因素</w:t>
            </w:r>
          </w:p>
        </w:tc>
        <w:tc>
          <w:tcPr>
            <w:tcW w:w="0" w:type="auto"/>
            <w:tcBorders>
              <w:top w:val="nil"/>
              <w:left w:val="nil"/>
              <w:bottom w:val="single" w:sz="2" w:space="0" w:color="FFFFFF" w:themeColor="background1"/>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0" w:type="auto"/>
            <w:tcBorders>
              <w:top w:val="single" w:sz="4" w:space="0" w:color="000000" w:themeColor="text1"/>
              <w:left w:val="nil"/>
              <w:bottom w:val="single" w:sz="2" w:space="0" w:color="FFFFFF" w:themeColor="background1"/>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0" w:type="auto"/>
            <w:vMerge/>
            <w:tcBorders>
              <w:top w:val="nil"/>
              <w:left w:val="single" w:sz="4" w:space="0" w:color="auto"/>
              <w:bottom w:val="single" w:sz="2" w:space="0" w:color="FFFFFF" w:themeColor="background1"/>
              <w:right w:val="single" w:sz="4" w:space="0" w:color="auto"/>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666" w:type="dxa"/>
            <w:gridSpan w:val="2"/>
            <w:vMerge/>
            <w:tcBorders>
              <w:top w:val="nil"/>
              <w:left w:val="single" w:sz="4" w:space="0" w:color="auto"/>
              <w:bottom w:val="single" w:sz="2" w:space="0" w:color="FFFFFF" w:themeColor="background1"/>
              <w:right w:val="single" w:sz="4" w:space="0" w:color="auto"/>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666" w:type="dxa"/>
            <w:vMerge/>
            <w:tcBorders>
              <w:top w:val="nil"/>
              <w:left w:val="single" w:sz="4" w:space="0" w:color="auto"/>
              <w:bottom w:val="single" w:sz="2" w:space="0" w:color="FFFFFF" w:themeColor="background1"/>
              <w:right w:val="single" w:sz="4" w:space="0" w:color="auto"/>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c>
          <w:tcPr>
            <w:tcW w:w="1119" w:type="dxa"/>
            <w:vMerge/>
            <w:tcBorders>
              <w:top w:val="nil"/>
              <w:left w:val="single" w:sz="4" w:space="0" w:color="auto"/>
              <w:bottom w:val="single" w:sz="2" w:space="0" w:color="FFFFFF" w:themeColor="background1"/>
              <w:right w:val="nil"/>
            </w:tcBorders>
            <w:vAlign w:val="center"/>
            <w:hideMark/>
          </w:tcPr>
          <w:p w:rsidR="009F5A15" w:rsidRPr="009263D7" w:rsidRDefault="009F5A15" w:rsidP="005B113B">
            <w:pPr>
              <w:keepNext/>
              <w:widowControl/>
              <w:spacing w:line="320" w:lineRule="exact"/>
              <w:jc w:val="left"/>
              <w:outlineLvl w:val="0"/>
              <w:rPr>
                <w:rFonts w:ascii="宋体" w:hAnsi="宋体" w:cs="宋体"/>
                <w:color w:val="000000" w:themeColor="text1"/>
                <w:kern w:val="0"/>
                <w:sz w:val="18"/>
                <w:szCs w:val="18"/>
              </w:rPr>
            </w:pPr>
          </w:p>
        </w:tc>
      </w:tr>
      <w:tr w:rsidR="009F5A15" w:rsidRPr="009263D7" w:rsidTr="009F5A15">
        <w:trPr>
          <w:trHeight w:val="280"/>
        </w:trPr>
        <w:tc>
          <w:tcPr>
            <w:tcW w:w="439" w:type="dxa"/>
            <w:tcBorders>
              <w:top w:val="single" w:sz="2" w:space="0" w:color="FFFFFF" w:themeColor="background1"/>
              <w:left w:val="nil"/>
              <w:bottom w:val="single" w:sz="4" w:space="0" w:color="auto"/>
              <w:right w:val="single" w:sz="4" w:space="0" w:color="auto"/>
            </w:tcBorders>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H0111</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H0112</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H0113</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H0114</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H0115</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H0116</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H0117</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H0118</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H0119</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H0120</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H0121</w:t>
            </w:r>
          </w:p>
        </w:tc>
        <w:tc>
          <w:tcPr>
            <w:tcW w:w="0" w:type="auto"/>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H0122</w:t>
            </w:r>
          </w:p>
        </w:tc>
        <w:tc>
          <w:tcPr>
            <w:tcW w:w="666" w:type="dxa"/>
            <w:gridSpan w:val="2"/>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H0123</w:t>
            </w:r>
          </w:p>
        </w:tc>
        <w:tc>
          <w:tcPr>
            <w:tcW w:w="666" w:type="dxa"/>
            <w:tcBorders>
              <w:top w:val="single" w:sz="2" w:space="0" w:color="FFFFFF" w:themeColor="background1"/>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H0124</w:t>
            </w:r>
          </w:p>
        </w:tc>
        <w:tc>
          <w:tcPr>
            <w:tcW w:w="1119" w:type="dxa"/>
            <w:tcBorders>
              <w:top w:val="single" w:sz="2" w:space="0" w:color="FFFFFF" w:themeColor="background1"/>
              <w:left w:val="nil"/>
              <w:bottom w:val="single" w:sz="4" w:space="0" w:color="auto"/>
              <w:right w:val="nil"/>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H0125</w:t>
            </w:r>
          </w:p>
        </w:tc>
      </w:tr>
      <w:tr w:rsidR="009F5A15" w:rsidRPr="009263D7" w:rsidTr="009F5A15">
        <w:trPr>
          <w:trHeight w:val="280"/>
        </w:trPr>
        <w:tc>
          <w:tcPr>
            <w:tcW w:w="439" w:type="dxa"/>
            <w:tcBorders>
              <w:top w:val="nil"/>
              <w:bottom w:val="single" w:sz="4" w:space="0" w:color="auto"/>
              <w:right w:val="single" w:sz="4" w:space="0" w:color="auto"/>
            </w:tcBorders>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辰</w:t>
            </w:r>
          </w:p>
        </w:tc>
        <w:tc>
          <w:tcPr>
            <w:tcW w:w="0" w:type="auto"/>
            <w:tcBorders>
              <w:top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巳</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w:t>
            </w:r>
          </w:p>
        </w:tc>
        <w:tc>
          <w:tcPr>
            <w:tcW w:w="666" w:type="dxa"/>
            <w:tcBorders>
              <w:top w:val="nil"/>
              <w:left w:val="nil"/>
              <w:bottom w:val="single" w:sz="4" w:space="0" w:color="auto"/>
              <w:right w:val="single" w:sz="4" w:space="0" w:color="auto"/>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午</w:t>
            </w:r>
          </w:p>
        </w:tc>
        <w:tc>
          <w:tcPr>
            <w:tcW w:w="1119" w:type="dxa"/>
            <w:tcBorders>
              <w:top w:val="nil"/>
              <w:left w:val="nil"/>
              <w:bottom w:val="single" w:sz="4" w:space="0" w:color="auto"/>
              <w:right w:val="nil"/>
            </w:tcBorders>
            <w:shd w:val="clear" w:color="auto" w:fill="auto"/>
            <w:vAlign w:val="center"/>
            <w:hideMark/>
          </w:tcPr>
          <w:p w:rsidR="009F5A15" w:rsidRPr="009263D7" w:rsidRDefault="00CB4B9E" w:rsidP="005B113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w:t>
            </w:r>
          </w:p>
        </w:tc>
      </w:tr>
    </w:tbl>
    <w:p w:rsidR="005B113B" w:rsidRPr="009263D7" w:rsidRDefault="005B113B" w:rsidP="0080021F">
      <w:pPr>
        <w:spacing w:line="280" w:lineRule="exact"/>
        <w:ind w:leftChars="-1" w:left="-2"/>
        <w:rPr>
          <w:rFonts w:ascii="宋体"/>
          <w:color w:val="000000" w:themeColor="text1"/>
          <w:sz w:val="18"/>
        </w:rPr>
      </w:pPr>
    </w:p>
    <w:p w:rsidR="005B113B" w:rsidRPr="009263D7" w:rsidRDefault="005B113B" w:rsidP="0080021F">
      <w:pPr>
        <w:spacing w:line="280" w:lineRule="exact"/>
        <w:ind w:leftChars="-1" w:left="-2"/>
        <w:rPr>
          <w:rFonts w:ascii="宋体"/>
          <w:color w:val="000000" w:themeColor="text1"/>
          <w:sz w:val="18"/>
        </w:rPr>
      </w:pPr>
    </w:p>
    <w:p w:rsidR="00AE553A" w:rsidRPr="009263D7" w:rsidRDefault="00AE553A" w:rsidP="0080021F">
      <w:pPr>
        <w:spacing w:line="280" w:lineRule="exact"/>
        <w:ind w:leftChars="-1" w:left="-2"/>
        <w:rPr>
          <w:rFonts w:ascii="宋体"/>
          <w:color w:val="000000" w:themeColor="text1"/>
          <w:sz w:val="18"/>
        </w:rPr>
      </w:pPr>
    </w:p>
    <w:tbl>
      <w:tblPr>
        <w:tblW w:w="10072" w:type="dxa"/>
        <w:tblInd w:w="101" w:type="dxa"/>
        <w:tblBorders>
          <w:top w:val="single" w:sz="8" w:space="0" w:color="000000" w:themeColor="text1"/>
        </w:tblBorders>
        <w:tblLook w:val="0000"/>
      </w:tblPr>
      <w:tblGrid>
        <w:gridCol w:w="10072"/>
      </w:tblGrid>
      <w:tr w:rsidR="005B113B" w:rsidRPr="009263D7" w:rsidTr="00595EF4">
        <w:trPr>
          <w:trHeight w:val="100"/>
        </w:trPr>
        <w:tc>
          <w:tcPr>
            <w:tcW w:w="10072" w:type="dxa"/>
          </w:tcPr>
          <w:p w:rsidR="00595EF4" w:rsidRPr="009263D7" w:rsidRDefault="00CB4B9E" w:rsidP="00595EF4">
            <w:pPr>
              <w:spacing w:line="280" w:lineRule="exact"/>
              <w:ind w:leftChars="-1" w:left="-2"/>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5B113B" w:rsidRPr="009263D7" w:rsidRDefault="00CB4B9E" w:rsidP="00595EF4">
            <w:pPr>
              <w:spacing w:line="280" w:lineRule="exact"/>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tc>
      </w:tr>
    </w:tbl>
    <w:p w:rsidR="00000000" w:rsidRDefault="00C97103">
      <w:pPr>
        <w:rPr>
          <w:rFonts w:ascii="宋体" w:hAnsi="宋体" w:cs="宋体"/>
          <w:color w:val="000000" w:themeColor="text1"/>
          <w:kern w:val="0"/>
          <w:sz w:val="18"/>
          <w:szCs w:val="18"/>
        </w:rPr>
      </w:pPr>
    </w:p>
    <w:p w:rsidR="00000000" w:rsidRDefault="00C97103">
      <w:pPr>
        <w:rPr>
          <w:color w:val="000000" w:themeColor="text1"/>
        </w:rPr>
      </w:pPr>
    </w:p>
    <w:p w:rsidR="0080021F" w:rsidRPr="009263D7" w:rsidRDefault="00CB4B9E" w:rsidP="0080021F">
      <w:pPr>
        <w:pStyle w:val="3"/>
        <w:jc w:val="center"/>
        <w:rPr>
          <w:rFonts w:ascii="宋体" w:hAnsi="宋体"/>
          <w:b w:val="0"/>
          <w:color w:val="000000" w:themeColor="text1"/>
          <w:kern w:val="0"/>
          <w:sz w:val="28"/>
          <w:szCs w:val="28"/>
        </w:rPr>
      </w:pPr>
      <w:bookmarkStart w:id="47" w:name="_Toc452017156"/>
      <w:r w:rsidRPr="00CB4B9E">
        <w:rPr>
          <w:rFonts w:ascii="宋体" w:hAnsi="宋体" w:hint="eastAsia"/>
          <w:b w:val="0"/>
          <w:color w:val="000000" w:themeColor="text1"/>
          <w:kern w:val="0"/>
          <w:sz w:val="28"/>
          <w:szCs w:val="28"/>
        </w:rPr>
        <w:t>为居民托管业务统计（</w:t>
      </w:r>
      <w:r w:rsidRPr="00CB4B9E">
        <w:rPr>
          <w:rFonts w:ascii="宋体" w:hAnsi="宋体"/>
          <w:b w:val="0"/>
          <w:color w:val="000000" w:themeColor="text1"/>
          <w:kern w:val="0"/>
          <w:sz w:val="28"/>
          <w:szCs w:val="28"/>
        </w:rPr>
        <w:t>QDII相关）</w:t>
      </w:r>
      <w:bookmarkEnd w:id="47"/>
    </w:p>
    <w:p w:rsidR="0080021F" w:rsidRPr="009263D7" w:rsidRDefault="00CB4B9E" w:rsidP="004644BA">
      <w:pPr>
        <w:spacing w:line="240" w:lineRule="exact"/>
        <w:ind w:firstLineChars="2992" w:firstLine="5386"/>
        <w:rPr>
          <w:color w:val="000000" w:themeColor="text1"/>
          <w:sz w:val="18"/>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H02表</w:t>
      </w:r>
    </w:p>
    <w:p w:rsidR="0080021F" w:rsidRPr="009263D7" w:rsidRDefault="00CB4B9E" w:rsidP="0080021F">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80021F" w:rsidRPr="009263D7" w:rsidRDefault="00CB4B9E" w:rsidP="0080021F">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80021F" w:rsidRPr="009263D7" w:rsidRDefault="00CB4B9E" w:rsidP="0080021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80021F" w:rsidRPr="009263D7" w:rsidRDefault="00CB4B9E" w:rsidP="0080021F">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80021F" w:rsidRPr="009263D7" w:rsidRDefault="00CB4B9E" w:rsidP="003960B7">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ascii="宋体" w:hAnsi="宋体" w:cs="宋体"/>
          <w:color w:val="000000" w:themeColor="text1"/>
          <w:kern w:val="0"/>
          <w:sz w:val="22"/>
          <w:szCs w:val="22"/>
        </w:rPr>
        <w:t xml:space="preserve">                                   </w:t>
      </w:r>
    </w:p>
    <w:p w:rsidR="0080021F" w:rsidRPr="009263D7" w:rsidRDefault="00CB4B9E" w:rsidP="0080021F">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10747" w:type="dxa"/>
        <w:tblInd w:w="-176" w:type="dxa"/>
        <w:tblLayout w:type="fixed"/>
        <w:tblLook w:val="04A0"/>
      </w:tblPr>
      <w:tblGrid>
        <w:gridCol w:w="5"/>
        <w:gridCol w:w="679"/>
        <w:gridCol w:w="41"/>
        <w:gridCol w:w="629"/>
        <w:gridCol w:w="70"/>
        <w:gridCol w:w="614"/>
        <w:gridCol w:w="112"/>
        <w:gridCol w:w="658"/>
        <w:gridCol w:w="38"/>
        <w:gridCol w:w="16"/>
        <w:gridCol w:w="393"/>
        <w:gridCol w:w="242"/>
        <w:gridCol w:w="220"/>
        <w:gridCol w:w="250"/>
        <w:gridCol w:w="221"/>
        <w:gridCol w:w="100"/>
        <w:gridCol w:w="205"/>
        <w:gridCol w:w="589"/>
        <w:gridCol w:w="117"/>
        <w:gridCol w:w="594"/>
        <w:gridCol w:w="254"/>
        <w:gridCol w:w="485"/>
        <w:gridCol w:w="362"/>
        <w:gridCol w:w="332"/>
        <w:gridCol w:w="375"/>
        <w:gridCol w:w="313"/>
        <w:gridCol w:w="185"/>
        <w:gridCol w:w="209"/>
        <w:gridCol w:w="313"/>
        <w:gridCol w:w="210"/>
        <w:gridCol w:w="479"/>
        <w:gridCol w:w="685"/>
        <w:gridCol w:w="22"/>
        <w:gridCol w:w="703"/>
        <w:gridCol w:w="27"/>
      </w:tblGrid>
      <w:tr w:rsidR="00D1396C" w:rsidRPr="009263D7" w:rsidTr="000B0F38">
        <w:trPr>
          <w:gridAfter w:val="1"/>
          <w:wAfter w:w="27" w:type="dxa"/>
          <w:trHeight w:val="2513"/>
        </w:trPr>
        <w:tc>
          <w:tcPr>
            <w:tcW w:w="682" w:type="dxa"/>
            <w:gridSpan w:val="2"/>
            <w:tcBorders>
              <w:top w:val="single" w:sz="8" w:space="0" w:color="auto"/>
              <w:left w:val="nil"/>
              <w:bottom w:val="single" w:sz="4" w:space="0" w:color="auto"/>
              <w:right w:val="nil"/>
            </w:tcBorders>
            <w:shd w:val="clear" w:color="auto" w:fill="auto"/>
            <w:vAlign w:val="center"/>
          </w:tcPr>
          <w:p w:rsidR="00B7286E" w:rsidRPr="009263D7" w:rsidRDefault="00CB4B9E" w:rsidP="00D3165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居民委托人名称</w:t>
            </w:r>
          </w:p>
        </w:tc>
        <w:tc>
          <w:tcPr>
            <w:tcW w:w="672" w:type="dxa"/>
            <w:gridSpan w:val="2"/>
            <w:tcBorders>
              <w:top w:val="single" w:sz="8" w:space="0" w:color="auto"/>
              <w:left w:val="single" w:sz="4" w:space="0" w:color="auto"/>
              <w:bottom w:val="single" w:sz="4" w:space="0" w:color="auto"/>
              <w:right w:val="single" w:sz="4" w:space="0" w:color="auto"/>
            </w:tcBorders>
            <w:vAlign w:val="center"/>
          </w:tcPr>
          <w:p w:rsidR="00B7286E" w:rsidRPr="009263D7" w:rsidRDefault="00CB4B9E" w:rsidP="00D3165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居民委托人代码</w:t>
            </w:r>
          </w:p>
        </w:tc>
        <w:tc>
          <w:tcPr>
            <w:tcW w:w="686"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B7286E" w:rsidRPr="009263D7" w:rsidRDefault="00CB4B9E" w:rsidP="00D31651">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居民委托人所属部门</w:t>
            </w:r>
          </w:p>
        </w:tc>
        <w:tc>
          <w:tcPr>
            <w:tcW w:w="772" w:type="dxa"/>
            <w:gridSpan w:val="2"/>
            <w:tcBorders>
              <w:top w:val="single" w:sz="8" w:space="0" w:color="auto"/>
              <w:left w:val="nil"/>
              <w:bottom w:val="single" w:sz="4" w:space="0" w:color="auto"/>
              <w:right w:val="single" w:sz="4" w:space="0" w:color="auto"/>
            </w:tcBorders>
            <w:shd w:val="clear" w:color="auto" w:fill="auto"/>
            <w:vAlign w:val="center"/>
          </w:tcPr>
          <w:p w:rsidR="00B7286E" w:rsidRPr="009263D7" w:rsidRDefault="00CB4B9E" w:rsidP="00A9336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居民委托人产品名称</w:t>
            </w:r>
          </w:p>
        </w:tc>
        <w:tc>
          <w:tcPr>
            <w:tcW w:w="691" w:type="dxa"/>
            <w:gridSpan w:val="4"/>
            <w:tcBorders>
              <w:top w:val="single" w:sz="8" w:space="0" w:color="auto"/>
              <w:left w:val="nil"/>
              <w:bottom w:val="single" w:sz="4" w:space="0" w:color="auto"/>
              <w:right w:val="single" w:sz="4" w:space="0" w:color="auto"/>
            </w:tcBorders>
            <w:vAlign w:val="center"/>
          </w:tcPr>
          <w:p w:rsidR="00B7286E" w:rsidRPr="009263D7"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业务编号</w:t>
            </w:r>
          </w:p>
        </w:tc>
        <w:tc>
          <w:tcPr>
            <w:tcW w:w="693" w:type="dxa"/>
            <w:gridSpan w:val="3"/>
            <w:tcBorders>
              <w:top w:val="single" w:sz="8" w:space="0" w:color="auto"/>
              <w:left w:val="single" w:sz="4" w:space="0" w:color="auto"/>
              <w:bottom w:val="single" w:sz="4" w:space="0" w:color="auto"/>
              <w:right w:val="single" w:sz="4" w:space="0" w:color="auto"/>
            </w:tcBorders>
            <w:shd w:val="clear" w:color="auto" w:fill="auto"/>
            <w:vAlign w:val="center"/>
          </w:tcPr>
          <w:p w:rsidR="00B7286E" w:rsidRPr="009263D7" w:rsidRDefault="00CB4B9E" w:rsidP="00A9336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投资工具类型</w:t>
            </w:r>
          </w:p>
        </w:tc>
        <w:tc>
          <w:tcPr>
            <w:tcW w:w="896" w:type="dxa"/>
            <w:gridSpan w:val="3"/>
            <w:tcBorders>
              <w:top w:val="single" w:sz="8" w:space="0" w:color="auto"/>
              <w:left w:val="nil"/>
              <w:bottom w:val="single" w:sz="4" w:space="0" w:color="auto"/>
              <w:right w:val="single" w:sz="2" w:space="0" w:color="000000" w:themeColor="text1"/>
            </w:tcBorders>
            <w:vAlign w:val="center"/>
          </w:tcPr>
          <w:p w:rsidR="00B7286E" w:rsidRPr="009263D7" w:rsidRDefault="00CB4B9E" w:rsidP="00A9336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投资品种类型</w:t>
            </w:r>
          </w:p>
        </w:tc>
        <w:tc>
          <w:tcPr>
            <w:tcW w:w="713" w:type="dxa"/>
            <w:gridSpan w:val="2"/>
            <w:tcBorders>
              <w:top w:val="single" w:sz="8" w:space="0" w:color="auto"/>
              <w:left w:val="single" w:sz="2" w:space="0" w:color="000000" w:themeColor="text1"/>
              <w:bottom w:val="single" w:sz="4" w:space="0" w:color="auto"/>
              <w:right w:val="single" w:sz="2" w:space="0" w:color="000000" w:themeColor="text1"/>
            </w:tcBorders>
            <w:vAlign w:val="center"/>
          </w:tcPr>
          <w:p w:rsidR="00B7286E" w:rsidRPr="009263D7" w:rsidRDefault="00CB4B9E" w:rsidP="00A9336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业务类型</w:t>
            </w:r>
          </w:p>
        </w:tc>
        <w:tc>
          <w:tcPr>
            <w:tcW w:w="742" w:type="dxa"/>
            <w:gridSpan w:val="2"/>
            <w:tcBorders>
              <w:top w:val="single" w:sz="8" w:space="0" w:color="auto"/>
              <w:left w:val="single" w:sz="2" w:space="0" w:color="000000" w:themeColor="text1"/>
              <w:bottom w:val="single" w:sz="4" w:space="0" w:color="auto"/>
              <w:right w:val="single" w:sz="4" w:space="0" w:color="auto"/>
            </w:tcBorders>
          </w:tcPr>
          <w:p w:rsidR="00B7286E" w:rsidRPr="009263D7" w:rsidRDefault="00CB4B9E" w:rsidP="00A9336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金融衍生产品的合约类别</w:t>
            </w:r>
          </w:p>
        </w:tc>
        <w:tc>
          <w:tcPr>
            <w:tcW w:w="696" w:type="dxa"/>
            <w:gridSpan w:val="2"/>
            <w:tcBorders>
              <w:top w:val="single" w:sz="8" w:space="0" w:color="auto"/>
              <w:left w:val="nil"/>
              <w:bottom w:val="single" w:sz="4" w:space="0" w:color="auto"/>
              <w:right w:val="single" w:sz="4" w:space="0" w:color="auto"/>
            </w:tcBorders>
            <w:shd w:val="clear" w:color="auto" w:fill="auto"/>
            <w:vAlign w:val="center"/>
          </w:tcPr>
          <w:p w:rsidR="00B7286E" w:rsidRPr="009263D7" w:rsidRDefault="00CB4B9E" w:rsidP="00A9336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金融衍生产品的风险类别</w:t>
            </w:r>
          </w:p>
        </w:tc>
        <w:tc>
          <w:tcPr>
            <w:tcW w:w="690" w:type="dxa"/>
            <w:gridSpan w:val="2"/>
            <w:tcBorders>
              <w:top w:val="single" w:sz="8" w:space="0" w:color="auto"/>
              <w:left w:val="nil"/>
              <w:bottom w:val="single" w:sz="4" w:space="0" w:color="auto"/>
              <w:right w:val="single" w:sz="4" w:space="0" w:color="auto"/>
            </w:tcBorders>
            <w:shd w:val="clear" w:color="auto" w:fill="auto"/>
            <w:vAlign w:val="center"/>
          </w:tcPr>
          <w:p w:rsidR="00B7286E" w:rsidRPr="009263D7" w:rsidRDefault="00CB4B9E" w:rsidP="001F12A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投资工具代码</w:t>
            </w:r>
            <w:r w:rsidRPr="00CB4B9E">
              <w:rPr>
                <w:rFonts w:ascii="宋体" w:hAnsi="宋体" w:cs="宋体"/>
                <w:color w:val="000000" w:themeColor="text1"/>
                <w:kern w:val="0"/>
                <w:sz w:val="18"/>
                <w:szCs w:val="18"/>
              </w:rPr>
              <w:t>(逐支报送使用)</w:t>
            </w:r>
          </w:p>
        </w:tc>
        <w:tc>
          <w:tcPr>
            <w:tcW w:w="709" w:type="dxa"/>
            <w:gridSpan w:val="3"/>
            <w:tcBorders>
              <w:top w:val="single" w:sz="8" w:space="0" w:color="auto"/>
              <w:left w:val="nil"/>
              <w:bottom w:val="single" w:sz="4" w:space="0" w:color="auto"/>
              <w:right w:val="single" w:sz="4" w:space="0" w:color="auto"/>
            </w:tcBorders>
            <w:shd w:val="clear" w:color="auto" w:fill="auto"/>
            <w:vAlign w:val="center"/>
          </w:tcPr>
          <w:p w:rsidR="00B7286E" w:rsidRPr="009263D7" w:rsidRDefault="00CB4B9E" w:rsidP="001F12A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投资工具发行人名称（逐支报送使用）</w:t>
            </w:r>
          </w:p>
        </w:tc>
        <w:tc>
          <w:tcPr>
            <w:tcW w:w="691" w:type="dxa"/>
            <w:gridSpan w:val="2"/>
            <w:tcBorders>
              <w:top w:val="single" w:sz="8" w:space="0" w:color="auto"/>
              <w:left w:val="nil"/>
              <w:bottom w:val="single" w:sz="4" w:space="0" w:color="auto"/>
              <w:right w:val="single" w:sz="4" w:space="0" w:color="auto"/>
            </w:tcBorders>
            <w:shd w:val="clear" w:color="auto" w:fill="auto"/>
            <w:vAlign w:val="center"/>
          </w:tcPr>
          <w:p w:rsidR="00B7286E" w:rsidRPr="009263D7" w:rsidRDefault="00CB4B9E" w:rsidP="001F12A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投资工具发行市场</w:t>
            </w:r>
          </w:p>
        </w:tc>
        <w:tc>
          <w:tcPr>
            <w:tcW w:w="687" w:type="dxa"/>
            <w:tcBorders>
              <w:top w:val="single" w:sz="8" w:space="0" w:color="auto"/>
              <w:left w:val="nil"/>
              <w:bottom w:val="single" w:sz="4" w:space="0" w:color="auto"/>
              <w:right w:val="single" w:sz="4" w:space="0" w:color="auto"/>
            </w:tcBorders>
            <w:shd w:val="clear" w:color="auto" w:fill="auto"/>
            <w:vAlign w:val="center"/>
          </w:tcPr>
          <w:p w:rsidR="00B7286E" w:rsidRPr="009263D7" w:rsidRDefault="00CB4B9E" w:rsidP="00A9336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投资工具发行人所属国家</w:t>
            </w:r>
            <w:r w:rsidRPr="00CB4B9E">
              <w:rPr>
                <w:rFonts w:ascii="宋体" w:hAnsi="宋体" w:cs="宋体"/>
                <w:color w:val="000000" w:themeColor="text1"/>
                <w:kern w:val="0"/>
                <w:sz w:val="18"/>
                <w:szCs w:val="18"/>
              </w:rPr>
              <w:t>/地区</w:t>
            </w:r>
          </w:p>
        </w:tc>
        <w:tc>
          <w:tcPr>
            <w:tcW w:w="727" w:type="dxa"/>
            <w:gridSpan w:val="2"/>
            <w:tcBorders>
              <w:top w:val="single" w:sz="8" w:space="0" w:color="auto"/>
              <w:left w:val="nil"/>
              <w:bottom w:val="single" w:sz="4" w:space="0" w:color="auto"/>
            </w:tcBorders>
            <w:shd w:val="clear" w:color="auto" w:fill="auto"/>
            <w:vAlign w:val="center"/>
          </w:tcPr>
          <w:p w:rsidR="00B7286E" w:rsidRPr="009263D7" w:rsidRDefault="00CB4B9E" w:rsidP="00A9336F">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投资工具发行人所属部门</w:t>
            </w:r>
            <w:r w:rsidRPr="00CB4B9E">
              <w:rPr>
                <w:rFonts w:ascii="宋体" w:hAnsi="宋体" w:cs="宋体"/>
                <w:color w:val="000000" w:themeColor="text1"/>
                <w:kern w:val="0"/>
                <w:sz w:val="18"/>
                <w:szCs w:val="18"/>
              </w:rPr>
              <w:t xml:space="preserve"> </w:t>
            </w:r>
          </w:p>
        </w:tc>
      </w:tr>
      <w:tr w:rsidR="000B0F38" w:rsidRPr="009263D7" w:rsidTr="000B0F38">
        <w:trPr>
          <w:gridAfter w:val="1"/>
          <w:wAfter w:w="27" w:type="dxa"/>
          <w:trHeight w:val="510"/>
        </w:trPr>
        <w:tc>
          <w:tcPr>
            <w:tcW w:w="682" w:type="dxa"/>
            <w:gridSpan w:val="2"/>
            <w:tcBorders>
              <w:top w:val="single" w:sz="4" w:space="0" w:color="FFFFFF" w:themeColor="background1"/>
              <w:left w:val="nil"/>
              <w:bottom w:val="single" w:sz="2" w:space="0" w:color="000000" w:themeColor="text1"/>
              <w:right w:val="nil"/>
            </w:tcBorders>
            <w:shd w:val="clear" w:color="auto" w:fill="auto"/>
            <w:noWrap/>
            <w:vAlign w:val="bottom"/>
          </w:tcPr>
          <w:p w:rsidR="00371B78" w:rsidRDefault="00CB4B9E">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H0201</w:t>
            </w:r>
          </w:p>
        </w:tc>
        <w:tc>
          <w:tcPr>
            <w:tcW w:w="672" w:type="dxa"/>
            <w:gridSpan w:val="2"/>
            <w:tcBorders>
              <w:top w:val="single" w:sz="4" w:space="0" w:color="FFFFFF" w:themeColor="background1"/>
              <w:left w:val="single" w:sz="4" w:space="0" w:color="auto"/>
              <w:bottom w:val="single" w:sz="2" w:space="0" w:color="000000" w:themeColor="text1"/>
              <w:right w:val="single" w:sz="4" w:space="0" w:color="auto"/>
            </w:tcBorders>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H0201CODE</w:t>
            </w:r>
          </w:p>
        </w:tc>
        <w:tc>
          <w:tcPr>
            <w:tcW w:w="686" w:type="dxa"/>
            <w:gridSpan w:val="2"/>
            <w:tcBorders>
              <w:top w:val="single" w:sz="4" w:space="0" w:color="FFFFFF" w:themeColor="background1"/>
              <w:left w:val="single" w:sz="4" w:space="0" w:color="auto"/>
              <w:bottom w:val="single" w:sz="2" w:space="0" w:color="000000" w:themeColor="text1"/>
              <w:right w:val="single" w:sz="4"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H0202</w:t>
            </w:r>
          </w:p>
        </w:tc>
        <w:tc>
          <w:tcPr>
            <w:tcW w:w="772" w:type="dxa"/>
            <w:gridSpan w:val="2"/>
            <w:tcBorders>
              <w:top w:val="single" w:sz="4" w:space="0" w:color="FFFFFF" w:themeColor="background1"/>
              <w:left w:val="nil"/>
              <w:bottom w:val="single" w:sz="2" w:space="0" w:color="000000" w:themeColor="text1"/>
              <w:right w:val="single" w:sz="4"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H0203</w:t>
            </w:r>
          </w:p>
        </w:tc>
        <w:tc>
          <w:tcPr>
            <w:tcW w:w="691" w:type="dxa"/>
            <w:gridSpan w:val="4"/>
            <w:tcBorders>
              <w:top w:val="single" w:sz="4" w:space="0" w:color="FFFFFF" w:themeColor="background1"/>
              <w:left w:val="nil"/>
              <w:bottom w:val="single" w:sz="2" w:space="0" w:color="000000" w:themeColor="text1"/>
              <w:right w:val="single" w:sz="4" w:space="0" w:color="auto"/>
            </w:tcBorders>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H0203CODE</w:t>
            </w:r>
          </w:p>
        </w:tc>
        <w:tc>
          <w:tcPr>
            <w:tcW w:w="693" w:type="dxa"/>
            <w:gridSpan w:val="3"/>
            <w:tcBorders>
              <w:top w:val="single" w:sz="4" w:space="0" w:color="FFFFFF" w:themeColor="background1"/>
              <w:left w:val="single" w:sz="4" w:space="0" w:color="auto"/>
              <w:bottom w:val="single" w:sz="2" w:space="0" w:color="000000" w:themeColor="text1"/>
              <w:right w:val="single" w:sz="4"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H0204</w:t>
            </w:r>
          </w:p>
        </w:tc>
        <w:tc>
          <w:tcPr>
            <w:tcW w:w="896" w:type="dxa"/>
            <w:gridSpan w:val="3"/>
            <w:tcBorders>
              <w:top w:val="single" w:sz="4" w:space="0" w:color="FFFFFF" w:themeColor="background1"/>
              <w:left w:val="nil"/>
              <w:bottom w:val="single" w:sz="2" w:space="0" w:color="000000" w:themeColor="text1"/>
              <w:right w:val="single" w:sz="2" w:space="0" w:color="000000" w:themeColor="text1"/>
            </w:tcBorders>
            <w:vAlign w:val="bottom"/>
          </w:tcPr>
          <w:p w:rsidR="00B7286E" w:rsidRPr="009263D7" w:rsidRDefault="00CB4B9E" w:rsidP="005D5C9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INVTYPE </w:t>
            </w:r>
          </w:p>
        </w:tc>
        <w:tc>
          <w:tcPr>
            <w:tcW w:w="713" w:type="dxa"/>
            <w:gridSpan w:val="2"/>
            <w:tcBorders>
              <w:top w:val="single" w:sz="4" w:space="0" w:color="FFFFFF" w:themeColor="background1"/>
              <w:left w:val="single" w:sz="2" w:space="0" w:color="000000" w:themeColor="text1"/>
              <w:bottom w:val="single" w:sz="2" w:space="0" w:color="000000" w:themeColor="text1"/>
              <w:right w:val="single" w:sz="2" w:space="0" w:color="000000" w:themeColor="text1"/>
            </w:tcBorders>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H0204CODE</w:t>
            </w:r>
          </w:p>
        </w:tc>
        <w:tc>
          <w:tcPr>
            <w:tcW w:w="742" w:type="dxa"/>
            <w:gridSpan w:val="2"/>
            <w:tcBorders>
              <w:top w:val="single" w:sz="4" w:space="0" w:color="FFFFFF" w:themeColor="background1"/>
              <w:left w:val="single" w:sz="2" w:space="0" w:color="000000" w:themeColor="text1"/>
              <w:bottom w:val="single" w:sz="2" w:space="0" w:color="000000" w:themeColor="text1"/>
              <w:right w:val="single" w:sz="4" w:space="0" w:color="auto"/>
            </w:tcBorders>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H0205</w:t>
            </w:r>
          </w:p>
        </w:tc>
        <w:tc>
          <w:tcPr>
            <w:tcW w:w="696" w:type="dxa"/>
            <w:gridSpan w:val="2"/>
            <w:tcBorders>
              <w:top w:val="single" w:sz="4" w:space="0" w:color="FFFFFF" w:themeColor="background1"/>
              <w:left w:val="nil"/>
              <w:bottom w:val="single" w:sz="2" w:space="0" w:color="000000" w:themeColor="text1"/>
              <w:right w:val="single" w:sz="4"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H0206</w:t>
            </w:r>
          </w:p>
        </w:tc>
        <w:tc>
          <w:tcPr>
            <w:tcW w:w="690" w:type="dxa"/>
            <w:gridSpan w:val="2"/>
            <w:tcBorders>
              <w:top w:val="single" w:sz="4" w:space="0" w:color="FFFFFF" w:themeColor="background1"/>
              <w:left w:val="nil"/>
              <w:bottom w:val="single" w:sz="2" w:space="0" w:color="000000" w:themeColor="text1"/>
              <w:right w:val="single" w:sz="4"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H0207</w:t>
            </w:r>
          </w:p>
        </w:tc>
        <w:tc>
          <w:tcPr>
            <w:tcW w:w="709" w:type="dxa"/>
            <w:gridSpan w:val="3"/>
            <w:tcBorders>
              <w:top w:val="single" w:sz="4" w:space="0" w:color="FFFFFF" w:themeColor="background1"/>
              <w:left w:val="nil"/>
              <w:bottom w:val="single" w:sz="2" w:space="0" w:color="000000" w:themeColor="text1"/>
              <w:right w:val="single" w:sz="4"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H0208</w:t>
            </w:r>
          </w:p>
        </w:tc>
        <w:tc>
          <w:tcPr>
            <w:tcW w:w="691" w:type="dxa"/>
            <w:gridSpan w:val="2"/>
            <w:tcBorders>
              <w:top w:val="single" w:sz="4" w:space="0" w:color="FFFFFF" w:themeColor="background1"/>
              <w:left w:val="nil"/>
              <w:bottom w:val="single" w:sz="2" w:space="0" w:color="000000" w:themeColor="text1"/>
              <w:right w:val="single" w:sz="4" w:space="0" w:color="auto"/>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H0209</w:t>
            </w:r>
          </w:p>
        </w:tc>
        <w:tc>
          <w:tcPr>
            <w:tcW w:w="687" w:type="dxa"/>
            <w:tcBorders>
              <w:top w:val="single" w:sz="4" w:space="0" w:color="FFFFFF" w:themeColor="background1"/>
              <w:left w:val="nil"/>
              <w:bottom w:val="single" w:sz="2" w:space="0" w:color="000000" w:themeColor="text1"/>
              <w:right w:val="single" w:sz="4" w:space="0" w:color="auto"/>
            </w:tcBorders>
            <w:shd w:val="clear" w:color="auto" w:fill="auto"/>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H0210</w:t>
            </w:r>
          </w:p>
        </w:tc>
        <w:tc>
          <w:tcPr>
            <w:tcW w:w="727" w:type="dxa"/>
            <w:gridSpan w:val="2"/>
            <w:tcBorders>
              <w:top w:val="single" w:sz="4" w:space="0" w:color="FFFFFF" w:themeColor="background1"/>
              <w:left w:val="nil"/>
              <w:bottom w:val="single" w:sz="2" w:space="0" w:color="000000" w:themeColor="text1"/>
            </w:tcBorders>
            <w:shd w:val="clear" w:color="auto" w:fill="auto"/>
            <w:noWrap/>
            <w:vAlign w:val="bottom"/>
          </w:tcPr>
          <w:p w:rsidR="00371B78"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H0211</w:t>
            </w:r>
          </w:p>
        </w:tc>
      </w:tr>
      <w:tr w:rsidR="00D1396C" w:rsidRPr="009263D7" w:rsidTr="000B0F38">
        <w:trPr>
          <w:gridAfter w:val="1"/>
          <w:wAfter w:w="27" w:type="dxa"/>
          <w:trHeight w:val="104"/>
        </w:trPr>
        <w:tc>
          <w:tcPr>
            <w:tcW w:w="682" w:type="dxa"/>
            <w:gridSpan w:val="2"/>
            <w:tcBorders>
              <w:top w:val="single" w:sz="2" w:space="0" w:color="000000" w:themeColor="text1"/>
              <w:left w:val="nil"/>
              <w:bottom w:val="single" w:sz="4" w:space="0" w:color="auto"/>
              <w:right w:val="nil"/>
            </w:tcBorders>
            <w:shd w:val="clear" w:color="auto" w:fill="auto"/>
            <w:noWrap/>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672" w:type="dxa"/>
            <w:gridSpan w:val="2"/>
            <w:tcBorders>
              <w:top w:val="single" w:sz="2" w:space="0" w:color="000000" w:themeColor="text1"/>
              <w:left w:val="single" w:sz="4" w:space="0" w:color="auto"/>
              <w:bottom w:val="single" w:sz="4" w:space="0" w:color="auto"/>
              <w:right w:val="single" w:sz="4" w:space="0" w:color="auto"/>
            </w:tcBorders>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686" w:type="dxa"/>
            <w:gridSpan w:val="2"/>
            <w:tcBorders>
              <w:top w:val="single" w:sz="2" w:space="0" w:color="000000" w:themeColor="text1"/>
              <w:left w:val="single" w:sz="4" w:space="0" w:color="auto"/>
              <w:bottom w:val="single" w:sz="4" w:space="0" w:color="auto"/>
              <w:right w:val="single" w:sz="4" w:space="0" w:color="auto"/>
            </w:tcBorders>
            <w:shd w:val="clear" w:color="auto" w:fill="auto"/>
            <w:noWrap/>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772" w:type="dxa"/>
            <w:gridSpan w:val="2"/>
            <w:tcBorders>
              <w:top w:val="single" w:sz="2" w:space="0" w:color="000000" w:themeColor="text1"/>
              <w:left w:val="nil"/>
              <w:bottom w:val="single" w:sz="4" w:space="0" w:color="auto"/>
              <w:right w:val="single" w:sz="4" w:space="0" w:color="auto"/>
            </w:tcBorders>
            <w:shd w:val="clear" w:color="auto" w:fill="auto"/>
            <w:noWrap/>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691" w:type="dxa"/>
            <w:gridSpan w:val="4"/>
            <w:tcBorders>
              <w:top w:val="single" w:sz="2" w:space="0" w:color="000000" w:themeColor="text1"/>
              <w:left w:val="nil"/>
              <w:bottom w:val="single" w:sz="4" w:space="0" w:color="auto"/>
              <w:right w:val="single" w:sz="4" w:space="0" w:color="auto"/>
            </w:tcBorders>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693" w:type="dxa"/>
            <w:gridSpan w:val="3"/>
            <w:tcBorders>
              <w:top w:val="single" w:sz="2" w:space="0" w:color="000000" w:themeColor="text1"/>
              <w:left w:val="single" w:sz="4" w:space="0" w:color="auto"/>
              <w:bottom w:val="single" w:sz="4" w:space="0" w:color="auto"/>
              <w:right w:val="single" w:sz="4" w:space="0" w:color="auto"/>
            </w:tcBorders>
            <w:shd w:val="clear" w:color="auto" w:fill="auto"/>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c>
          <w:tcPr>
            <w:tcW w:w="896" w:type="dxa"/>
            <w:gridSpan w:val="3"/>
            <w:tcBorders>
              <w:top w:val="single" w:sz="2" w:space="0" w:color="000000" w:themeColor="text1"/>
              <w:left w:val="nil"/>
              <w:bottom w:val="single" w:sz="4" w:space="0" w:color="auto"/>
              <w:right w:val="single" w:sz="2" w:space="0" w:color="000000" w:themeColor="text1"/>
            </w:tcBorders>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庚</w:t>
            </w:r>
          </w:p>
        </w:tc>
        <w:tc>
          <w:tcPr>
            <w:tcW w:w="713" w:type="dxa"/>
            <w:gridSpan w:val="2"/>
            <w:tcBorders>
              <w:top w:val="single" w:sz="2" w:space="0" w:color="000000" w:themeColor="text1"/>
              <w:left w:val="single" w:sz="2" w:space="0" w:color="000000" w:themeColor="text1"/>
              <w:bottom w:val="single" w:sz="4" w:space="0" w:color="auto"/>
              <w:right w:val="single" w:sz="2" w:space="0" w:color="000000" w:themeColor="text1"/>
            </w:tcBorders>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辛</w:t>
            </w:r>
          </w:p>
        </w:tc>
        <w:tc>
          <w:tcPr>
            <w:tcW w:w="742" w:type="dxa"/>
            <w:gridSpan w:val="2"/>
            <w:tcBorders>
              <w:top w:val="single" w:sz="2" w:space="0" w:color="000000" w:themeColor="text1"/>
              <w:left w:val="single" w:sz="2" w:space="0" w:color="000000" w:themeColor="text1"/>
              <w:bottom w:val="single" w:sz="4" w:space="0" w:color="auto"/>
              <w:right w:val="single" w:sz="4" w:space="0" w:color="auto"/>
            </w:tcBorders>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壬</w:t>
            </w:r>
          </w:p>
        </w:tc>
        <w:tc>
          <w:tcPr>
            <w:tcW w:w="696" w:type="dxa"/>
            <w:gridSpan w:val="2"/>
            <w:tcBorders>
              <w:top w:val="single" w:sz="2" w:space="0" w:color="000000" w:themeColor="text1"/>
              <w:left w:val="nil"/>
              <w:bottom w:val="single" w:sz="4" w:space="0" w:color="auto"/>
              <w:right w:val="single" w:sz="4" w:space="0" w:color="auto"/>
            </w:tcBorders>
            <w:shd w:val="clear" w:color="auto" w:fill="auto"/>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癸</w:t>
            </w:r>
          </w:p>
        </w:tc>
        <w:tc>
          <w:tcPr>
            <w:tcW w:w="690" w:type="dxa"/>
            <w:gridSpan w:val="2"/>
            <w:tcBorders>
              <w:top w:val="single" w:sz="2" w:space="0" w:color="000000" w:themeColor="text1"/>
              <w:left w:val="nil"/>
              <w:bottom w:val="single" w:sz="4" w:space="0" w:color="auto"/>
              <w:right w:val="single" w:sz="4" w:space="0" w:color="auto"/>
            </w:tcBorders>
            <w:shd w:val="clear" w:color="auto" w:fill="auto"/>
            <w:noWrap/>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子</w:t>
            </w:r>
          </w:p>
        </w:tc>
        <w:tc>
          <w:tcPr>
            <w:tcW w:w="709" w:type="dxa"/>
            <w:gridSpan w:val="3"/>
            <w:tcBorders>
              <w:top w:val="single" w:sz="2" w:space="0" w:color="000000" w:themeColor="text1"/>
              <w:left w:val="nil"/>
              <w:bottom w:val="single" w:sz="4" w:space="0" w:color="auto"/>
              <w:right w:val="single" w:sz="2" w:space="0" w:color="000000" w:themeColor="text1"/>
            </w:tcBorders>
            <w:shd w:val="clear" w:color="auto" w:fill="auto"/>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丑</w:t>
            </w:r>
          </w:p>
        </w:tc>
        <w:tc>
          <w:tcPr>
            <w:tcW w:w="691"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noWrap/>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寅</w:t>
            </w:r>
          </w:p>
        </w:tc>
        <w:tc>
          <w:tcPr>
            <w:tcW w:w="687"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rsidR="009F5A15" w:rsidRPr="009263D7" w:rsidRDefault="00CB4B9E" w:rsidP="00C571A5">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卯</w:t>
            </w:r>
          </w:p>
        </w:tc>
        <w:tc>
          <w:tcPr>
            <w:tcW w:w="727" w:type="dxa"/>
            <w:gridSpan w:val="2"/>
            <w:tcBorders>
              <w:top w:val="single" w:sz="2" w:space="0" w:color="000000" w:themeColor="text1"/>
              <w:left w:val="single" w:sz="2" w:space="0" w:color="000000" w:themeColor="text1"/>
              <w:bottom w:val="single" w:sz="2" w:space="0" w:color="000000" w:themeColor="text1"/>
            </w:tcBorders>
            <w:shd w:val="clear" w:color="auto" w:fill="auto"/>
            <w:noWrap/>
            <w:vAlign w:val="center"/>
          </w:tcPr>
          <w:p w:rsidR="00000000" w:rsidRDefault="00CB4B9E">
            <w:pPr>
              <w:widowControl/>
              <w:ind w:firstLineChars="50" w:firstLine="9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辰</w:t>
            </w:r>
          </w:p>
        </w:tc>
      </w:tr>
      <w:tr w:rsidR="004C252D" w:rsidRPr="009263D7" w:rsidTr="004C252D">
        <w:trPr>
          <w:gridBefore w:val="1"/>
          <w:trHeight w:val="820"/>
        </w:trPr>
        <w:tc>
          <w:tcPr>
            <w:tcW w:w="723" w:type="dxa"/>
            <w:gridSpan w:val="2"/>
            <w:tcBorders>
              <w:top w:val="nil"/>
              <w:left w:val="nil"/>
              <w:bottom w:val="single" w:sz="8" w:space="0" w:color="000000" w:themeColor="text1"/>
              <w:right w:val="nil"/>
            </w:tcBorders>
            <w:shd w:val="clear" w:color="auto" w:fill="auto"/>
            <w:noWrap/>
            <w:vAlign w:val="center"/>
          </w:tcPr>
          <w:p w:rsidR="00C571A5" w:rsidRPr="009263D7" w:rsidRDefault="00C571A5" w:rsidP="00914360">
            <w:pPr>
              <w:widowControl/>
              <w:jc w:val="left"/>
              <w:rPr>
                <w:rFonts w:ascii="宋体"/>
                <w:color w:val="000000" w:themeColor="text1"/>
                <w:sz w:val="18"/>
              </w:rPr>
            </w:pPr>
          </w:p>
          <w:p w:rsidR="00C571A5" w:rsidRPr="009263D7" w:rsidRDefault="00C571A5" w:rsidP="00914360">
            <w:pPr>
              <w:widowControl/>
              <w:jc w:val="left"/>
              <w:rPr>
                <w:rFonts w:ascii="宋体" w:hAnsi="宋体" w:cs="宋体"/>
                <w:color w:val="000000" w:themeColor="text1"/>
                <w:kern w:val="0"/>
                <w:sz w:val="18"/>
                <w:szCs w:val="18"/>
              </w:rPr>
            </w:pPr>
          </w:p>
          <w:p w:rsidR="00AE553A" w:rsidRPr="009263D7" w:rsidRDefault="00CB4B9E" w:rsidP="0091436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701" w:type="dxa"/>
            <w:gridSpan w:val="2"/>
            <w:tcBorders>
              <w:top w:val="nil"/>
              <w:left w:val="nil"/>
              <w:bottom w:val="single" w:sz="8" w:space="0" w:color="000000" w:themeColor="text1"/>
              <w:right w:val="nil"/>
            </w:tcBorders>
          </w:tcPr>
          <w:p w:rsidR="00AE553A" w:rsidRPr="009263D7" w:rsidRDefault="00AE553A" w:rsidP="00914360">
            <w:pPr>
              <w:widowControl/>
              <w:jc w:val="left"/>
              <w:rPr>
                <w:rFonts w:ascii="宋体" w:hAnsi="宋体" w:cs="宋体"/>
                <w:color w:val="000000" w:themeColor="text1"/>
                <w:kern w:val="0"/>
                <w:sz w:val="18"/>
                <w:szCs w:val="18"/>
              </w:rPr>
            </w:pPr>
          </w:p>
        </w:tc>
        <w:tc>
          <w:tcPr>
            <w:tcW w:w="728" w:type="dxa"/>
            <w:gridSpan w:val="2"/>
            <w:tcBorders>
              <w:top w:val="nil"/>
              <w:left w:val="nil"/>
              <w:bottom w:val="single" w:sz="8" w:space="0" w:color="000000" w:themeColor="text1"/>
              <w:right w:val="nil"/>
            </w:tcBorders>
            <w:shd w:val="clear" w:color="auto" w:fill="auto"/>
            <w:noWrap/>
            <w:vAlign w:val="center"/>
          </w:tcPr>
          <w:p w:rsidR="00AE553A" w:rsidRPr="009263D7" w:rsidRDefault="00AE553A" w:rsidP="00914360">
            <w:pPr>
              <w:widowControl/>
              <w:jc w:val="left"/>
              <w:rPr>
                <w:rFonts w:ascii="宋体" w:hAnsi="宋体" w:cs="宋体"/>
                <w:color w:val="000000" w:themeColor="text1"/>
                <w:kern w:val="0"/>
                <w:sz w:val="18"/>
                <w:szCs w:val="18"/>
              </w:rPr>
            </w:pPr>
          </w:p>
        </w:tc>
        <w:tc>
          <w:tcPr>
            <w:tcW w:w="698" w:type="dxa"/>
            <w:gridSpan w:val="2"/>
            <w:tcBorders>
              <w:top w:val="nil"/>
              <w:left w:val="nil"/>
              <w:bottom w:val="single" w:sz="8" w:space="0" w:color="000000" w:themeColor="text1"/>
              <w:right w:val="nil"/>
            </w:tcBorders>
          </w:tcPr>
          <w:p w:rsidR="00AE553A" w:rsidRPr="009263D7" w:rsidRDefault="00AE553A" w:rsidP="00914360">
            <w:pPr>
              <w:widowControl/>
              <w:jc w:val="left"/>
              <w:rPr>
                <w:rFonts w:ascii="宋体" w:hAnsi="宋体" w:cs="宋体"/>
                <w:color w:val="000000" w:themeColor="text1"/>
                <w:kern w:val="0"/>
                <w:sz w:val="18"/>
                <w:szCs w:val="18"/>
              </w:rPr>
            </w:pPr>
          </w:p>
        </w:tc>
        <w:tc>
          <w:tcPr>
            <w:tcW w:w="1446" w:type="dxa"/>
            <w:gridSpan w:val="7"/>
            <w:tcBorders>
              <w:top w:val="nil"/>
              <w:left w:val="nil"/>
              <w:bottom w:val="single" w:sz="8" w:space="0" w:color="000000" w:themeColor="text1"/>
              <w:right w:val="nil"/>
            </w:tcBorders>
            <w:shd w:val="clear" w:color="auto" w:fill="auto"/>
            <w:noWrap/>
            <w:vAlign w:val="center"/>
          </w:tcPr>
          <w:p w:rsidR="00AE553A" w:rsidRPr="009263D7" w:rsidRDefault="00AE553A" w:rsidP="00914360">
            <w:pPr>
              <w:widowControl/>
              <w:jc w:val="left"/>
              <w:rPr>
                <w:rFonts w:ascii="宋体" w:hAnsi="宋体" w:cs="宋体"/>
                <w:color w:val="000000" w:themeColor="text1"/>
                <w:kern w:val="0"/>
                <w:sz w:val="18"/>
                <w:szCs w:val="18"/>
              </w:rPr>
            </w:pPr>
          </w:p>
        </w:tc>
        <w:tc>
          <w:tcPr>
            <w:tcW w:w="714" w:type="dxa"/>
            <w:gridSpan w:val="2"/>
            <w:tcBorders>
              <w:top w:val="nil"/>
              <w:left w:val="nil"/>
              <w:bottom w:val="single" w:sz="8" w:space="0" w:color="000000" w:themeColor="text1"/>
              <w:right w:val="nil"/>
            </w:tcBorders>
          </w:tcPr>
          <w:p w:rsidR="00AE553A" w:rsidRPr="009263D7" w:rsidRDefault="00AE553A" w:rsidP="00914360">
            <w:pPr>
              <w:widowControl/>
              <w:jc w:val="left"/>
              <w:rPr>
                <w:rFonts w:ascii="宋体" w:hAnsi="宋体" w:cs="宋体"/>
                <w:color w:val="000000" w:themeColor="text1"/>
                <w:kern w:val="0"/>
                <w:sz w:val="18"/>
                <w:szCs w:val="18"/>
              </w:rPr>
            </w:pPr>
          </w:p>
        </w:tc>
        <w:tc>
          <w:tcPr>
            <w:tcW w:w="1427" w:type="dxa"/>
            <w:gridSpan w:val="4"/>
            <w:tcBorders>
              <w:top w:val="nil"/>
              <w:left w:val="nil"/>
              <w:bottom w:val="single" w:sz="8" w:space="0" w:color="000000" w:themeColor="text1"/>
              <w:right w:val="nil"/>
            </w:tcBorders>
            <w:shd w:val="clear" w:color="auto" w:fill="auto"/>
            <w:noWrap/>
            <w:vAlign w:val="center"/>
          </w:tcPr>
          <w:p w:rsidR="00AE553A" w:rsidRPr="009263D7" w:rsidRDefault="00AE553A" w:rsidP="00914360">
            <w:pPr>
              <w:widowControl/>
              <w:jc w:val="left"/>
              <w:rPr>
                <w:rFonts w:ascii="宋体" w:hAnsi="宋体" w:cs="宋体"/>
                <w:color w:val="000000" w:themeColor="text1"/>
                <w:kern w:val="0"/>
                <w:sz w:val="18"/>
                <w:szCs w:val="18"/>
              </w:rPr>
            </w:pPr>
          </w:p>
        </w:tc>
        <w:tc>
          <w:tcPr>
            <w:tcW w:w="1571" w:type="dxa"/>
            <w:gridSpan w:val="5"/>
            <w:tcBorders>
              <w:top w:val="nil"/>
              <w:left w:val="nil"/>
              <w:bottom w:val="single" w:sz="8" w:space="0" w:color="000000" w:themeColor="text1"/>
              <w:right w:val="nil"/>
            </w:tcBorders>
            <w:shd w:val="clear" w:color="auto" w:fill="auto"/>
            <w:noWrap/>
            <w:vAlign w:val="center"/>
          </w:tcPr>
          <w:p w:rsidR="00AE553A" w:rsidRPr="009263D7" w:rsidRDefault="00AE553A" w:rsidP="00914360">
            <w:pPr>
              <w:widowControl/>
              <w:jc w:val="left"/>
              <w:rPr>
                <w:rFonts w:ascii="宋体" w:hAnsi="宋体" w:cs="宋体"/>
                <w:color w:val="000000" w:themeColor="text1"/>
                <w:kern w:val="0"/>
                <w:sz w:val="18"/>
                <w:szCs w:val="18"/>
              </w:rPr>
            </w:pPr>
          </w:p>
        </w:tc>
        <w:tc>
          <w:tcPr>
            <w:tcW w:w="735" w:type="dxa"/>
            <w:gridSpan w:val="3"/>
            <w:tcBorders>
              <w:top w:val="nil"/>
              <w:left w:val="nil"/>
              <w:bottom w:val="single" w:sz="8" w:space="0" w:color="000000" w:themeColor="text1"/>
              <w:right w:val="nil"/>
            </w:tcBorders>
            <w:shd w:val="clear" w:color="auto" w:fill="auto"/>
            <w:noWrap/>
            <w:vAlign w:val="center"/>
          </w:tcPr>
          <w:p w:rsidR="00AE553A" w:rsidRPr="009263D7" w:rsidRDefault="00AE553A" w:rsidP="00914360">
            <w:pPr>
              <w:widowControl/>
              <w:jc w:val="left"/>
              <w:rPr>
                <w:rFonts w:ascii="宋体" w:hAnsi="宋体" w:cs="宋体"/>
                <w:color w:val="000000" w:themeColor="text1"/>
                <w:kern w:val="0"/>
                <w:sz w:val="18"/>
                <w:szCs w:val="18"/>
              </w:rPr>
            </w:pPr>
          </w:p>
        </w:tc>
        <w:tc>
          <w:tcPr>
            <w:tcW w:w="437" w:type="dxa"/>
            <w:tcBorders>
              <w:top w:val="nil"/>
              <w:left w:val="nil"/>
              <w:bottom w:val="single" w:sz="8" w:space="0" w:color="000000" w:themeColor="text1"/>
              <w:right w:val="nil"/>
            </w:tcBorders>
            <w:shd w:val="clear" w:color="auto" w:fill="auto"/>
            <w:noWrap/>
            <w:vAlign w:val="center"/>
          </w:tcPr>
          <w:p w:rsidR="00AE553A" w:rsidRPr="009263D7" w:rsidRDefault="00AE553A" w:rsidP="00914360">
            <w:pPr>
              <w:widowControl/>
              <w:jc w:val="left"/>
              <w:rPr>
                <w:rFonts w:ascii="宋体" w:hAnsi="宋体" w:cs="宋体"/>
                <w:color w:val="000000" w:themeColor="text1"/>
                <w:kern w:val="0"/>
                <w:sz w:val="18"/>
                <w:szCs w:val="18"/>
              </w:rPr>
            </w:pPr>
          </w:p>
        </w:tc>
        <w:tc>
          <w:tcPr>
            <w:tcW w:w="709" w:type="dxa"/>
            <w:gridSpan w:val="2"/>
            <w:tcBorders>
              <w:top w:val="nil"/>
              <w:left w:val="nil"/>
              <w:bottom w:val="single" w:sz="8" w:space="0" w:color="000000" w:themeColor="text1"/>
              <w:right w:val="nil"/>
            </w:tcBorders>
            <w:shd w:val="clear" w:color="auto" w:fill="auto"/>
            <w:noWrap/>
            <w:vAlign w:val="center"/>
          </w:tcPr>
          <w:p w:rsidR="00AE553A" w:rsidRPr="009263D7" w:rsidRDefault="00AE553A" w:rsidP="00914360">
            <w:pPr>
              <w:widowControl/>
              <w:jc w:val="left"/>
              <w:rPr>
                <w:rFonts w:ascii="宋体" w:hAnsi="宋体" w:cs="宋体"/>
                <w:color w:val="000000" w:themeColor="text1"/>
                <w:kern w:val="0"/>
                <w:sz w:val="18"/>
                <w:szCs w:val="18"/>
              </w:rPr>
            </w:pPr>
          </w:p>
        </w:tc>
        <w:tc>
          <w:tcPr>
            <w:tcW w:w="709" w:type="dxa"/>
            <w:gridSpan w:val="2"/>
            <w:tcBorders>
              <w:top w:val="nil"/>
              <w:left w:val="nil"/>
              <w:bottom w:val="single" w:sz="8" w:space="0" w:color="000000" w:themeColor="text1"/>
              <w:right w:val="nil"/>
            </w:tcBorders>
            <w:shd w:val="clear" w:color="auto" w:fill="auto"/>
            <w:noWrap/>
            <w:vAlign w:val="center"/>
          </w:tcPr>
          <w:p w:rsidR="00AE553A" w:rsidRPr="009263D7" w:rsidRDefault="00AE553A" w:rsidP="00914360">
            <w:pPr>
              <w:widowControl/>
              <w:jc w:val="left"/>
              <w:rPr>
                <w:rFonts w:ascii="宋体" w:hAnsi="宋体" w:cs="宋体"/>
                <w:color w:val="000000" w:themeColor="text1"/>
                <w:kern w:val="0"/>
                <w:sz w:val="18"/>
                <w:szCs w:val="18"/>
              </w:rPr>
            </w:pPr>
          </w:p>
        </w:tc>
      </w:tr>
      <w:tr w:rsidR="00A01403" w:rsidRPr="009263D7" w:rsidTr="004C252D">
        <w:trPr>
          <w:gridBefore w:val="1"/>
          <w:trHeight w:val="410"/>
        </w:trPr>
        <w:tc>
          <w:tcPr>
            <w:tcW w:w="723" w:type="dxa"/>
            <w:gridSpan w:val="2"/>
            <w:tcBorders>
              <w:top w:val="single" w:sz="8" w:space="0" w:color="000000" w:themeColor="text1"/>
              <w:left w:val="nil"/>
              <w:bottom w:val="single" w:sz="8" w:space="0" w:color="auto"/>
              <w:right w:val="nil"/>
            </w:tcBorders>
            <w:shd w:val="clear" w:color="auto" w:fill="auto"/>
            <w:noWrap/>
            <w:vAlign w:val="center"/>
          </w:tcPr>
          <w:p w:rsidR="00A01403" w:rsidRPr="009263D7" w:rsidDel="00C571A5" w:rsidRDefault="00A01403" w:rsidP="00914360">
            <w:pPr>
              <w:jc w:val="left"/>
              <w:rPr>
                <w:rFonts w:ascii="宋体"/>
                <w:color w:val="000000" w:themeColor="text1"/>
                <w:sz w:val="18"/>
              </w:rPr>
            </w:pPr>
          </w:p>
        </w:tc>
        <w:tc>
          <w:tcPr>
            <w:tcW w:w="701" w:type="dxa"/>
            <w:gridSpan w:val="2"/>
            <w:tcBorders>
              <w:top w:val="single" w:sz="8" w:space="0" w:color="000000" w:themeColor="text1"/>
              <w:left w:val="nil"/>
              <w:bottom w:val="single" w:sz="8" w:space="0" w:color="auto"/>
              <w:right w:val="nil"/>
            </w:tcBorders>
          </w:tcPr>
          <w:p w:rsidR="00A01403" w:rsidRPr="009263D7" w:rsidRDefault="00A01403" w:rsidP="00914360">
            <w:pPr>
              <w:widowControl/>
              <w:jc w:val="left"/>
              <w:rPr>
                <w:rFonts w:ascii="宋体" w:hAnsi="宋体" w:cs="宋体"/>
                <w:color w:val="000000" w:themeColor="text1"/>
                <w:kern w:val="0"/>
                <w:sz w:val="18"/>
                <w:szCs w:val="18"/>
              </w:rPr>
            </w:pPr>
          </w:p>
        </w:tc>
        <w:tc>
          <w:tcPr>
            <w:tcW w:w="728" w:type="dxa"/>
            <w:gridSpan w:val="2"/>
            <w:tcBorders>
              <w:top w:val="single" w:sz="8" w:space="0" w:color="000000" w:themeColor="text1"/>
              <w:left w:val="nil"/>
              <w:bottom w:val="single" w:sz="8" w:space="0" w:color="auto"/>
              <w:right w:val="nil"/>
            </w:tcBorders>
            <w:shd w:val="clear" w:color="auto" w:fill="auto"/>
            <w:noWrap/>
            <w:vAlign w:val="center"/>
          </w:tcPr>
          <w:p w:rsidR="00A01403" w:rsidRPr="009263D7" w:rsidRDefault="00A01403" w:rsidP="00914360">
            <w:pPr>
              <w:widowControl/>
              <w:jc w:val="left"/>
              <w:rPr>
                <w:rFonts w:ascii="宋体" w:hAnsi="宋体" w:cs="宋体"/>
                <w:color w:val="000000" w:themeColor="text1"/>
                <w:kern w:val="0"/>
                <w:sz w:val="18"/>
                <w:szCs w:val="18"/>
              </w:rPr>
            </w:pPr>
          </w:p>
        </w:tc>
        <w:tc>
          <w:tcPr>
            <w:tcW w:w="698" w:type="dxa"/>
            <w:gridSpan w:val="2"/>
            <w:tcBorders>
              <w:top w:val="single" w:sz="8" w:space="0" w:color="000000" w:themeColor="text1"/>
              <w:left w:val="nil"/>
              <w:bottom w:val="single" w:sz="8" w:space="0" w:color="auto"/>
              <w:right w:val="nil"/>
            </w:tcBorders>
          </w:tcPr>
          <w:p w:rsidR="00A01403" w:rsidRPr="009263D7" w:rsidRDefault="00A01403" w:rsidP="00914360">
            <w:pPr>
              <w:widowControl/>
              <w:jc w:val="left"/>
              <w:rPr>
                <w:rFonts w:ascii="宋体" w:hAnsi="宋体" w:cs="宋体"/>
                <w:color w:val="000000" w:themeColor="text1"/>
                <w:kern w:val="0"/>
                <w:sz w:val="18"/>
                <w:szCs w:val="18"/>
              </w:rPr>
            </w:pPr>
          </w:p>
        </w:tc>
        <w:tc>
          <w:tcPr>
            <w:tcW w:w="1446" w:type="dxa"/>
            <w:gridSpan w:val="7"/>
            <w:tcBorders>
              <w:top w:val="single" w:sz="8" w:space="0" w:color="000000" w:themeColor="text1"/>
              <w:left w:val="nil"/>
              <w:bottom w:val="single" w:sz="8" w:space="0" w:color="auto"/>
              <w:right w:val="nil"/>
            </w:tcBorders>
            <w:shd w:val="clear" w:color="auto" w:fill="auto"/>
            <w:noWrap/>
            <w:vAlign w:val="center"/>
          </w:tcPr>
          <w:p w:rsidR="00A01403" w:rsidRPr="009263D7" w:rsidRDefault="00A01403" w:rsidP="00914360">
            <w:pPr>
              <w:widowControl/>
              <w:jc w:val="left"/>
              <w:rPr>
                <w:rFonts w:ascii="宋体" w:hAnsi="宋体" w:cs="宋体"/>
                <w:color w:val="000000" w:themeColor="text1"/>
                <w:kern w:val="0"/>
                <w:sz w:val="18"/>
                <w:szCs w:val="18"/>
              </w:rPr>
            </w:pPr>
          </w:p>
        </w:tc>
        <w:tc>
          <w:tcPr>
            <w:tcW w:w="714" w:type="dxa"/>
            <w:gridSpan w:val="2"/>
            <w:tcBorders>
              <w:top w:val="single" w:sz="8" w:space="0" w:color="000000" w:themeColor="text1"/>
              <w:left w:val="nil"/>
              <w:bottom w:val="single" w:sz="8" w:space="0" w:color="auto"/>
              <w:right w:val="nil"/>
            </w:tcBorders>
          </w:tcPr>
          <w:p w:rsidR="00A01403" w:rsidRPr="009263D7" w:rsidRDefault="00A01403" w:rsidP="00914360">
            <w:pPr>
              <w:widowControl/>
              <w:jc w:val="left"/>
              <w:rPr>
                <w:rFonts w:ascii="宋体" w:hAnsi="宋体" w:cs="宋体"/>
                <w:color w:val="000000" w:themeColor="text1"/>
                <w:kern w:val="0"/>
                <w:sz w:val="18"/>
                <w:szCs w:val="18"/>
              </w:rPr>
            </w:pPr>
          </w:p>
        </w:tc>
        <w:tc>
          <w:tcPr>
            <w:tcW w:w="1427" w:type="dxa"/>
            <w:gridSpan w:val="4"/>
            <w:tcBorders>
              <w:top w:val="single" w:sz="8" w:space="0" w:color="000000" w:themeColor="text1"/>
              <w:left w:val="nil"/>
              <w:bottom w:val="single" w:sz="8" w:space="0" w:color="auto"/>
              <w:right w:val="nil"/>
            </w:tcBorders>
            <w:shd w:val="clear" w:color="auto" w:fill="auto"/>
            <w:noWrap/>
            <w:vAlign w:val="center"/>
          </w:tcPr>
          <w:p w:rsidR="00A01403" w:rsidRPr="009263D7" w:rsidRDefault="00A01403" w:rsidP="00914360">
            <w:pPr>
              <w:widowControl/>
              <w:jc w:val="left"/>
              <w:rPr>
                <w:rFonts w:ascii="宋体" w:hAnsi="宋体" w:cs="宋体"/>
                <w:color w:val="000000" w:themeColor="text1"/>
                <w:kern w:val="0"/>
                <w:sz w:val="18"/>
                <w:szCs w:val="18"/>
              </w:rPr>
            </w:pPr>
          </w:p>
        </w:tc>
        <w:tc>
          <w:tcPr>
            <w:tcW w:w="1571" w:type="dxa"/>
            <w:gridSpan w:val="5"/>
            <w:tcBorders>
              <w:top w:val="single" w:sz="8" w:space="0" w:color="000000" w:themeColor="text1"/>
              <w:left w:val="nil"/>
              <w:bottom w:val="single" w:sz="8" w:space="0" w:color="auto"/>
              <w:right w:val="nil"/>
            </w:tcBorders>
            <w:shd w:val="clear" w:color="auto" w:fill="auto"/>
            <w:noWrap/>
            <w:vAlign w:val="center"/>
          </w:tcPr>
          <w:p w:rsidR="00A01403" w:rsidRPr="009263D7" w:rsidRDefault="00A01403" w:rsidP="00914360">
            <w:pPr>
              <w:widowControl/>
              <w:jc w:val="left"/>
              <w:rPr>
                <w:rFonts w:ascii="宋体" w:hAnsi="宋体" w:cs="宋体"/>
                <w:color w:val="000000" w:themeColor="text1"/>
                <w:kern w:val="0"/>
                <w:sz w:val="18"/>
                <w:szCs w:val="18"/>
              </w:rPr>
            </w:pPr>
          </w:p>
        </w:tc>
        <w:tc>
          <w:tcPr>
            <w:tcW w:w="735" w:type="dxa"/>
            <w:gridSpan w:val="3"/>
            <w:tcBorders>
              <w:top w:val="single" w:sz="8" w:space="0" w:color="000000" w:themeColor="text1"/>
              <w:left w:val="nil"/>
              <w:bottom w:val="single" w:sz="8" w:space="0" w:color="auto"/>
              <w:right w:val="nil"/>
            </w:tcBorders>
            <w:shd w:val="clear" w:color="auto" w:fill="auto"/>
            <w:noWrap/>
            <w:vAlign w:val="center"/>
          </w:tcPr>
          <w:p w:rsidR="00A01403" w:rsidRPr="009263D7" w:rsidRDefault="00A01403" w:rsidP="00914360">
            <w:pPr>
              <w:widowControl/>
              <w:jc w:val="left"/>
              <w:rPr>
                <w:rFonts w:ascii="宋体" w:hAnsi="宋体" w:cs="宋体"/>
                <w:color w:val="000000" w:themeColor="text1"/>
                <w:kern w:val="0"/>
                <w:sz w:val="18"/>
                <w:szCs w:val="18"/>
              </w:rPr>
            </w:pPr>
          </w:p>
        </w:tc>
        <w:tc>
          <w:tcPr>
            <w:tcW w:w="437" w:type="dxa"/>
            <w:tcBorders>
              <w:top w:val="single" w:sz="8" w:space="0" w:color="000000" w:themeColor="text1"/>
              <w:left w:val="nil"/>
              <w:bottom w:val="single" w:sz="8" w:space="0" w:color="auto"/>
              <w:right w:val="nil"/>
            </w:tcBorders>
            <w:shd w:val="clear" w:color="auto" w:fill="auto"/>
            <w:noWrap/>
            <w:vAlign w:val="center"/>
          </w:tcPr>
          <w:p w:rsidR="00A01403" w:rsidRPr="009263D7" w:rsidRDefault="00A01403" w:rsidP="00914360">
            <w:pPr>
              <w:widowControl/>
              <w:jc w:val="left"/>
              <w:rPr>
                <w:rFonts w:ascii="宋体" w:hAnsi="宋体" w:cs="宋体"/>
                <w:color w:val="000000" w:themeColor="text1"/>
                <w:kern w:val="0"/>
                <w:sz w:val="18"/>
                <w:szCs w:val="18"/>
              </w:rPr>
            </w:pPr>
          </w:p>
        </w:tc>
        <w:tc>
          <w:tcPr>
            <w:tcW w:w="709" w:type="dxa"/>
            <w:gridSpan w:val="2"/>
            <w:tcBorders>
              <w:top w:val="single" w:sz="8" w:space="0" w:color="000000" w:themeColor="text1"/>
              <w:left w:val="nil"/>
              <w:bottom w:val="single" w:sz="8" w:space="0" w:color="auto"/>
              <w:right w:val="nil"/>
            </w:tcBorders>
            <w:shd w:val="clear" w:color="auto" w:fill="auto"/>
            <w:noWrap/>
            <w:vAlign w:val="center"/>
          </w:tcPr>
          <w:p w:rsidR="00A01403" w:rsidRPr="009263D7" w:rsidRDefault="00A01403" w:rsidP="00914360">
            <w:pPr>
              <w:widowControl/>
              <w:jc w:val="left"/>
              <w:rPr>
                <w:rFonts w:ascii="宋体" w:hAnsi="宋体" w:cs="宋体"/>
                <w:color w:val="000000" w:themeColor="text1"/>
                <w:kern w:val="0"/>
                <w:sz w:val="18"/>
                <w:szCs w:val="18"/>
              </w:rPr>
            </w:pPr>
          </w:p>
        </w:tc>
        <w:tc>
          <w:tcPr>
            <w:tcW w:w="709" w:type="dxa"/>
            <w:gridSpan w:val="2"/>
            <w:tcBorders>
              <w:top w:val="single" w:sz="8" w:space="0" w:color="000000" w:themeColor="text1"/>
              <w:left w:val="nil"/>
              <w:bottom w:val="single" w:sz="8" w:space="0" w:color="auto"/>
              <w:right w:val="nil"/>
            </w:tcBorders>
            <w:shd w:val="clear" w:color="auto" w:fill="auto"/>
            <w:noWrap/>
            <w:vAlign w:val="center"/>
          </w:tcPr>
          <w:p w:rsidR="00A01403" w:rsidRPr="009263D7" w:rsidRDefault="00A01403" w:rsidP="00914360">
            <w:pPr>
              <w:widowControl/>
              <w:jc w:val="left"/>
              <w:rPr>
                <w:rFonts w:ascii="宋体" w:hAnsi="宋体" w:cs="宋体"/>
                <w:color w:val="000000" w:themeColor="text1"/>
                <w:kern w:val="0"/>
                <w:sz w:val="18"/>
                <w:szCs w:val="18"/>
              </w:rPr>
            </w:pPr>
          </w:p>
        </w:tc>
      </w:tr>
      <w:tr w:rsidR="004C252D" w:rsidRPr="009263D7" w:rsidTr="004C252D">
        <w:trPr>
          <w:gridBefore w:val="1"/>
          <w:trHeight w:val="285"/>
        </w:trPr>
        <w:tc>
          <w:tcPr>
            <w:tcW w:w="723" w:type="dxa"/>
            <w:gridSpan w:val="2"/>
            <w:vMerge w:val="restart"/>
            <w:tcBorders>
              <w:top w:val="single" w:sz="8" w:space="0" w:color="auto"/>
              <w:left w:val="nil"/>
              <w:right w:val="single" w:sz="4" w:space="0" w:color="auto"/>
            </w:tcBorders>
            <w:shd w:val="clear" w:color="auto" w:fill="auto"/>
            <w:vAlign w:val="center"/>
          </w:tcPr>
          <w:p w:rsidR="00AE553A" w:rsidRPr="009263D7" w:rsidRDefault="00CB4B9E" w:rsidP="0091436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投资工具发行人与居民委托人的关系</w:t>
            </w:r>
          </w:p>
          <w:p w:rsidR="00AE553A" w:rsidRPr="009263D7" w:rsidRDefault="00AE553A" w:rsidP="00914360">
            <w:pPr>
              <w:jc w:val="center"/>
              <w:rPr>
                <w:rFonts w:ascii="宋体" w:hAnsi="宋体" w:cs="宋体"/>
                <w:color w:val="000000" w:themeColor="text1"/>
                <w:kern w:val="0"/>
                <w:sz w:val="18"/>
                <w:szCs w:val="18"/>
              </w:rPr>
            </w:pPr>
          </w:p>
        </w:tc>
        <w:tc>
          <w:tcPr>
            <w:tcW w:w="701" w:type="dxa"/>
            <w:gridSpan w:val="2"/>
            <w:tcBorders>
              <w:top w:val="single" w:sz="8" w:space="0" w:color="auto"/>
              <w:left w:val="single" w:sz="4" w:space="0" w:color="auto"/>
              <w:right w:val="single" w:sz="4" w:space="0" w:color="auto"/>
            </w:tcBorders>
          </w:tcPr>
          <w:p w:rsidR="00AE553A" w:rsidRPr="009263D7" w:rsidRDefault="00AE553A" w:rsidP="00914360">
            <w:pPr>
              <w:widowControl/>
              <w:jc w:val="center"/>
              <w:rPr>
                <w:rFonts w:ascii="宋体" w:hAnsi="宋体" w:cs="宋体"/>
                <w:color w:val="000000" w:themeColor="text1"/>
                <w:kern w:val="0"/>
                <w:sz w:val="18"/>
                <w:szCs w:val="18"/>
              </w:rPr>
            </w:pPr>
          </w:p>
        </w:tc>
        <w:tc>
          <w:tcPr>
            <w:tcW w:w="728" w:type="dxa"/>
            <w:gridSpan w:val="2"/>
            <w:tcBorders>
              <w:top w:val="single" w:sz="8" w:space="0" w:color="auto"/>
              <w:left w:val="single" w:sz="4" w:space="0" w:color="auto"/>
              <w:right w:val="single" w:sz="4" w:space="0" w:color="auto"/>
            </w:tcBorders>
          </w:tcPr>
          <w:p w:rsidR="00AE553A" w:rsidRPr="009263D7" w:rsidRDefault="00AE553A" w:rsidP="00914360">
            <w:pPr>
              <w:widowControl/>
              <w:jc w:val="center"/>
              <w:rPr>
                <w:rFonts w:ascii="宋体" w:hAnsi="宋体" w:cs="宋体"/>
                <w:color w:val="000000" w:themeColor="text1"/>
                <w:kern w:val="0"/>
                <w:sz w:val="18"/>
                <w:szCs w:val="18"/>
              </w:rPr>
            </w:pPr>
          </w:p>
        </w:tc>
        <w:tc>
          <w:tcPr>
            <w:tcW w:w="714" w:type="dxa"/>
            <w:gridSpan w:val="3"/>
            <w:tcBorders>
              <w:top w:val="single" w:sz="8" w:space="0" w:color="auto"/>
              <w:left w:val="single" w:sz="4" w:space="0" w:color="auto"/>
              <w:right w:val="single" w:sz="4" w:space="0" w:color="auto"/>
            </w:tcBorders>
          </w:tcPr>
          <w:p w:rsidR="00AE553A" w:rsidRPr="009263D7" w:rsidRDefault="00AE553A" w:rsidP="00914360">
            <w:pPr>
              <w:widowControl/>
              <w:jc w:val="center"/>
              <w:rPr>
                <w:rFonts w:ascii="宋体" w:hAnsi="宋体" w:cs="宋体"/>
                <w:color w:val="000000" w:themeColor="text1"/>
                <w:kern w:val="0"/>
                <w:sz w:val="18"/>
                <w:szCs w:val="18"/>
              </w:rPr>
            </w:pPr>
          </w:p>
        </w:tc>
        <w:tc>
          <w:tcPr>
            <w:tcW w:w="6314" w:type="dxa"/>
            <w:gridSpan w:val="21"/>
            <w:tcBorders>
              <w:top w:val="single" w:sz="8" w:space="0" w:color="auto"/>
              <w:left w:val="single" w:sz="4" w:space="0" w:color="auto"/>
              <w:bottom w:val="single" w:sz="4" w:space="0" w:color="auto"/>
              <w:right w:val="single" w:sz="4" w:space="0" w:color="auto"/>
            </w:tcBorders>
            <w:shd w:val="clear" w:color="auto" w:fill="auto"/>
            <w:vAlign w:val="center"/>
          </w:tcPr>
          <w:p w:rsidR="00AE553A"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按所托管工具的原始币种</w:t>
            </w:r>
          </w:p>
        </w:tc>
        <w:tc>
          <w:tcPr>
            <w:tcW w:w="709" w:type="dxa"/>
            <w:gridSpan w:val="2"/>
            <w:vMerge w:val="restart"/>
            <w:tcBorders>
              <w:top w:val="single" w:sz="8" w:space="0" w:color="auto"/>
              <w:left w:val="single" w:sz="4" w:space="0" w:color="auto"/>
              <w:right w:val="single" w:sz="4" w:space="0" w:color="auto"/>
            </w:tcBorders>
            <w:shd w:val="clear" w:color="auto" w:fill="auto"/>
            <w:vAlign w:val="center"/>
          </w:tcPr>
          <w:p w:rsidR="00AE553A" w:rsidRPr="009263D7" w:rsidRDefault="00CB4B9E" w:rsidP="0091436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金融衍生产品的名义本金币种</w:t>
            </w:r>
          </w:p>
        </w:tc>
        <w:tc>
          <w:tcPr>
            <w:tcW w:w="709" w:type="dxa"/>
            <w:gridSpan w:val="2"/>
            <w:vMerge w:val="restart"/>
            <w:tcBorders>
              <w:top w:val="single" w:sz="8" w:space="0" w:color="auto"/>
              <w:left w:val="single" w:sz="4" w:space="0" w:color="auto"/>
              <w:right w:val="nil"/>
            </w:tcBorders>
            <w:shd w:val="clear" w:color="auto" w:fill="auto"/>
            <w:vAlign w:val="center"/>
          </w:tcPr>
          <w:p w:rsidR="00AE553A" w:rsidRPr="009263D7" w:rsidRDefault="00CB4B9E" w:rsidP="0091436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金融衍生产品的本月末名义本金金额</w:t>
            </w:r>
          </w:p>
        </w:tc>
      </w:tr>
      <w:tr w:rsidR="00D1396C" w:rsidRPr="009263D7" w:rsidTr="004C252D">
        <w:trPr>
          <w:gridBefore w:val="1"/>
          <w:trHeight w:val="300"/>
        </w:trPr>
        <w:tc>
          <w:tcPr>
            <w:tcW w:w="723" w:type="dxa"/>
            <w:gridSpan w:val="2"/>
            <w:vMerge/>
            <w:tcBorders>
              <w:left w:val="nil"/>
              <w:right w:val="single" w:sz="4" w:space="0" w:color="auto"/>
            </w:tcBorders>
            <w:shd w:val="clear" w:color="auto" w:fill="auto"/>
            <w:vAlign w:val="center"/>
          </w:tcPr>
          <w:p w:rsidR="004C252D" w:rsidRPr="009263D7" w:rsidRDefault="004C252D" w:rsidP="00914360">
            <w:pPr>
              <w:widowControl/>
              <w:jc w:val="center"/>
              <w:rPr>
                <w:rFonts w:ascii="宋体" w:hAnsi="宋体" w:cs="宋体"/>
                <w:color w:val="000000" w:themeColor="text1"/>
                <w:kern w:val="0"/>
                <w:sz w:val="18"/>
                <w:szCs w:val="18"/>
              </w:rPr>
            </w:pPr>
          </w:p>
        </w:tc>
        <w:tc>
          <w:tcPr>
            <w:tcW w:w="701" w:type="dxa"/>
            <w:gridSpan w:val="2"/>
            <w:tcBorders>
              <w:left w:val="nil"/>
              <w:right w:val="single" w:sz="4" w:space="0" w:color="auto"/>
            </w:tcBorders>
          </w:tcPr>
          <w:p w:rsidR="004C252D" w:rsidRPr="009263D7" w:rsidRDefault="004C252D" w:rsidP="00914360">
            <w:pPr>
              <w:widowControl/>
              <w:jc w:val="center"/>
              <w:rPr>
                <w:rFonts w:ascii="宋体" w:hAnsi="宋体" w:cs="宋体"/>
                <w:color w:val="000000" w:themeColor="text1"/>
                <w:kern w:val="0"/>
                <w:sz w:val="18"/>
                <w:szCs w:val="18"/>
              </w:rPr>
            </w:pPr>
          </w:p>
        </w:tc>
        <w:tc>
          <w:tcPr>
            <w:tcW w:w="728" w:type="dxa"/>
            <w:gridSpan w:val="2"/>
            <w:vMerge w:val="restart"/>
            <w:tcBorders>
              <w:top w:val="nil"/>
              <w:left w:val="single" w:sz="4" w:space="0" w:color="auto"/>
              <w:right w:val="single" w:sz="4" w:space="0" w:color="auto"/>
            </w:tcBorders>
            <w:shd w:val="clear" w:color="auto" w:fill="auto"/>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原始币种</w:t>
            </w:r>
          </w:p>
        </w:tc>
        <w:tc>
          <w:tcPr>
            <w:tcW w:w="714" w:type="dxa"/>
            <w:gridSpan w:val="3"/>
            <w:vMerge w:val="restart"/>
            <w:tcBorders>
              <w:top w:val="nil"/>
              <w:left w:val="single" w:sz="4" w:space="0" w:color="auto"/>
              <w:right w:val="single" w:sz="4" w:space="0" w:color="auto"/>
            </w:tcBorders>
            <w:shd w:val="clear" w:color="auto" w:fill="auto"/>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上月末市值</w:t>
            </w:r>
            <w:r w:rsidRPr="00CB4B9E">
              <w:rPr>
                <w:rFonts w:ascii="宋体" w:hAnsi="宋体" w:cs="宋体"/>
                <w:color w:val="000000" w:themeColor="text1"/>
                <w:kern w:val="0"/>
                <w:sz w:val="18"/>
                <w:szCs w:val="18"/>
              </w:rPr>
              <w:t xml:space="preserve"> </w:t>
            </w:r>
          </w:p>
        </w:tc>
        <w:tc>
          <w:tcPr>
            <w:tcW w:w="857" w:type="dxa"/>
            <w:gridSpan w:val="3"/>
            <w:vMerge w:val="restart"/>
            <w:tcBorders>
              <w:top w:val="nil"/>
              <w:left w:val="single" w:sz="4" w:space="0" w:color="auto"/>
              <w:right w:val="single" w:sz="4" w:space="0" w:color="auto"/>
            </w:tcBorders>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本月买入</w:t>
            </w:r>
            <w:r w:rsidRPr="00CB4B9E">
              <w:rPr>
                <w:rFonts w:ascii="宋体" w:hAnsi="宋体" w:cs="宋体"/>
                <w:color w:val="000000" w:themeColor="text1"/>
                <w:kern w:val="0"/>
                <w:sz w:val="18"/>
                <w:szCs w:val="18"/>
              </w:rPr>
              <w:t>/申购/(现金)结算付款额</w:t>
            </w:r>
          </w:p>
        </w:tc>
        <w:tc>
          <w:tcPr>
            <w:tcW w:w="778" w:type="dxa"/>
            <w:gridSpan w:val="4"/>
            <w:vMerge w:val="restart"/>
            <w:tcBorders>
              <w:top w:val="nil"/>
              <w:left w:val="single" w:sz="4" w:space="0" w:color="auto"/>
              <w:right w:val="single" w:sz="4" w:space="0" w:color="auto"/>
            </w:tcBorders>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本月卖出</w:t>
            </w:r>
            <w:r w:rsidRPr="00CB4B9E">
              <w:rPr>
                <w:rFonts w:ascii="宋体" w:hAnsi="宋体" w:cs="宋体"/>
                <w:color w:val="000000" w:themeColor="text1"/>
                <w:kern w:val="0"/>
                <w:sz w:val="18"/>
                <w:szCs w:val="18"/>
              </w:rPr>
              <w:t>/赎回/(现金)结算收款额</w:t>
            </w:r>
          </w:p>
        </w:tc>
        <w:tc>
          <w:tcPr>
            <w:tcW w:w="2409" w:type="dxa"/>
            <w:gridSpan w:val="6"/>
            <w:tcBorders>
              <w:top w:val="nil"/>
              <w:left w:val="single" w:sz="4" w:space="0" w:color="auto"/>
              <w:bottom w:val="nil"/>
              <w:right w:val="single" w:sz="4" w:space="0" w:color="000000"/>
            </w:tcBorders>
            <w:shd w:val="clear" w:color="auto" w:fill="auto"/>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本月非交易变动</w:t>
            </w:r>
          </w:p>
        </w:tc>
        <w:tc>
          <w:tcPr>
            <w:tcW w:w="1418" w:type="dxa"/>
            <w:gridSpan w:val="5"/>
            <w:tcBorders>
              <w:top w:val="nil"/>
              <w:left w:val="single" w:sz="4" w:space="0" w:color="auto"/>
              <w:right w:val="single" w:sz="4" w:space="0" w:color="auto"/>
            </w:tcBorders>
            <w:shd w:val="clear" w:color="auto" w:fill="auto"/>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本月末市值</w:t>
            </w:r>
          </w:p>
        </w:tc>
        <w:tc>
          <w:tcPr>
            <w:tcW w:w="852" w:type="dxa"/>
            <w:gridSpan w:val="3"/>
            <w:vMerge w:val="restart"/>
            <w:tcBorders>
              <w:top w:val="nil"/>
              <w:left w:val="single" w:sz="4" w:space="0" w:color="auto"/>
              <w:right w:val="single" w:sz="4" w:space="0" w:color="auto"/>
            </w:tcBorders>
            <w:shd w:val="clear" w:color="auto" w:fill="auto"/>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本月红利或利息收入</w:t>
            </w:r>
          </w:p>
        </w:tc>
        <w:tc>
          <w:tcPr>
            <w:tcW w:w="709" w:type="dxa"/>
            <w:gridSpan w:val="2"/>
            <w:vMerge/>
            <w:tcBorders>
              <w:left w:val="single" w:sz="4" w:space="0" w:color="auto"/>
              <w:right w:val="single" w:sz="4" w:space="0" w:color="auto"/>
            </w:tcBorders>
            <w:shd w:val="clear" w:color="auto" w:fill="auto"/>
            <w:vAlign w:val="center"/>
          </w:tcPr>
          <w:p w:rsidR="004C252D" w:rsidRPr="009263D7" w:rsidRDefault="004C252D" w:rsidP="00914360">
            <w:pPr>
              <w:keepNext/>
              <w:widowControl/>
              <w:spacing w:line="320" w:lineRule="exact"/>
              <w:jc w:val="center"/>
              <w:outlineLvl w:val="0"/>
              <w:rPr>
                <w:rFonts w:ascii="宋体" w:hAnsi="宋体" w:cs="宋体"/>
                <w:color w:val="000000" w:themeColor="text1"/>
                <w:kern w:val="0"/>
                <w:sz w:val="18"/>
                <w:szCs w:val="18"/>
              </w:rPr>
            </w:pPr>
          </w:p>
        </w:tc>
        <w:tc>
          <w:tcPr>
            <w:tcW w:w="709" w:type="dxa"/>
            <w:gridSpan w:val="2"/>
            <w:vMerge/>
            <w:tcBorders>
              <w:left w:val="single" w:sz="4" w:space="0" w:color="auto"/>
              <w:right w:val="nil"/>
            </w:tcBorders>
            <w:shd w:val="clear" w:color="auto" w:fill="auto"/>
            <w:vAlign w:val="center"/>
          </w:tcPr>
          <w:p w:rsidR="004C252D" w:rsidRPr="009263D7" w:rsidRDefault="004C252D" w:rsidP="00914360">
            <w:pPr>
              <w:keepNext/>
              <w:widowControl/>
              <w:spacing w:line="320" w:lineRule="exact"/>
              <w:jc w:val="center"/>
              <w:outlineLvl w:val="0"/>
              <w:rPr>
                <w:rFonts w:ascii="宋体" w:hAnsi="宋体" w:cs="宋体"/>
                <w:color w:val="000000" w:themeColor="text1"/>
                <w:kern w:val="0"/>
                <w:sz w:val="18"/>
                <w:szCs w:val="18"/>
              </w:rPr>
            </w:pPr>
          </w:p>
        </w:tc>
      </w:tr>
      <w:tr w:rsidR="004C252D" w:rsidRPr="009263D7" w:rsidTr="004C252D">
        <w:trPr>
          <w:gridBefore w:val="1"/>
          <w:trHeight w:val="1882"/>
        </w:trPr>
        <w:tc>
          <w:tcPr>
            <w:tcW w:w="723" w:type="dxa"/>
            <w:gridSpan w:val="2"/>
            <w:vMerge/>
            <w:tcBorders>
              <w:left w:val="nil"/>
              <w:right w:val="single" w:sz="4" w:space="0" w:color="auto"/>
            </w:tcBorders>
            <w:vAlign w:val="center"/>
          </w:tcPr>
          <w:p w:rsidR="004C252D" w:rsidRPr="009263D7" w:rsidRDefault="004C252D" w:rsidP="00914360">
            <w:pPr>
              <w:widowControl/>
              <w:jc w:val="left"/>
              <w:rPr>
                <w:rFonts w:ascii="宋体" w:hAnsi="宋体" w:cs="宋体"/>
                <w:color w:val="000000" w:themeColor="text1"/>
                <w:kern w:val="0"/>
                <w:sz w:val="18"/>
                <w:szCs w:val="18"/>
              </w:rPr>
            </w:pPr>
          </w:p>
        </w:tc>
        <w:tc>
          <w:tcPr>
            <w:tcW w:w="701" w:type="dxa"/>
            <w:gridSpan w:val="2"/>
            <w:tcBorders>
              <w:left w:val="nil"/>
              <w:right w:val="single" w:sz="4" w:space="0" w:color="auto"/>
            </w:tcBorders>
            <w:vAlign w:val="center"/>
          </w:tcPr>
          <w:p w:rsidR="004C252D" w:rsidRPr="009263D7" w:rsidRDefault="00CB4B9E" w:rsidP="0091436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投资工具的原始期限</w:t>
            </w:r>
          </w:p>
        </w:tc>
        <w:tc>
          <w:tcPr>
            <w:tcW w:w="728" w:type="dxa"/>
            <w:gridSpan w:val="2"/>
            <w:vMerge/>
            <w:tcBorders>
              <w:left w:val="single" w:sz="4" w:space="0" w:color="auto"/>
              <w:right w:val="single" w:sz="4" w:space="0" w:color="auto"/>
            </w:tcBorders>
            <w:vAlign w:val="center"/>
          </w:tcPr>
          <w:p w:rsidR="004C252D" w:rsidRPr="009263D7" w:rsidRDefault="004C252D" w:rsidP="00914360">
            <w:pPr>
              <w:widowControl/>
              <w:jc w:val="left"/>
              <w:rPr>
                <w:rFonts w:ascii="宋体" w:hAnsi="宋体" w:cs="宋体"/>
                <w:color w:val="000000" w:themeColor="text1"/>
                <w:kern w:val="0"/>
                <w:sz w:val="18"/>
                <w:szCs w:val="18"/>
              </w:rPr>
            </w:pPr>
          </w:p>
        </w:tc>
        <w:tc>
          <w:tcPr>
            <w:tcW w:w="714" w:type="dxa"/>
            <w:gridSpan w:val="3"/>
            <w:vMerge/>
            <w:tcBorders>
              <w:left w:val="single" w:sz="4" w:space="0" w:color="auto"/>
              <w:right w:val="single" w:sz="4" w:space="0" w:color="auto"/>
            </w:tcBorders>
            <w:vAlign w:val="center"/>
          </w:tcPr>
          <w:p w:rsidR="004C252D" w:rsidRPr="009263D7" w:rsidRDefault="004C252D" w:rsidP="00914360">
            <w:pPr>
              <w:widowControl/>
              <w:jc w:val="left"/>
              <w:rPr>
                <w:rFonts w:ascii="宋体" w:hAnsi="宋体" w:cs="宋体"/>
                <w:color w:val="000000" w:themeColor="text1"/>
                <w:kern w:val="0"/>
                <w:sz w:val="18"/>
                <w:szCs w:val="18"/>
              </w:rPr>
            </w:pPr>
          </w:p>
        </w:tc>
        <w:tc>
          <w:tcPr>
            <w:tcW w:w="857" w:type="dxa"/>
            <w:gridSpan w:val="3"/>
            <w:vMerge/>
            <w:tcBorders>
              <w:left w:val="single" w:sz="4" w:space="0" w:color="auto"/>
              <w:right w:val="single" w:sz="4" w:space="0" w:color="auto"/>
            </w:tcBorders>
          </w:tcPr>
          <w:p w:rsidR="004C252D" w:rsidRPr="009263D7" w:rsidRDefault="004C252D" w:rsidP="00914360">
            <w:pPr>
              <w:widowControl/>
              <w:jc w:val="left"/>
              <w:rPr>
                <w:rFonts w:ascii="宋体" w:hAnsi="宋体" w:cs="宋体"/>
                <w:color w:val="000000" w:themeColor="text1"/>
                <w:kern w:val="0"/>
                <w:sz w:val="18"/>
                <w:szCs w:val="18"/>
              </w:rPr>
            </w:pPr>
          </w:p>
        </w:tc>
        <w:tc>
          <w:tcPr>
            <w:tcW w:w="778" w:type="dxa"/>
            <w:gridSpan w:val="4"/>
            <w:vMerge/>
            <w:tcBorders>
              <w:left w:val="single" w:sz="4" w:space="0" w:color="auto"/>
              <w:right w:val="single" w:sz="4" w:space="0" w:color="auto"/>
            </w:tcBorders>
          </w:tcPr>
          <w:p w:rsidR="004C252D" w:rsidRPr="009263D7" w:rsidRDefault="004C252D" w:rsidP="00914360">
            <w:pPr>
              <w:widowControl/>
              <w:jc w:val="left"/>
              <w:rPr>
                <w:rFonts w:ascii="宋体" w:hAnsi="宋体" w:cs="宋体"/>
                <w:color w:val="000000" w:themeColor="text1"/>
                <w:kern w:val="0"/>
                <w:sz w:val="18"/>
                <w:szCs w:val="18"/>
              </w:rPr>
            </w:pPr>
          </w:p>
        </w:tc>
        <w:tc>
          <w:tcPr>
            <w:tcW w:w="708" w:type="dxa"/>
            <w:gridSpan w:val="2"/>
            <w:tcBorders>
              <w:top w:val="nil"/>
              <w:left w:val="single" w:sz="4" w:space="0" w:color="auto"/>
              <w:right w:val="single" w:sz="4" w:space="0" w:color="auto"/>
            </w:tcBorders>
            <w:shd w:val="clear" w:color="auto" w:fill="auto"/>
            <w:vAlign w:val="center"/>
          </w:tcPr>
          <w:p w:rsidR="004C252D" w:rsidRPr="009263D7" w:rsidRDefault="004C252D" w:rsidP="00914360">
            <w:pPr>
              <w:widowControl/>
              <w:jc w:val="center"/>
              <w:rPr>
                <w:rFonts w:ascii="宋体" w:hAnsi="宋体" w:cs="宋体"/>
                <w:color w:val="000000" w:themeColor="text1"/>
                <w:kern w:val="0"/>
                <w:sz w:val="18"/>
                <w:szCs w:val="18"/>
              </w:rPr>
            </w:pPr>
          </w:p>
        </w:tc>
        <w:tc>
          <w:tcPr>
            <w:tcW w:w="851" w:type="dxa"/>
            <w:gridSpan w:val="2"/>
            <w:tcBorders>
              <w:top w:val="single" w:sz="4" w:space="0" w:color="auto"/>
              <w:left w:val="nil"/>
              <w:right w:val="single" w:sz="4" w:space="0" w:color="auto"/>
            </w:tcBorders>
            <w:shd w:val="clear" w:color="auto" w:fill="auto"/>
            <w:noWrap/>
            <w:vAlign w:val="center"/>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注销或重新分类至其他项目统计的金额</w:t>
            </w:r>
          </w:p>
        </w:tc>
        <w:tc>
          <w:tcPr>
            <w:tcW w:w="850" w:type="dxa"/>
            <w:gridSpan w:val="2"/>
            <w:tcBorders>
              <w:top w:val="single" w:sz="4" w:space="0" w:color="auto"/>
              <w:left w:val="nil"/>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价值重估因素</w:t>
            </w:r>
          </w:p>
        </w:tc>
        <w:tc>
          <w:tcPr>
            <w:tcW w:w="709" w:type="dxa"/>
            <w:gridSpan w:val="2"/>
            <w:tcBorders>
              <w:left w:val="single" w:sz="4" w:space="0" w:color="auto"/>
              <w:right w:val="single" w:sz="2" w:space="0" w:color="auto"/>
            </w:tcBorders>
            <w:vAlign w:val="center"/>
          </w:tcPr>
          <w:p w:rsidR="004C252D" w:rsidRPr="009263D7" w:rsidRDefault="004C252D" w:rsidP="00914360">
            <w:pPr>
              <w:keepNext/>
              <w:spacing w:line="320" w:lineRule="exact"/>
              <w:jc w:val="center"/>
              <w:outlineLvl w:val="0"/>
              <w:rPr>
                <w:rFonts w:ascii="宋体" w:hAnsi="宋体" w:cs="宋体"/>
                <w:color w:val="000000" w:themeColor="text1"/>
                <w:kern w:val="0"/>
                <w:sz w:val="18"/>
                <w:szCs w:val="18"/>
              </w:rPr>
            </w:pPr>
          </w:p>
        </w:tc>
        <w:tc>
          <w:tcPr>
            <w:tcW w:w="709" w:type="dxa"/>
            <w:gridSpan w:val="3"/>
            <w:tcBorders>
              <w:top w:val="single" w:sz="2" w:space="0" w:color="auto"/>
              <w:left w:val="single" w:sz="2" w:space="0" w:color="auto"/>
              <w:right w:val="single" w:sz="2" w:space="0" w:color="auto"/>
            </w:tcBorders>
            <w:vAlign w:val="center"/>
          </w:tcPr>
          <w:p w:rsidR="004C252D" w:rsidRPr="009263D7" w:rsidRDefault="00CB4B9E" w:rsidP="00914360">
            <w:pPr>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其中：剩余期限在一年及以下</w:t>
            </w:r>
          </w:p>
        </w:tc>
        <w:tc>
          <w:tcPr>
            <w:tcW w:w="852" w:type="dxa"/>
            <w:gridSpan w:val="3"/>
            <w:vMerge/>
            <w:tcBorders>
              <w:left w:val="single" w:sz="2" w:space="0" w:color="auto"/>
              <w:right w:val="single" w:sz="4" w:space="0" w:color="auto"/>
            </w:tcBorders>
            <w:shd w:val="clear" w:color="auto" w:fill="auto"/>
            <w:vAlign w:val="center"/>
          </w:tcPr>
          <w:p w:rsidR="004C252D" w:rsidRPr="009263D7" w:rsidRDefault="004C252D" w:rsidP="00914360">
            <w:pPr>
              <w:jc w:val="center"/>
              <w:rPr>
                <w:rFonts w:ascii="宋体" w:hAnsi="宋体" w:cs="宋体"/>
                <w:color w:val="000000" w:themeColor="text1"/>
                <w:kern w:val="0"/>
                <w:sz w:val="18"/>
                <w:szCs w:val="18"/>
              </w:rPr>
            </w:pPr>
          </w:p>
        </w:tc>
        <w:tc>
          <w:tcPr>
            <w:tcW w:w="709" w:type="dxa"/>
            <w:gridSpan w:val="2"/>
            <w:vMerge/>
            <w:tcBorders>
              <w:left w:val="single" w:sz="4" w:space="0" w:color="auto"/>
              <w:right w:val="single" w:sz="4" w:space="0" w:color="auto"/>
            </w:tcBorders>
            <w:vAlign w:val="center"/>
          </w:tcPr>
          <w:p w:rsidR="004C252D" w:rsidRPr="009263D7" w:rsidRDefault="004C252D" w:rsidP="00914360">
            <w:pPr>
              <w:widowControl/>
              <w:jc w:val="left"/>
              <w:rPr>
                <w:rFonts w:ascii="宋体" w:hAnsi="宋体" w:cs="宋体"/>
                <w:color w:val="000000" w:themeColor="text1"/>
                <w:kern w:val="0"/>
                <w:sz w:val="18"/>
                <w:szCs w:val="18"/>
              </w:rPr>
            </w:pPr>
          </w:p>
        </w:tc>
        <w:tc>
          <w:tcPr>
            <w:tcW w:w="709" w:type="dxa"/>
            <w:gridSpan w:val="2"/>
            <w:vMerge/>
            <w:tcBorders>
              <w:left w:val="single" w:sz="4" w:space="0" w:color="auto"/>
              <w:right w:val="nil"/>
            </w:tcBorders>
            <w:vAlign w:val="center"/>
          </w:tcPr>
          <w:p w:rsidR="004C252D" w:rsidRPr="009263D7" w:rsidRDefault="004C252D" w:rsidP="00914360">
            <w:pPr>
              <w:widowControl/>
              <w:jc w:val="left"/>
              <w:rPr>
                <w:rFonts w:ascii="宋体" w:hAnsi="宋体" w:cs="宋体"/>
                <w:color w:val="000000" w:themeColor="text1"/>
                <w:kern w:val="0"/>
                <w:sz w:val="18"/>
                <w:szCs w:val="18"/>
              </w:rPr>
            </w:pPr>
          </w:p>
        </w:tc>
      </w:tr>
      <w:tr w:rsidR="00D1396C" w:rsidRPr="009263D7" w:rsidTr="004C252D">
        <w:trPr>
          <w:gridBefore w:val="1"/>
          <w:trHeight w:val="285"/>
        </w:trPr>
        <w:tc>
          <w:tcPr>
            <w:tcW w:w="723" w:type="dxa"/>
            <w:gridSpan w:val="2"/>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H0212</w:t>
            </w:r>
          </w:p>
        </w:tc>
        <w:tc>
          <w:tcPr>
            <w:tcW w:w="701" w:type="dxa"/>
            <w:gridSpan w:val="2"/>
            <w:tcBorders>
              <w:top w:val="nil"/>
              <w:left w:val="nil"/>
              <w:bottom w:val="single" w:sz="4" w:space="0" w:color="auto"/>
              <w:right w:val="single" w:sz="4" w:space="0" w:color="auto"/>
            </w:tcBorders>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H0213</w:t>
            </w:r>
          </w:p>
        </w:tc>
        <w:tc>
          <w:tcPr>
            <w:tcW w:w="728" w:type="dxa"/>
            <w:gridSpan w:val="2"/>
            <w:tcBorders>
              <w:top w:val="nil"/>
              <w:left w:val="single" w:sz="4" w:space="0" w:color="auto"/>
              <w:bottom w:val="single" w:sz="4" w:space="0" w:color="auto"/>
              <w:right w:val="single" w:sz="4" w:space="0" w:color="auto"/>
            </w:tcBorders>
            <w:shd w:val="clear" w:color="auto" w:fill="auto"/>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H0214</w:t>
            </w:r>
          </w:p>
        </w:tc>
        <w:tc>
          <w:tcPr>
            <w:tcW w:w="714" w:type="dxa"/>
            <w:gridSpan w:val="3"/>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H0215</w:t>
            </w:r>
          </w:p>
        </w:tc>
        <w:tc>
          <w:tcPr>
            <w:tcW w:w="857" w:type="dxa"/>
            <w:gridSpan w:val="3"/>
            <w:tcBorders>
              <w:top w:val="nil"/>
              <w:left w:val="nil"/>
              <w:bottom w:val="single" w:sz="4" w:space="0" w:color="auto"/>
              <w:right w:val="single" w:sz="4" w:space="0" w:color="auto"/>
            </w:tcBorders>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H0216</w:t>
            </w:r>
          </w:p>
        </w:tc>
        <w:tc>
          <w:tcPr>
            <w:tcW w:w="778" w:type="dxa"/>
            <w:gridSpan w:val="4"/>
            <w:tcBorders>
              <w:top w:val="nil"/>
              <w:left w:val="nil"/>
              <w:bottom w:val="single" w:sz="4" w:space="0" w:color="auto"/>
              <w:right w:val="single" w:sz="4" w:space="0" w:color="auto"/>
            </w:tcBorders>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H0217</w:t>
            </w:r>
          </w:p>
        </w:tc>
        <w:tc>
          <w:tcPr>
            <w:tcW w:w="708" w:type="dxa"/>
            <w:gridSpan w:val="2"/>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H0218</w:t>
            </w:r>
          </w:p>
        </w:tc>
        <w:tc>
          <w:tcPr>
            <w:tcW w:w="851" w:type="dxa"/>
            <w:gridSpan w:val="2"/>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H0219</w:t>
            </w:r>
          </w:p>
        </w:tc>
        <w:tc>
          <w:tcPr>
            <w:tcW w:w="850" w:type="dxa"/>
            <w:gridSpan w:val="2"/>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H0220</w:t>
            </w:r>
          </w:p>
        </w:tc>
        <w:tc>
          <w:tcPr>
            <w:tcW w:w="709" w:type="dxa"/>
            <w:gridSpan w:val="2"/>
            <w:tcBorders>
              <w:top w:val="nil"/>
              <w:left w:val="nil"/>
              <w:bottom w:val="single" w:sz="4" w:space="0" w:color="auto"/>
              <w:right w:val="single" w:sz="2"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H0221</w:t>
            </w:r>
          </w:p>
        </w:tc>
        <w:tc>
          <w:tcPr>
            <w:tcW w:w="709" w:type="dxa"/>
            <w:gridSpan w:val="3"/>
            <w:tcBorders>
              <w:top w:val="nil"/>
              <w:left w:val="single" w:sz="2" w:space="0" w:color="auto"/>
              <w:bottom w:val="single" w:sz="4" w:space="0" w:color="auto"/>
              <w:right w:val="single" w:sz="2" w:space="0" w:color="auto"/>
            </w:tcBorders>
            <w:shd w:val="clear" w:color="auto" w:fill="auto"/>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H0222</w:t>
            </w:r>
          </w:p>
        </w:tc>
        <w:tc>
          <w:tcPr>
            <w:tcW w:w="852" w:type="dxa"/>
            <w:gridSpan w:val="3"/>
            <w:tcBorders>
              <w:left w:val="single" w:sz="2" w:space="0" w:color="auto"/>
              <w:bottom w:val="single" w:sz="4" w:space="0" w:color="auto"/>
              <w:right w:val="single" w:sz="4" w:space="0" w:color="auto"/>
            </w:tcBorders>
            <w:shd w:val="clear" w:color="auto" w:fill="auto"/>
            <w:vAlign w:val="center"/>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H0223</w:t>
            </w:r>
          </w:p>
        </w:tc>
        <w:tc>
          <w:tcPr>
            <w:tcW w:w="709" w:type="dxa"/>
            <w:gridSpan w:val="2"/>
            <w:tcBorders>
              <w:top w:val="nil"/>
              <w:left w:val="nil"/>
              <w:bottom w:val="single" w:sz="4" w:space="0" w:color="auto"/>
              <w:right w:val="single" w:sz="4" w:space="0" w:color="auto"/>
            </w:tcBorders>
            <w:shd w:val="clear" w:color="auto" w:fill="auto"/>
            <w:vAlign w:val="center"/>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H0224</w:t>
            </w:r>
          </w:p>
        </w:tc>
        <w:tc>
          <w:tcPr>
            <w:tcW w:w="709" w:type="dxa"/>
            <w:gridSpan w:val="2"/>
            <w:tcBorders>
              <w:top w:val="nil"/>
              <w:left w:val="nil"/>
              <w:bottom w:val="single" w:sz="4" w:space="0" w:color="auto"/>
              <w:right w:val="nil"/>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H0225</w:t>
            </w:r>
          </w:p>
        </w:tc>
      </w:tr>
      <w:tr w:rsidR="004C252D" w:rsidRPr="009263D7" w:rsidTr="004C252D">
        <w:trPr>
          <w:gridBefore w:val="1"/>
          <w:trHeight w:val="285"/>
        </w:trPr>
        <w:tc>
          <w:tcPr>
            <w:tcW w:w="723" w:type="dxa"/>
            <w:gridSpan w:val="2"/>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巳</w:t>
            </w:r>
          </w:p>
        </w:tc>
        <w:tc>
          <w:tcPr>
            <w:tcW w:w="701" w:type="dxa"/>
            <w:gridSpan w:val="2"/>
            <w:tcBorders>
              <w:top w:val="nil"/>
              <w:left w:val="nil"/>
              <w:bottom w:val="single" w:sz="4" w:space="0" w:color="auto"/>
              <w:right w:val="single" w:sz="4" w:space="0" w:color="auto"/>
            </w:tcBorders>
            <w:vAlign w:val="center"/>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c>
          <w:tcPr>
            <w:tcW w:w="728" w:type="dxa"/>
            <w:gridSpan w:val="2"/>
            <w:tcBorders>
              <w:top w:val="nil"/>
              <w:left w:val="single" w:sz="4" w:space="0" w:color="auto"/>
              <w:bottom w:val="single" w:sz="4" w:space="0" w:color="auto"/>
              <w:right w:val="single" w:sz="4" w:space="0" w:color="auto"/>
            </w:tcBorders>
            <w:shd w:val="clear" w:color="auto" w:fill="auto"/>
            <w:vAlign w:val="center"/>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午</w:t>
            </w:r>
          </w:p>
        </w:tc>
        <w:tc>
          <w:tcPr>
            <w:tcW w:w="714" w:type="dxa"/>
            <w:gridSpan w:val="3"/>
            <w:tcBorders>
              <w:top w:val="nil"/>
              <w:left w:val="nil"/>
              <w:bottom w:val="single" w:sz="4" w:space="0" w:color="auto"/>
              <w:right w:val="single" w:sz="4" w:space="0" w:color="auto"/>
            </w:tcBorders>
            <w:shd w:val="clear" w:color="auto" w:fill="auto"/>
            <w:noWrap/>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857" w:type="dxa"/>
            <w:gridSpan w:val="3"/>
            <w:tcBorders>
              <w:top w:val="nil"/>
              <w:left w:val="nil"/>
              <w:bottom w:val="single" w:sz="4" w:space="0" w:color="auto"/>
              <w:right w:val="single" w:sz="4" w:space="0" w:color="auto"/>
            </w:tcBorders>
            <w:vAlign w:val="center"/>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778" w:type="dxa"/>
            <w:gridSpan w:val="4"/>
            <w:tcBorders>
              <w:top w:val="nil"/>
              <w:left w:val="nil"/>
              <w:bottom w:val="single" w:sz="4" w:space="0" w:color="auto"/>
              <w:right w:val="single" w:sz="4" w:space="0" w:color="auto"/>
            </w:tcBorders>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708" w:type="dxa"/>
            <w:gridSpan w:val="2"/>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851" w:type="dxa"/>
            <w:gridSpan w:val="2"/>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w:t>
            </w:r>
          </w:p>
        </w:tc>
        <w:tc>
          <w:tcPr>
            <w:tcW w:w="850" w:type="dxa"/>
            <w:gridSpan w:val="2"/>
            <w:tcBorders>
              <w:top w:val="nil"/>
              <w:left w:val="nil"/>
              <w:bottom w:val="single" w:sz="4" w:space="0" w:color="auto"/>
              <w:right w:val="single" w:sz="4"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7</w:t>
            </w:r>
          </w:p>
        </w:tc>
        <w:tc>
          <w:tcPr>
            <w:tcW w:w="709" w:type="dxa"/>
            <w:gridSpan w:val="2"/>
            <w:tcBorders>
              <w:top w:val="nil"/>
              <w:left w:val="nil"/>
              <w:bottom w:val="single" w:sz="4" w:space="0" w:color="auto"/>
              <w:right w:val="single" w:sz="2" w:space="0" w:color="auto"/>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8</w:t>
            </w:r>
          </w:p>
        </w:tc>
        <w:tc>
          <w:tcPr>
            <w:tcW w:w="709" w:type="dxa"/>
            <w:gridSpan w:val="3"/>
            <w:tcBorders>
              <w:top w:val="nil"/>
              <w:left w:val="single" w:sz="2" w:space="0" w:color="auto"/>
              <w:bottom w:val="single" w:sz="4" w:space="0" w:color="auto"/>
              <w:right w:val="single" w:sz="2" w:space="0" w:color="auto"/>
            </w:tcBorders>
            <w:shd w:val="clear" w:color="auto" w:fill="auto"/>
            <w:vAlign w:val="center"/>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9</w:t>
            </w:r>
          </w:p>
        </w:tc>
        <w:tc>
          <w:tcPr>
            <w:tcW w:w="852" w:type="dxa"/>
            <w:gridSpan w:val="3"/>
            <w:tcBorders>
              <w:top w:val="nil"/>
              <w:left w:val="single" w:sz="2" w:space="0" w:color="auto"/>
              <w:bottom w:val="single" w:sz="4" w:space="0" w:color="auto"/>
              <w:right w:val="single" w:sz="4" w:space="0" w:color="auto"/>
            </w:tcBorders>
            <w:shd w:val="clear" w:color="auto" w:fill="auto"/>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w:t>
            </w:r>
          </w:p>
        </w:tc>
        <w:tc>
          <w:tcPr>
            <w:tcW w:w="709" w:type="dxa"/>
            <w:gridSpan w:val="2"/>
            <w:tcBorders>
              <w:top w:val="nil"/>
              <w:left w:val="nil"/>
              <w:bottom w:val="single" w:sz="4" w:space="0" w:color="auto"/>
              <w:right w:val="single" w:sz="4" w:space="0" w:color="auto"/>
            </w:tcBorders>
            <w:shd w:val="clear" w:color="auto" w:fill="auto"/>
            <w:vAlign w:val="center"/>
          </w:tcPr>
          <w:p w:rsidR="004C252D" w:rsidRPr="009263D7" w:rsidRDefault="00CB4B9E" w:rsidP="00914360">
            <w:pPr>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未</w:t>
            </w:r>
          </w:p>
        </w:tc>
        <w:tc>
          <w:tcPr>
            <w:tcW w:w="709" w:type="dxa"/>
            <w:gridSpan w:val="2"/>
            <w:tcBorders>
              <w:top w:val="nil"/>
              <w:left w:val="nil"/>
              <w:bottom w:val="single" w:sz="4" w:space="0" w:color="auto"/>
              <w:right w:val="nil"/>
            </w:tcBorders>
            <w:shd w:val="clear" w:color="auto" w:fill="auto"/>
            <w:noWrap/>
            <w:vAlign w:val="center"/>
          </w:tcPr>
          <w:p w:rsidR="004C252D" w:rsidRPr="009263D7" w:rsidRDefault="00CB4B9E" w:rsidP="009143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w:t>
            </w:r>
          </w:p>
        </w:tc>
      </w:tr>
      <w:tr w:rsidR="004C252D" w:rsidRPr="009263D7" w:rsidTr="004C252D">
        <w:trPr>
          <w:gridBefore w:val="1"/>
          <w:trHeight w:val="285"/>
        </w:trPr>
        <w:tc>
          <w:tcPr>
            <w:tcW w:w="723" w:type="dxa"/>
            <w:gridSpan w:val="2"/>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p w:rsidR="00C571A5" w:rsidRPr="009263D7" w:rsidRDefault="00C571A5" w:rsidP="00914360">
            <w:pPr>
              <w:keepNext/>
              <w:widowControl/>
              <w:spacing w:line="320" w:lineRule="exact"/>
              <w:jc w:val="left"/>
              <w:outlineLvl w:val="0"/>
              <w:rPr>
                <w:rFonts w:ascii="宋体" w:hAnsi="宋体" w:cs="宋体"/>
                <w:color w:val="000000" w:themeColor="text1"/>
                <w:kern w:val="0"/>
                <w:sz w:val="18"/>
                <w:szCs w:val="18"/>
              </w:rPr>
            </w:pPr>
          </w:p>
          <w:p w:rsidR="00C571A5" w:rsidRPr="009263D7" w:rsidRDefault="00C571A5" w:rsidP="00914360">
            <w:pPr>
              <w:keepNext/>
              <w:widowControl/>
              <w:spacing w:line="320" w:lineRule="exact"/>
              <w:jc w:val="left"/>
              <w:outlineLvl w:val="0"/>
              <w:rPr>
                <w:rFonts w:ascii="宋体" w:hAnsi="宋体" w:cs="宋体"/>
                <w:color w:val="000000" w:themeColor="text1"/>
                <w:kern w:val="0"/>
                <w:sz w:val="18"/>
                <w:szCs w:val="18"/>
              </w:rPr>
            </w:pPr>
          </w:p>
        </w:tc>
        <w:tc>
          <w:tcPr>
            <w:tcW w:w="701" w:type="dxa"/>
            <w:gridSpan w:val="2"/>
            <w:tcBorders>
              <w:top w:val="nil"/>
              <w:left w:val="nil"/>
              <w:bottom w:val="nil"/>
              <w:right w:val="nil"/>
            </w:tcBorders>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728" w:type="dxa"/>
            <w:gridSpan w:val="2"/>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714" w:type="dxa"/>
            <w:gridSpan w:val="3"/>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394" w:type="dxa"/>
            <w:tcBorders>
              <w:top w:val="nil"/>
              <w:left w:val="nil"/>
              <w:bottom w:val="nil"/>
              <w:right w:val="nil"/>
            </w:tcBorders>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714" w:type="dxa"/>
            <w:gridSpan w:val="3"/>
            <w:tcBorders>
              <w:top w:val="nil"/>
              <w:left w:val="nil"/>
              <w:bottom w:val="nil"/>
              <w:right w:val="nil"/>
            </w:tcBorders>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527" w:type="dxa"/>
            <w:gridSpan w:val="3"/>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708" w:type="dxa"/>
            <w:gridSpan w:val="2"/>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851" w:type="dxa"/>
            <w:gridSpan w:val="2"/>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850" w:type="dxa"/>
            <w:gridSpan w:val="2"/>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1418" w:type="dxa"/>
            <w:gridSpan w:val="5"/>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c>
          <w:tcPr>
            <w:tcW w:w="2270" w:type="dxa"/>
            <w:gridSpan w:val="7"/>
            <w:tcBorders>
              <w:top w:val="nil"/>
              <w:left w:val="nil"/>
              <w:bottom w:val="nil"/>
              <w:right w:val="nil"/>
            </w:tcBorders>
            <w:shd w:val="clear" w:color="auto" w:fill="auto"/>
            <w:noWrap/>
            <w:vAlign w:val="center"/>
          </w:tcPr>
          <w:p w:rsidR="00AE553A" w:rsidRPr="009263D7" w:rsidRDefault="00AE553A" w:rsidP="00914360">
            <w:pPr>
              <w:keepNext/>
              <w:widowControl/>
              <w:spacing w:line="320" w:lineRule="exact"/>
              <w:jc w:val="left"/>
              <w:outlineLvl w:val="0"/>
              <w:rPr>
                <w:rFonts w:ascii="宋体" w:hAnsi="宋体" w:cs="宋体"/>
                <w:color w:val="000000" w:themeColor="text1"/>
                <w:kern w:val="0"/>
                <w:sz w:val="18"/>
                <w:szCs w:val="18"/>
              </w:rPr>
            </w:pPr>
          </w:p>
        </w:tc>
      </w:tr>
    </w:tbl>
    <w:p w:rsidR="00315EA9" w:rsidRPr="009263D7" w:rsidRDefault="00CB4B9E" w:rsidP="00315EA9">
      <w:pPr>
        <w:widowControl/>
        <w:jc w:val="left"/>
        <w:rPr>
          <w:color w:val="000000" w:themeColor="text1"/>
        </w:rPr>
      </w:pPr>
      <w:r w:rsidRPr="00CB4B9E">
        <w:rPr>
          <w:color w:val="000000" w:themeColor="text1"/>
        </w:rPr>
        <w:br w:type="page"/>
      </w:r>
    </w:p>
    <w:p w:rsidR="00315EA9" w:rsidRPr="009263D7" w:rsidRDefault="00CB4B9E" w:rsidP="00CB506B">
      <w:pPr>
        <w:pStyle w:val="2"/>
        <w:jc w:val="center"/>
        <w:rPr>
          <w:rFonts w:ascii="宋体" w:eastAsia="宋体" w:hAnsi="宋体"/>
          <w:b w:val="0"/>
          <w:color w:val="000000" w:themeColor="text1"/>
          <w:kern w:val="0"/>
        </w:rPr>
      </w:pPr>
      <w:bookmarkStart w:id="48" w:name="_Toc452017157"/>
      <w:r w:rsidRPr="00CB4B9E">
        <w:rPr>
          <w:rFonts w:ascii="宋体" w:eastAsia="宋体" w:hAnsi="宋体" w:hint="eastAsia"/>
          <w:b w:val="0"/>
          <w:color w:val="000000" w:themeColor="text1"/>
          <w:kern w:val="0"/>
        </w:rPr>
        <w:lastRenderedPageBreak/>
        <w:t>（十）涉外保险业务</w:t>
      </w:r>
      <w:bookmarkEnd w:id="48"/>
    </w:p>
    <w:p w:rsidR="006C2BEC" w:rsidRPr="009263D7" w:rsidRDefault="00CB4B9E" w:rsidP="006C2BEC">
      <w:pPr>
        <w:pStyle w:val="3"/>
        <w:jc w:val="center"/>
        <w:rPr>
          <w:rFonts w:ascii="宋体" w:hAnsi="宋体"/>
          <w:b w:val="0"/>
          <w:color w:val="000000" w:themeColor="text1"/>
          <w:kern w:val="0"/>
          <w:sz w:val="28"/>
          <w:szCs w:val="28"/>
        </w:rPr>
      </w:pPr>
      <w:bookmarkStart w:id="49" w:name="_Toc452017158"/>
      <w:r w:rsidRPr="00CB4B9E">
        <w:rPr>
          <w:rFonts w:ascii="宋体" w:hAnsi="宋体" w:hint="eastAsia"/>
          <w:b w:val="0"/>
          <w:color w:val="000000" w:themeColor="text1"/>
          <w:kern w:val="0"/>
          <w:sz w:val="28"/>
          <w:szCs w:val="28"/>
        </w:rPr>
        <w:t>为非居民提供直接保险服务</w:t>
      </w:r>
      <w:bookmarkEnd w:id="49"/>
    </w:p>
    <w:p w:rsidR="006C2BEC" w:rsidRPr="009263D7" w:rsidRDefault="00CB4B9E" w:rsidP="006C2BEC">
      <w:pPr>
        <w:jc w:val="center"/>
        <w:rPr>
          <w:rFonts w:ascii="宋体" w:hAnsi="宋体"/>
          <w:color w:val="000000" w:themeColor="text1"/>
          <w:kern w:val="0"/>
          <w:sz w:val="28"/>
          <w:szCs w:val="28"/>
        </w:rPr>
      </w:pPr>
      <w:r w:rsidRPr="00CB4B9E">
        <w:rPr>
          <w:rFonts w:ascii="宋体" w:hAnsi="宋体"/>
          <w:color w:val="000000" w:themeColor="text1"/>
          <w:kern w:val="0"/>
          <w:sz w:val="28"/>
          <w:szCs w:val="2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I01表</w:t>
      </w:r>
    </w:p>
    <w:p w:rsidR="006C2BEC" w:rsidRPr="009263D7" w:rsidRDefault="00CB4B9E" w:rsidP="006C2BEC">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6C2BEC" w:rsidRPr="009263D7" w:rsidRDefault="00CB4B9E" w:rsidP="006C2BEC">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6C2BEC" w:rsidRPr="009263D7" w:rsidRDefault="00CB4B9E" w:rsidP="006C2BEC">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6C2BEC" w:rsidRPr="009263D7" w:rsidRDefault="00CB4B9E" w:rsidP="006C2BEC">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6C2BEC" w:rsidRPr="009263D7" w:rsidRDefault="00CB4B9E" w:rsidP="006C2BEC">
      <w:pPr>
        <w:tabs>
          <w:tab w:val="left" w:pos="6930"/>
        </w:tabs>
        <w:spacing w:line="240" w:lineRule="exact"/>
        <w:rPr>
          <w:color w:val="000000" w:themeColor="text1"/>
          <w:sz w:val="18"/>
        </w:rPr>
      </w:pPr>
      <w:r w:rsidRPr="00CB4B9E">
        <w:rPr>
          <w:rFonts w:ascii="宋体" w:hAnsi="宋体" w:cs="宋体"/>
          <w:color w:val="000000" w:themeColor="text1"/>
          <w:kern w:val="0"/>
          <w:sz w:val="22"/>
        </w:rPr>
        <w:t xml:space="preserve">                           </w:t>
      </w:r>
    </w:p>
    <w:p w:rsidR="006C2BEC" w:rsidRPr="009263D7" w:rsidRDefault="00CB4B9E" w:rsidP="006C2BEC">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8555" w:type="dxa"/>
        <w:jc w:val="center"/>
        <w:tblInd w:w="93" w:type="dxa"/>
        <w:tblLayout w:type="fixed"/>
        <w:tblLook w:val="04A0"/>
      </w:tblPr>
      <w:tblGrid>
        <w:gridCol w:w="1575"/>
        <w:gridCol w:w="1559"/>
        <w:gridCol w:w="1417"/>
        <w:gridCol w:w="1560"/>
        <w:gridCol w:w="871"/>
        <w:gridCol w:w="1573"/>
      </w:tblGrid>
      <w:tr w:rsidR="005F0E61" w:rsidRPr="009263D7" w:rsidTr="004A715F">
        <w:trPr>
          <w:trHeight w:val="450"/>
          <w:jc w:val="center"/>
        </w:trPr>
        <w:tc>
          <w:tcPr>
            <w:tcW w:w="1575" w:type="dxa"/>
            <w:tcBorders>
              <w:top w:val="single" w:sz="8" w:space="0" w:color="auto"/>
              <w:left w:val="nil"/>
              <w:bottom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保险类别</w:t>
            </w:r>
          </w:p>
        </w:tc>
        <w:tc>
          <w:tcPr>
            <w:tcW w:w="1559" w:type="dxa"/>
            <w:tcBorders>
              <w:top w:val="single" w:sz="8" w:space="0" w:color="auto"/>
              <w:left w:val="single" w:sz="2" w:space="0" w:color="auto"/>
              <w:bottom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保单持有人所属国家</w:t>
            </w:r>
            <w:r w:rsidRPr="00CB4B9E">
              <w:rPr>
                <w:rFonts w:ascii="宋体" w:hAnsi="宋体" w:cs="宋体"/>
                <w:color w:val="000000" w:themeColor="text1"/>
                <w:kern w:val="0"/>
                <w:sz w:val="18"/>
                <w:szCs w:val="18"/>
              </w:rPr>
              <w:t>/地区</w:t>
            </w:r>
          </w:p>
        </w:tc>
        <w:tc>
          <w:tcPr>
            <w:tcW w:w="1417" w:type="dxa"/>
            <w:tcBorders>
              <w:top w:val="single" w:sz="8" w:space="0" w:color="auto"/>
              <w:left w:val="single" w:sz="2" w:space="0" w:color="auto"/>
              <w:bottom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保单持有人所属部门</w:t>
            </w:r>
          </w:p>
        </w:tc>
        <w:tc>
          <w:tcPr>
            <w:tcW w:w="1560" w:type="dxa"/>
            <w:tcBorders>
              <w:top w:val="single" w:sz="8" w:space="0" w:color="auto"/>
              <w:left w:val="single" w:sz="2" w:space="0" w:color="auto"/>
              <w:bottom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保单持有人与本机构的关系</w:t>
            </w:r>
          </w:p>
        </w:tc>
        <w:tc>
          <w:tcPr>
            <w:tcW w:w="871" w:type="dxa"/>
            <w:tcBorders>
              <w:top w:val="single" w:sz="8" w:space="0" w:color="auto"/>
              <w:left w:val="single" w:sz="2" w:space="0" w:color="auto"/>
              <w:bottom w:val="nil"/>
              <w:right w:val="single" w:sz="2" w:space="0" w:color="auto"/>
            </w:tcBorders>
            <w:shd w:val="clear" w:color="auto" w:fill="auto"/>
            <w:vAlign w:val="center"/>
          </w:tcPr>
          <w:p w:rsidR="0035038B"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填表</w:t>
            </w:r>
          </w:p>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币种</w:t>
            </w:r>
            <w:r w:rsidRPr="00CB4B9E">
              <w:rPr>
                <w:rFonts w:ascii="宋体" w:hAnsi="宋体" w:cs="宋体"/>
                <w:color w:val="000000" w:themeColor="text1"/>
                <w:kern w:val="0"/>
                <w:sz w:val="18"/>
                <w:szCs w:val="18"/>
              </w:rPr>
              <w:t xml:space="preserve">                           </w:t>
            </w:r>
          </w:p>
        </w:tc>
        <w:tc>
          <w:tcPr>
            <w:tcW w:w="1573" w:type="dxa"/>
            <w:tcBorders>
              <w:top w:val="single" w:sz="8" w:space="0" w:color="auto"/>
              <w:left w:val="single" w:sz="2" w:space="0" w:color="auto"/>
              <w:bottom w:val="nil"/>
              <w:right w:val="nil"/>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本月已赚毛保费总额</w:t>
            </w:r>
            <w:r w:rsidRPr="00CB4B9E">
              <w:rPr>
                <w:rFonts w:ascii="宋体" w:hAnsi="宋体" w:cs="宋体"/>
                <w:color w:val="000000" w:themeColor="text1"/>
                <w:kern w:val="0"/>
                <w:sz w:val="18"/>
                <w:szCs w:val="18"/>
              </w:rPr>
              <w:t xml:space="preserve">        </w:t>
            </w:r>
          </w:p>
        </w:tc>
      </w:tr>
      <w:tr w:rsidR="005F0E61" w:rsidRPr="009263D7" w:rsidTr="004A715F">
        <w:trPr>
          <w:trHeight w:val="285"/>
          <w:jc w:val="center"/>
        </w:trPr>
        <w:tc>
          <w:tcPr>
            <w:tcW w:w="1575" w:type="dxa"/>
            <w:tcBorders>
              <w:top w:val="nil"/>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I0101</w:t>
            </w:r>
          </w:p>
        </w:tc>
        <w:tc>
          <w:tcPr>
            <w:tcW w:w="1559" w:type="dxa"/>
            <w:tcBorders>
              <w:top w:val="nil"/>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I0102</w:t>
            </w:r>
          </w:p>
        </w:tc>
        <w:tc>
          <w:tcPr>
            <w:tcW w:w="1417" w:type="dxa"/>
            <w:tcBorders>
              <w:top w:val="nil"/>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I0103</w:t>
            </w:r>
          </w:p>
        </w:tc>
        <w:tc>
          <w:tcPr>
            <w:tcW w:w="1560" w:type="dxa"/>
            <w:tcBorders>
              <w:top w:val="nil"/>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I0104</w:t>
            </w:r>
          </w:p>
        </w:tc>
        <w:tc>
          <w:tcPr>
            <w:tcW w:w="871" w:type="dxa"/>
            <w:tcBorders>
              <w:top w:val="nil"/>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I0105</w:t>
            </w:r>
          </w:p>
        </w:tc>
        <w:tc>
          <w:tcPr>
            <w:tcW w:w="1573" w:type="dxa"/>
            <w:tcBorders>
              <w:top w:val="nil"/>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I0106</w:t>
            </w:r>
          </w:p>
        </w:tc>
      </w:tr>
      <w:tr w:rsidR="005F0E61" w:rsidRPr="009263D7" w:rsidTr="004A715F">
        <w:trPr>
          <w:trHeight w:val="285"/>
          <w:jc w:val="center"/>
        </w:trPr>
        <w:tc>
          <w:tcPr>
            <w:tcW w:w="1575" w:type="dxa"/>
            <w:tcBorders>
              <w:top w:val="single" w:sz="2" w:space="0" w:color="auto"/>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559"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417"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1560"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871"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1573" w:type="dxa"/>
            <w:tcBorders>
              <w:top w:val="single" w:sz="2" w:space="0" w:color="auto"/>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r>
      <w:tr w:rsidR="005F0E61" w:rsidRPr="009263D7" w:rsidTr="004A715F">
        <w:trPr>
          <w:trHeight w:val="270"/>
          <w:jc w:val="center"/>
        </w:trPr>
        <w:tc>
          <w:tcPr>
            <w:tcW w:w="1575" w:type="dxa"/>
            <w:tcBorders>
              <w:top w:val="single" w:sz="2" w:space="0" w:color="auto"/>
              <w:left w:val="nil"/>
              <w:bottom w:val="nil"/>
              <w:right w:val="nil"/>
            </w:tcBorders>
            <w:shd w:val="clear" w:color="auto" w:fill="auto"/>
            <w:noWrap/>
            <w:vAlign w:val="center"/>
          </w:tcPr>
          <w:p w:rsidR="00000000" w:rsidRDefault="00C97103">
            <w:pPr>
              <w:rPr>
                <w:kern w:val="0"/>
              </w:rPr>
            </w:pPr>
          </w:p>
        </w:tc>
        <w:tc>
          <w:tcPr>
            <w:tcW w:w="1559"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7"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60"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71"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73"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5F0E61" w:rsidRPr="009263D7" w:rsidTr="004A715F">
        <w:trPr>
          <w:trHeight w:val="270"/>
          <w:jc w:val="center"/>
        </w:trPr>
        <w:tc>
          <w:tcPr>
            <w:tcW w:w="1575" w:type="dxa"/>
            <w:tcBorders>
              <w:top w:val="nil"/>
              <w:left w:val="nil"/>
              <w:right w:val="nil"/>
            </w:tcBorders>
            <w:shd w:val="clear" w:color="auto" w:fill="auto"/>
            <w:noWrap/>
            <w:vAlign w:val="center"/>
          </w:tcPr>
          <w:p w:rsidR="00000000" w:rsidRDefault="00C97103">
            <w:pPr>
              <w:rPr>
                <w:kern w:val="0"/>
              </w:rPr>
            </w:pPr>
          </w:p>
        </w:tc>
        <w:tc>
          <w:tcPr>
            <w:tcW w:w="1559"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417"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60"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871"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73"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r>
      <w:tr w:rsidR="005F0E61" w:rsidRPr="009263D7" w:rsidTr="004A715F">
        <w:trPr>
          <w:trHeight w:val="285"/>
          <w:jc w:val="center"/>
        </w:trPr>
        <w:tc>
          <w:tcPr>
            <w:tcW w:w="1575" w:type="dxa"/>
            <w:tcBorders>
              <w:top w:val="nil"/>
              <w:left w:val="nil"/>
              <w:bottom w:val="single" w:sz="8" w:space="0" w:color="auto"/>
              <w:right w:val="nil"/>
            </w:tcBorders>
            <w:shd w:val="clear" w:color="auto" w:fill="auto"/>
            <w:noWrap/>
            <w:vAlign w:val="center"/>
          </w:tcPr>
          <w:p w:rsidR="00000000" w:rsidRDefault="00C97103">
            <w:pPr>
              <w:rPr>
                <w:kern w:val="0"/>
              </w:rPr>
            </w:pPr>
          </w:p>
        </w:tc>
        <w:tc>
          <w:tcPr>
            <w:tcW w:w="1559"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7" w:type="dxa"/>
            <w:tcBorders>
              <w:top w:val="nil"/>
              <w:left w:val="nil"/>
              <w:bottom w:val="single" w:sz="8" w:space="0" w:color="auto"/>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60"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71" w:type="dxa"/>
            <w:tcBorders>
              <w:top w:val="nil"/>
              <w:left w:val="nil"/>
              <w:bottom w:val="single" w:sz="8" w:space="0" w:color="auto"/>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73"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AD14FC" w:rsidRPr="009263D7" w:rsidTr="004A715F">
        <w:trPr>
          <w:trHeight w:val="285"/>
          <w:jc w:val="center"/>
        </w:trPr>
        <w:tc>
          <w:tcPr>
            <w:tcW w:w="1575" w:type="dxa"/>
            <w:tcBorders>
              <w:top w:val="single" w:sz="8" w:space="0" w:color="auto"/>
              <w:left w:val="nil"/>
              <w:bottom w:val="single" w:sz="8" w:space="0" w:color="auto"/>
              <w:right w:val="nil"/>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1559" w:type="dxa"/>
            <w:tcBorders>
              <w:top w:val="single" w:sz="8" w:space="0" w:color="auto"/>
              <w:left w:val="nil"/>
              <w:bottom w:val="single" w:sz="8" w:space="0" w:color="auto"/>
              <w:right w:val="nil"/>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7" w:type="dxa"/>
            <w:tcBorders>
              <w:top w:val="single" w:sz="8" w:space="0" w:color="auto"/>
              <w:left w:val="nil"/>
              <w:bottom w:val="single" w:sz="8" w:space="0" w:color="auto"/>
              <w:right w:val="nil"/>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60" w:type="dxa"/>
            <w:tcBorders>
              <w:top w:val="single" w:sz="8" w:space="0" w:color="auto"/>
              <w:left w:val="nil"/>
              <w:bottom w:val="single" w:sz="8" w:space="0" w:color="auto"/>
              <w:right w:val="nil"/>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871" w:type="dxa"/>
            <w:tcBorders>
              <w:top w:val="single" w:sz="8" w:space="0" w:color="auto"/>
              <w:left w:val="nil"/>
              <w:bottom w:val="single" w:sz="8" w:space="0" w:color="auto"/>
              <w:right w:val="nil"/>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73" w:type="dxa"/>
            <w:tcBorders>
              <w:top w:val="single" w:sz="8" w:space="0" w:color="auto"/>
              <w:left w:val="nil"/>
              <w:bottom w:val="single" w:sz="8" w:space="0" w:color="auto"/>
            </w:tcBorders>
            <w:shd w:val="clear" w:color="auto" w:fill="auto"/>
            <w:noWrap/>
            <w:vAlign w:val="center"/>
          </w:tcPr>
          <w:p w:rsidR="00AD14FC" w:rsidRPr="009263D7" w:rsidRDefault="00AD14FC" w:rsidP="00AD14FC">
            <w:pPr>
              <w:keepNext/>
              <w:spacing w:line="320" w:lineRule="exact"/>
              <w:ind w:left="34"/>
              <w:jc w:val="center"/>
              <w:outlineLvl w:val="0"/>
              <w:rPr>
                <w:rFonts w:ascii="宋体" w:hAnsi="宋体" w:cs="宋体"/>
                <w:color w:val="000000" w:themeColor="text1"/>
                <w:kern w:val="0"/>
                <w:sz w:val="18"/>
                <w:szCs w:val="18"/>
              </w:rPr>
            </w:pPr>
          </w:p>
        </w:tc>
      </w:tr>
      <w:tr w:rsidR="00AD14FC" w:rsidRPr="009263D7" w:rsidTr="004A715F">
        <w:trPr>
          <w:trHeight w:val="1125"/>
          <w:jc w:val="center"/>
        </w:trPr>
        <w:tc>
          <w:tcPr>
            <w:tcW w:w="1575" w:type="dxa"/>
            <w:tcBorders>
              <w:top w:val="single" w:sz="8" w:space="0" w:color="auto"/>
              <w:left w:val="nil"/>
              <w:right w:val="single" w:sz="2" w:space="0" w:color="auto"/>
            </w:tcBorders>
            <w:shd w:val="clear" w:color="auto" w:fill="auto"/>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本月归属于非居民保单持有人的收益（补充保费）</w:t>
            </w:r>
          </w:p>
        </w:tc>
        <w:tc>
          <w:tcPr>
            <w:tcW w:w="1559" w:type="dxa"/>
            <w:tcBorders>
              <w:top w:val="single" w:sz="8" w:space="0" w:color="auto"/>
              <w:left w:val="single" w:sz="2" w:space="0" w:color="auto"/>
              <w:right w:val="single" w:sz="2" w:space="0" w:color="auto"/>
            </w:tcBorders>
            <w:shd w:val="clear" w:color="auto" w:fill="auto"/>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本月应付索赔</w:t>
            </w:r>
            <w:r w:rsidRPr="00CB4B9E">
              <w:rPr>
                <w:rFonts w:ascii="宋体" w:hAnsi="宋体" w:cs="宋体"/>
                <w:color w:val="000000" w:themeColor="text1"/>
                <w:kern w:val="0"/>
                <w:sz w:val="18"/>
                <w:szCs w:val="18"/>
              </w:rPr>
              <w:t>/福利总额</w:t>
            </w:r>
          </w:p>
        </w:tc>
        <w:tc>
          <w:tcPr>
            <w:tcW w:w="1417" w:type="dxa"/>
            <w:tcBorders>
              <w:top w:val="single" w:sz="8" w:space="0" w:color="auto"/>
              <w:left w:val="single" w:sz="2" w:space="0" w:color="auto"/>
              <w:right w:val="single" w:sz="2" w:space="0" w:color="auto"/>
            </w:tcBorders>
            <w:shd w:val="clear" w:color="auto" w:fill="auto"/>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上月末保单责任准备金余额</w:t>
            </w:r>
          </w:p>
        </w:tc>
        <w:tc>
          <w:tcPr>
            <w:tcW w:w="1560" w:type="dxa"/>
            <w:tcBorders>
              <w:top w:val="single" w:sz="8" w:space="0" w:color="auto"/>
              <w:left w:val="single" w:sz="2" w:space="0" w:color="auto"/>
              <w:right w:val="single" w:sz="2" w:space="0" w:color="auto"/>
            </w:tcBorders>
            <w:shd w:val="clear" w:color="auto" w:fill="auto"/>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本月末保单责任准备金余额</w:t>
            </w:r>
          </w:p>
        </w:tc>
        <w:tc>
          <w:tcPr>
            <w:tcW w:w="2444" w:type="dxa"/>
            <w:gridSpan w:val="2"/>
            <w:tcBorders>
              <w:top w:val="single" w:sz="8" w:space="0" w:color="auto"/>
              <w:left w:val="single" w:sz="2" w:space="0" w:color="auto"/>
            </w:tcBorders>
            <w:shd w:val="clear" w:color="auto" w:fill="auto"/>
            <w:vAlign w:val="center"/>
          </w:tcPr>
          <w:p w:rsidR="00000000"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备注</w:t>
            </w:r>
          </w:p>
        </w:tc>
      </w:tr>
      <w:tr w:rsidR="00AD14FC" w:rsidRPr="009263D7" w:rsidTr="004A715F">
        <w:trPr>
          <w:trHeight w:val="285"/>
          <w:jc w:val="center"/>
        </w:trPr>
        <w:tc>
          <w:tcPr>
            <w:tcW w:w="1575" w:type="dxa"/>
            <w:tcBorders>
              <w:left w:val="nil"/>
              <w:bottom w:val="single" w:sz="2" w:space="0" w:color="auto"/>
              <w:right w:val="single" w:sz="2" w:space="0" w:color="auto"/>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I0107</w:t>
            </w:r>
          </w:p>
        </w:tc>
        <w:tc>
          <w:tcPr>
            <w:tcW w:w="1559" w:type="dxa"/>
            <w:tcBorders>
              <w:left w:val="single" w:sz="2" w:space="0" w:color="auto"/>
              <w:bottom w:val="single" w:sz="2" w:space="0" w:color="auto"/>
              <w:right w:val="single" w:sz="2" w:space="0" w:color="auto"/>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I0108</w:t>
            </w:r>
          </w:p>
        </w:tc>
        <w:tc>
          <w:tcPr>
            <w:tcW w:w="1417" w:type="dxa"/>
            <w:tcBorders>
              <w:left w:val="single" w:sz="2" w:space="0" w:color="auto"/>
              <w:bottom w:val="single" w:sz="2" w:space="0" w:color="auto"/>
              <w:right w:val="single" w:sz="2" w:space="0" w:color="auto"/>
            </w:tcBorders>
            <w:shd w:val="clear" w:color="auto" w:fill="auto"/>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I0109</w:t>
            </w:r>
          </w:p>
        </w:tc>
        <w:tc>
          <w:tcPr>
            <w:tcW w:w="1560" w:type="dxa"/>
            <w:tcBorders>
              <w:left w:val="single" w:sz="2" w:space="0" w:color="auto"/>
              <w:bottom w:val="single" w:sz="2" w:space="0" w:color="auto"/>
              <w:right w:val="single" w:sz="2" w:space="0" w:color="auto"/>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I0110</w:t>
            </w:r>
          </w:p>
        </w:tc>
        <w:tc>
          <w:tcPr>
            <w:tcW w:w="2444" w:type="dxa"/>
            <w:gridSpan w:val="2"/>
            <w:tcBorders>
              <w:left w:val="single" w:sz="2" w:space="0" w:color="auto"/>
              <w:bottom w:val="single" w:sz="2" w:space="0" w:color="auto"/>
            </w:tcBorders>
            <w:shd w:val="clear" w:color="auto" w:fill="auto"/>
            <w:noWrap/>
            <w:vAlign w:val="center"/>
          </w:tcPr>
          <w:p w:rsidR="00000000" w:rsidRDefault="00CB4B9E">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I0111</w:t>
            </w:r>
          </w:p>
        </w:tc>
      </w:tr>
      <w:tr w:rsidR="00AD14FC" w:rsidRPr="009263D7" w:rsidTr="004A715F">
        <w:trPr>
          <w:trHeight w:val="285"/>
          <w:jc w:val="center"/>
        </w:trPr>
        <w:tc>
          <w:tcPr>
            <w:tcW w:w="1575" w:type="dxa"/>
            <w:tcBorders>
              <w:top w:val="single" w:sz="2" w:space="0" w:color="auto"/>
              <w:left w:val="nil"/>
              <w:bottom w:val="single" w:sz="2" w:space="0" w:color="auto"/>
              <w:right w:val="single" w:sz="2" w:space="0" w:color="auto"/>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p>
        </w:tc>
        <w:tc>
          <w:tcPr>
            <w:tcW w:w="1559" w:type="dxa"/>
            <w:tcBorders>
              <w:top w:val="single" w:sz="2" w:space="0" w:color="auto"/>
              <w:left w:val="single" w:sz="2" w:space="0" w:color="auto"/>
              <w:bottom w:val="single" w:sz="2" w:space="0" w:color="auto"/>
              <w:right w:val="single" w:sz="2" w:space="0" w:color="auto"/>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3</w:t>
            </w:r>
          </w:p>
        </w:tc>
        <w:tc>
          <w:tcPr>
            <w:tcW w:w="1417" w:type="dxa"/>
            <w:tcBorders>
              <w:top w:val="single" w:sz="2" w:space="0" w:color="auto"/>
              <w:left w:val="single" w:sz="2" w:space="0" w:color="auto"/>
              <w:bottom w:val="single" w:sz="2" w:space="0" w:color="auto"/>
              <w:right w:val="single" w:sz="2" w:space="0" w:color="auto"/>
            </w:tcBorders>
            <w:shd w:val="clear" w:color="auto" w:fill="auto"/>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4</w:t>
            </w:r>
          </w:p>
        </w:tc>
        <w:tc>
          <w:tcPr>
            <w:tcW w:w="1560" w:type="dxa"/>
            <w:tcBorders>
              <w:top w:val="single" w:sz="2" w:space="0" w:color="auto"/>
              <w:left w:val="single" w:sz="2" w:space="0" w:color="auto"/>
              <w:bottom w:val="single" w:sz="2" w:space="0" w:color="auto"/>
              <w:right w:val="single" w:sz="2" w:space="0" w:color="auto"/>
            </w:tcBorders>
            <w:shd w:val="clear" w:color="auto" w:fill="auto"/>
            <w:noWrap/>
            <w:vAlign w:val="center"/>
          </w:tcPr>
          <w:p w:rsidR="00AD14FC"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5</w:t>
            </w:r>
          </w:p>
        </w:tc>
        <w:tc>
          <w:tcPr>
            <w:tcW w:w="2444" w:type="dxa"/>
            <w:gridSpan w:val="2"/>
            <w:tcBorders>
              <w:top w:val="single" w:sz="2" w:space="0" w:color="auto"/>
              <w:left w:val="single" w:sz="2" w:space="0" w:color="auto"/>
              <w:bottom w:val="single" w:sz="2" w:space="0" w:color="auto"/>
            </w:tcBorders>
            <w:shd w:val="clear" w:color="auto" w:fill="auto"/>
            <w:noWrap/>
            <w:vAlign w:val="center"/>
          </w:tcPr>
          <w:p w:rsidR="00000000" w:rsidRDefault="00CB4B9E">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己</w:t>
            </w:r>
          </w:p>
        </w:tc>
      </w:tr>
      <w:tr w:rsidR="005F0E61" w:rsidRPr="009263D7" w:rsidTr="004A715F">
        <w:trPr>
          <w:trHeight w:val="270"/>
          <w:jc w:val="center"/>
        </w:trPr>
        <w:tc>
          <w:tcPr>
            <w:tcW w:w="1575" w:type="dxa"/>
            <w:tcBorders>
              <w:top w:val="single" w:sz="2" w:space="0" w:color="auto"/>
              <w:left w:val="nil"/>
              <w:bottom w:val="nil"/>
              <w:right w:val="nil"/>
            </w:tcBorders>
            <w:shd w:val="clear" w:color="auto" w:fill="auto"/>
            <w:noWrap/>
            <w:vAlign w:val="center"/>
          </w:tcPr>
          <w:p w:rsidR="00000000" w:rsidRDefault="00C97103">
            <w:pPr>
              <w:rPr>
                <w:kern w:val="0"/>
              </w:rPr>
            </w:pPr>
          </w:p>
        </w:tc>
        <w:tc>
          <w:tcPr>
            <w:tcW w:w="1559" w:type="dxa"/>
            <w:tcBorders>
              <w:top w:val="single" w:sz="2" w:space="0" w:color="auto"/>
              <w:left w:val="nil"/>
              <w:bottom w:val="nil"/>
              <w:right w:val="nil"/>
            </w:tcBorders>
            <w:shd w:val="clear" w:color="auto" w:fill="auto"/>
            <w:noWrap/>
            <w:vAlign w:val="center"/>
          </w:tcPr>
          <w:p w:rsidR="00000000" w:rsidRDefault="00C97103">
            <w:pPr>
              <w:rPr>
                <w:kern w:val="0"/>
              </w:rPr>
            </w:pPr>
          </w:p>
        </w:tc>
        <w:tc>
          <w:tcPr>
            <w:tcW w:w="1417" w:type="dxa"/>
            <w:tcBorders>
              <w:top w:val="single" w:sz="2" w:space="0" w:color="auto"/>
              <w:left w:val="nil"/>
              <w:bottom w:val="nil"/>
              <w:right w:val="nil"/>
            </w:tcBorders>
            <w:shd w:val="clear" w:color="auto" w:fill="auto"/>
            <w:noWrap/>
            <w:vAlign w:val="center"/>
          </w:tcPr>
          <w:p w:rsidR="00000000" w:rsidRDefault="00CB4B9E">
            <w:pPr>
              <w:rPr>
                <w:kern w:val="0"/>
              </w:rPr>
            </w:pPr>
            <w:r w:rsidRPr="00CB4B9E">
              <w:rPr>
                <w:rFonts w:hint="eastAsia"/>
                <w:kern w:val="0"/>
              </w:rPr>
              <w:t xml:space="preserve">　</w:t>
            </w:r>
          </w:p>
        </w:tc>
        <w:tc>
          <w:tcPr>
            <w:tcW w:w="1560" w:type="dxa"/>
            <w:tcBorders>
              <w:top w:val="single" w:sz="2" w:space="0" w:color="auto"/>
              <w:left w:val="nil"/>
              <w:bottom w:val="nil"/>
              <w:right w:val="nil"/>
            </w:tcBorders>
            <w:shd w:val="clear" w:color="auto" w:fill="auto"/>
            <w:noWrap/>
            <w:vAlign w:val="center"/>
          </w:tcPr>
          <w:p w:rsidR="00000000" w:rsidRDefault="00C97103">
            <w:pPr>
              <w:rPr>
                <w:kern w:val="0"/>
              </w:rPr>
            </w:pPr>
          </w:p>
        </w:tc>
        <w:tc>
          <w:tcPr>
            <w:tcW w:w="871" w:type="dxa"/>
            <w:tcBorders>
              <w:top w:val="single" w:sz="2" w:space="0" w:color="auto"/>
              <w:left w:val="nil"/>
              <w:bottom w:val="nil"/>
              <w:right w:val="nil"/>
            </w:tcBorders>
            <w:shd w:val="clear" w:color="auto" w:fill="auto"/>
            <w:noWrap/>
            <w:vAlign w:val="center"/>
          </w:tcPr>
          <w:p w:rsidR="00000000" w:rsidRDefault="00CB4B9E">
            <w:pPr>
              <w:rPr>
                <w:kern w:val="0"/>
              </w:rPr>
            </w:pPr>
            <w:r w:rsidRPr="00CB4B9E">
              <w:rPr>
                <w:rFonts w:hint="eastAsia"/>
                <w:kern w:val="0"/>
              </w:rPr>
              <w:t xml:space="preserve">　</w:t>
            </w:r>
          </w:p>
        </w:tc>
        <w:tc>
          <w:tcPr>
            <w:tcW w:w="1573" w:type="dxa"/>
            <w:tcBorders>
              <w:top w:val="single" w:sz="2" w:space="0" w:color="auto"/>
              <w:left w:val="nil"/>
              <w:bottom w:val="nil"/>
              <w:right w:val="nil"/>
            </w:tcBorders>
            <w:shd w:val="clear" w:color="auto" w:fill="auto"/>
            <w:noWrap/>
            <w:vAlign w:val="center"/>
          </w:tcPr>
          <w:p w:rsidR="00000000" w:rsidRDefault="00C97103">
            <w:pPr>
              <w:rPr>
                <w:kern w:val="0"/>
              </w:rPr>
            </w:pPr>
          </w:p>
        </w:tc>
      </w:tr>
      <w:tr w:rsidR="005F0E61" w:rsidRPr="009263D7" w:rsidTr="004A715F">
        <w:trPr>
          <w:trHeight w:val="270"/>
          <w:jc w:val="center"/>
        </w:trPr>
        <w:tc>
          <w:tcPr>
            <w:tcW w:w="1575" w:type="dxa"/>
            <w:tcBorders>
              <w:top w:val="nil"/>
              <w:left w:val="nil"/>
              <w:bottom w:val="nil"/>
              <w:right w:val="nil"/>
            </w:tcBorders>
            <w:shd w:val="clear" w:color="auto" w:fill="auto"/>
            <w:noWrap/>
            <w:vAlign w:val="center"/>
          </w:tcPr>
          <w:p w:rsidR="00000000" w:rsidRDefault="00C97103">
            <w:pPr>
              <w:rPr>
                <w:kern w:val="0"/>
              </w:rPr>
            </w:pPr>
          </w:p>
        </w:tc>
        <w:tc>
          <w:tcPr>
            <w:tcW w:w="1559" w:type="dxa"/>
            <w:tcBorders>
              <w:top w:val="nil"/>
              <w:left w:val="nil"/>
              <w:bottom w:val="nil"/>
              <w:right w:val="nil"/>
            </w:tcBorders>
            <w:shd w:val="clear" w:color="auto" w:fill="auto"/>
            <w:noWrap/>
            <w:vAlign w:val="center"/>
          </w:tcPr>
          <w:p w:rsidR="00000000" w:rsidRDefault="00C97103">
            <w:pPr>
              <w:rPr>
                <w:kern w:val="0"/>
              </w:rPr>
            </w:pPr>
          </w:p>
        </w:tc>
        <w:tc>
          <w:tcPr>
            <w:tcW w:w="1417" w:type="dxa"/>
            <w:tcBorders>
              <w:top w:val="nil"/>
              <w:left w:val="nil"/>
              <w:bottom w:val="nil"/>
              <w:right w:val="nil"/>
            </w:tcBorders>
            <w:shd w:val="clear" w:color="auto" w:fill="auto"/>
            <w:noWrap/>
            <w:vAlign w:val="center"/>
          </w:tcPr>
          <w:p w:rsidR="00000000" w:rsidRDefault="00C97103">
            <w:pPr>
              <w:rPr>
                <w:kern w:val="0"/>
              </w:rPr>
            </w:pPr>
          </w:p>
        </w:tc>
        <w:tc>
          <w:tcPr>
            <w:tcW w:w="1560" w:type="dxa"/>
            <w:tcBorders>
              <w:top w:val="nil"/>
              <w:left w:val="nil"/>
              <w:bottom w:val="nil"/>
              <w:right w:val="nil"/>
            </w:tcBorders>
            <w:shd w:val="clear" w:color="auto" w:fill="auto"/>
            <w:noWrap/>
            <w:vAlign w:val="center"/>
          </w:tcPr>
          <w:p w:rsidR="00000000" w:rsidRDefault="00C97103">
            <w:pPr>
              <w:rPr>
                <w:kern w:val="0"/>
              </w:rPr>
            </w:pPr>
          </w:p>
        </w:tc>
        <w:tc>
          <w:tcPr>
            <w:tcW w:w="871" w:type="dxa"/>
            <w:tcBorders>
              <w:top w:val="nil"/>
              <w:left w:val="nil"/>
              <w:bottom w:val="nil"/>
              <w:right w:val="nil"/>
            </w:tcBorders>
            <w:shd w:val="clear" w:color="auto" w:fill="auto"/>
            <w:noWrap/>
            <w:vAlign w:val="center"/>
          </w:tcPr>
          <w:p w:rsidR="00000000" w:rsidRDefault="00C97103">
            <w:pPr>
              <w:rPr>
                <w:kern w:val="0"/>
              </w:rPr>
            </w:pPr>
          </w:p>
        </w:tc>
        <w:tc>
          <w:tcPr>
            <w:tcW w:w="1573" w:type="dxa"/>
            <w:tcBorders>
              <w:top w:val="nil"/>
              <w:left w:val="nil"/>
              <w:bottom w:val="nil"/>
              <w:right w:val="nil"/>
            </w:tcBorders>
            <w:shd w:val="clear" w:color="auto" w:fill="auto"/>
            <w:noWrap/>
            <w:vAlign w:val="center"/>
          </w:tcPr>
          <w:p w:rsidR="00000000" w:rsidRDefault="00C97103">
            <w:pPr>
              <w:rPr>
                <w:kern w:val="0"/>
              </w:rPr>
            </w:pPr>
          </w:p>
        </w:tc>
      </w:tr>
      <w:tr w:rsidR="005F0E61" w:rsidRPr="009263D7" w:rsidTr="004A715F">
        <w:trPr>
          <w:trHeight w:val="285"/>
          <w:jc w:val="center"/>
        </w:trPr>
        <w:tc>
          <w:tcPr>
            <w:tcW w:w="1575" w:type="dxa"/>
            <w:tcBorders>
              <w:top w:val="nil"/>
              <w:left w:val="nil"/>
              <w:bottom w:val="single" w:sz="8" w:space="0" w:color="auto"/>
              <w:right w:val="nil"/>
            </w:tcBorders>
            <w:shd w:val="clear" w:color="auto" w:fill="auto"/>
            <w:noWrap/>
            <w:vAlign w:val="center"/>
          </w:tcPr>
          <w:p w:rsidR="00000000" w:rsidRDefault="00CB4B9E">
            <w:pPr>
              <w:rPr>
                <w:kern w:val="0"/>
              </w:rPr>
            </w:pPr>
            <w:r w:rsidRPr="00CB4B9E">
              <w:rPr>
                <w:rFonts w:hint="eastAsia"/>
                <w:kern w:val="0"/>
              </w:rPr>
              <w:t xml:space="preserve">　</w:t>
            </w:r>
          </w:p>
        </w:tc>
        <w:tc>
          <w:tcPr>
            <w:tcW w:w="1559" w:type="dxa"/>
            <w:tcBorders>
              <w:top w:val="nil"/>
              <w:left w:val="nil"/>
              <w:bottom w:val="single" w:sz="8" w:space="0" w:color="auto"/>
              <w:right w:val="nil"/>
            </w:tcBorders>
            <w:shd w:val="clear" w:color="auto" w:fill="auto"/>
            <w:noWrap/>
            <w:vAlign w:val="center"/>
          </w:tcPr>
          <w:p w:rsidR="00000000" w:rsidRDefault="00CB4B9E">
            <w:pPr>
              <w:rPr>
                <w:kern w:val="0"/>
              </w:rPr>
            </w:pPr>
            <w:r w:rsidRPr="00CB4B9E">
              <w:rPr>
                <w:rFonts w:hint="eastAsia"/>
                <w:kern w:val="0"/>
              </w:rPr>
              <w:t xml:space="preserve">　</w:t>
            </w:r>
          </w:p>
        </w:tc>
        <w:tc>
          <w:tcPr>
            <w:tcW w:w="1417" w:type="dxa"/>
            <w:tcBorders>
              <w:top w:val="nil"/>
              <w:left w:val="nil"/>
              <w:bottom w:val="single" w:sz="8" w:space="0" w:color="auto"/>
              <w:right w:val="nil"/>
            </w:tcBorders>
            <w:shd w:val="clear" w:color="auto" w:fill="auto"/>
            <w:noWrap/>
            <w:vAlign w:val="center"/>
          </w:tcPr>
          <w:p w:rsidR="00000000" w:rsidRDefault="00CB4B9E">
            <w:pPr>
              <w:rPr>
                <w:kern w:val="0"/>
              </w:rPr>
            </w:pPr>
            <w:r w:rsidRPr="00CB4B9E">
              <w:rPr>
                <w:rFonts w:hint="eastAsia"/>
                <w:kern w:val="0"/>
              </w:rPr>
              <w:t xml:space="preserve">　</w:t>
            </w:r>
          </w:p>
        </w:tc>
        <w:tc>
          <w:tcPr>
            <w:tcW w:w="1560" w:type="dxa"/>
            <w:tcBorders>
              <w:top w:val="nil"/>
              <w:left w:val="nil"/>
              <w:bottom w:val="single" w:sz="8" w:space="0" w:color="auto"/>
              <w:right w:val="nil"/>
            </w:tcBorders>
            <w:shd w:val="clear" w:color="auto" w:fill="auto"/>
            <w:noWrap/>
            <w:vAlign w:val="center"/>
          </w:tcPr>
          <w:p w:rsidR="00000000" w:rsidRDefault="00CB4B9E">
            <w:pPr>
              <w:rPr>
                <w:kern w:val="0"/>
              </w:rPr>
            </w:pPr>
            <w:r w:rsidRPr="00CB4B9E">
              <w:rPr>
                <w:rFonts w:hint="eastAsia"/>
                <w:kern w:val="0"/>
              </w:rPr>
              <w:t xml:space="preserve">　</w:t>
            </w:r>
          </w:p>
        </w:tc>
        <w:tc>
          <w:tcPr>
            <w:tcW w:w="871" w:type="dxa"/>
            <w:tcBorders>
              <w:top w:val="nil"/>
              <w:left w:val="nil"/>
              <w:bottom w:val="single" w:sz="8" w:space="0" w:color="auto"/>
              <w:right w:val="nil"/>
            </w:tcBorders>
            <w:shd w:val="clear" w:color="auto" w:fill="auto"/>
            <w:noWrap/>
            <w:vAlign w:val="center"/>
          </w:tcPr>
          <w:p w:rsidR="00000000" w:rsidRDefault="00CB4B9E">
            <w:pPr>
              <w:rPr>
                <w:kern w:val="0"/>
              </w:rPr>
            </w:pPr>
            <w:r w:rsidRPr="00CB4B9E">
              <w:rPr>
                <w:rFonts w:hint="eastAsia"/>
                <w:kern w:val="0"/>
              </w:rPr>
              <w:t xml:space="preserve">　</w:t>
            </w:r>
          </w:p>
        </w:tc>
        <w:tc>
          <w:tcPr>
            <w:tcW w:w="1573" w:type="dxa"/>
            <w:tcBorders>
              <w:top w:val="nil"/>
              <w:left w:val="nil"/>
              <w:bottom w:val="single" w:sz="8" w:space="0" w:color="auto"/>
              <w:right w:val="nil"/>
            </w:tcBorders>
            <w:shd w:val="clear" w:color="auto" w:fill="auto"/>
            <w:noWrap/>
            <w:vAlign w:val="center"/>
          </w:tcPr>
          <w:p w:rsidR="00000000" w:rsidRDefault="00CB4B9E">
            <w:pPr>
              <w:rPr>
                <w:kern w:val="0"/>
              </w:rPr>
            </w:pPr>
            <w:r w:rsidRPr="00CB4B9E">
              <w:rPr>
                <w:rFonts w:hint="eastAsia"/>
                <w:kern w:val="0"/>
              </w:rPr>
              <w:t xml:space="preserve">　</w:t>
            </w:r>
          </w:p>
        </w:tc>
      </w:tr>
    </w:tbl>
    <w:p w:rsidR="00000000" w:rsidRDefault="00CB4B9E">
      <w:pPr>
        <w:ind w:leftChars="202" w:left="424"/>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000000" w:rsidRDefault="00CB4B9E">
      <w:pPr>
        <w:ind w:leftChars="202" w:left="424"/>
        <w:rPr>
          <w:rFonts w:ascii="宋体"/>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98239D" w:rsidRPr="009263D7" w:rsidRDefault="0098239D" w:rsidP="006C2BEC">
      <w:pPr>
        <w:rPr>
          <w:rFonts w:ascii="宋体"/>
          <w:color w:val="000000" w:themeColor="text1"/>
          <w:sz w:val="18"/>
        </w:rPr>
      </w:pPr>
    </w:p>
    <w:p w:rsidR="006C2BEC" w:rsidRPr="009263D7" w:rsidRDefault="00CB4B9E" w:rsidP="006C2BEC">
      <w:pPr>
        <w:spacing w:line="280" w:lineRule="exact"/>
        <w:ind w:leftChars="-1" w:left="1062" w:hangingChars="591" w:hanging="1064"/>
        <w:rPr>
          <w:rFonts w:ascii="宋体"/>
          <w:color w:val="000000" w:themeColor="text1"/>
          <w:sz w:val="18"/>
        </w:rPr>
      </w:pPr>
      <w:r w:rsidRPr="00CB4B9E">
        <w:rPr>
          <w:rFonts w:ascii="宋体"/>
          <w:color w:val="000000" w:themeColor="text1"/>
          <w:sz w:val="18"/>
        </w:rPr>
        <w:br w:type="page"/>
      </w:r>
    </w:p>
    <w:p w:rsidR="006C2BEC" w:rsidRPr="009263D7" w:rsidRDefault="006C2BEC" w:rsidP="006C2BEC">
      <w:pPr>
        <w:rPr>
          <w:rFonts w:ascii="宋体"/>
          <w:color w:val="000000" w:themeColor="text1"/>
          <w:sz w:val="18"/>
        </w:rPr>
      </w:pPr>
    </w:p>
    <w:p w:rsidR="006C2BEC" w:rsidRPr="009263D7" w:rsidRDefault="00CB4B9E" w:rsidP="006C2BEC">
      <w:pPr>
        <w:pStyle w:val="3"/>
        <w:jc w:val="center"/>
        <w:rPr>
          <w:rFonts w:ascii="宋体" w:hAnsi="宋体"/>
          <w:b w:val="0"/>
          <w:color w:val="000000" w:themeColor="text1"/>
          <w:kern w:val="0"/>
          <w:sz w:val="28"/>
          <w:szCs w:val="28"/>
        </w:rPr>
      </w:pPr>
      <w:bookmarkStart w:id="50" w:name="_Toc452017159"/>
      <w:r w:rsidRPr="00CB4B9E">
        <w:rPr>
          <w:rFonts w:ascii="宋体" w:hAnsi="宋体" w:hint="eastAsia"/>
          <w:b w:val="0"/>
          <w:color w:val="000000" w:themeColor="text1"/>
          <w:kern w:val="0"/>
          <w:sz w:val="28"/>
          <w:szCs w:val="28"/>
        </w:rPr>
        <w:t>为非居民提供再保险服务（分入保险）</w:t>
      </w:r>
      <w:bookmarkEnd w:id="50"/>
    </w:p>
    <w:p w:rsidR="006C2BEC" w:rsidRPr="009263D7" w:rsidRDefault="006C2BEC" w:rsidP="006C2BEC">
      <w:pPr>
        <w:rPr>
          <w:color w:val="000000" w:themeColor="text1"/>
        </w:rPr>
      </w:pPr>
    </w:p>
    <w:p w:rsidR="006C2BEC" w:rsidRPr="009263D7" w:rsidRDefault="00CB4B9E" w:rsidP="006C2BEC">
      <w:pPr>
        <w:jc w:val="center"/>
        <w:rPr>
          <w:rFonts w:ascii="宋体" w:hAnsi="宋体"/>
          <w:color w:val="000000" w:themeColor="text1"/>
          <w:kern w:val="0"/>
          <w:sz w:val="28"/>
          <w:szCs w:val="28"/>
        </w:rPr>
      </w:pPr>
      <w:r w:rsidRPr="00CB4B9E">
        <w:rPr>
          <w:rFonts w:ascii="宋体" w:hAnsi="宋体"/>
          <w:color w:val="000000" w:themeColor="text1"/>
          <w:kern w:val="0"/>
          <w:sz w:val="28"/>
          <w:szCs w:val="28"/>
        </w:rPr>
        <w:t xml:space="preserve">                           </w:t>
      </w: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I02表</w:t>
      </w:r>
    </w:p>
    <w:p w:rsidR="006C2BEC" w:rsidRPr="009263D7" w:rsidRDefault="00CB4B9E" w:rsidP="006C2BEC">
      <w:pPr>
        <w:spacing w:line="240" w:lineRule="exact"/>
        <w:rPr>
          <w:color w:val="000000" w:themeColor="text1"/>
          <w:sz w:val="18"/>
        </w:rPr>
      </w:pPr>
      <w:r w:rsidRPr="00CB4B9E">
        <w:rPr>
          <w:rFonts w:ascii="宋体" w:hAnsi="宋体" w:cs="宋体" w:hint="eastAsia"/>
          <w:color w:val="000000" w:themeColor="text1"/>
          <w:kern w:val="0"/>
          <w:sz w:val="18"/>
          <w:szCs w:val="18"/>
        </w:rPr>
        <w:t>机构</w:t>
      </w:r>
      <w:r w:rsidRPr="00CB4B9E">
        <w:rPr>
          <w:rFonts w:ascii="宋体" w:hAnsi="宋体" w:cs="宋体"/>
          <w:color w:val="000000" w:themeColor="text1"/>
          <w:kern w:val="0"/>
          <w:sz w:val="18"/>
          <w:szCs w:val="18"/>
        </w:rPr>
        <w:t>(单位)</w:t>
      </w:r>
      <w:r w:rsidRPr="00CB4B9E">
        <w:rPr>
          <w:rFonts w:ascii="宋体" w:hAnsi="宋体" w:cs="宋体" w:hint="eastAsia"/>
          <w:color w:val="000000" w:themeColor="text1"/>
          <w:kern w:val="0"/>
          <w:sz w:val="18"/>
          <w:szCs w:val="18"/>
        </w:rPr>
        <w:t>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6C2BEC" w:rsidRPr="009263D7" w:rsidRDefault="00CB4B9E" w:rsidP="006C2BEC">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6C2BEC" w:rsidRPr="009263D7" w:rsidRDefault="00CB4B9E" w:rsidP="006C2BEC">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6C2BEC" w:rsidRPr="009263D7" w:rsidRDefault="00CB4B9E" w:rsidP="006C2BEC">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6C2BEC" w:rsidRPr="009263D7" w:rsidRDefault="00CB4B9E" w:rsidP="006C2BEC">
      <w:pPr>
        <w:tabs>
          <w:tab w:val="left" w:pos="6930"/>
        </w:tabs>
        <w:spacing w:line="240" w:lineRule="exact"/>
        <w:rPr>
          <w:color w:val="000000" w:themeColor="text1"/>
          <w:sz w:val="18"/>
        </w:rPr>
      </w:pPr>
      <w:r w:rsidRPr="00CB4B9E">
        <w:rPr>
          <w:rFonts w:ascii="宋体" w:hAnsi="宋体" w:cs="宋体"/>
          <w:color w:val="000000" w:themeColor="text1"/>
          <w:kern w:val="0"/>
          <w:sz w:val="22"/>
        </w:rPr>
        <w:t xml:space="preserve">                           </w:t>
      </w: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8804" w:type="dxa"/>
        <w:jc w:val="center"/>
        <w:tblInd w:w="93" w:type="dxa"/>
        <w:tblLayout w:type="fixed"/>
        <w:tblLook w:val="04A0"/>
      </w:tblPr>
      <w:tblGrid>
        <w:gridCol w:w="1396"/>
        <w:gridCol w:w="1397"/>
        <w:gridCol w:w="1396"/>
        <w:gridCol w:w="1638"/>
        <w:gridCol w:w="1418"/>
        <w:gridCol w:w="1559"/>
      </w:tblGrid>
      <w:tr w:rsidR="005F0E61" w:rsidRPr="009263D7" w:rsidTr="004D143B">
        <w:trPr>
          <w:trHeight w:val="675"/>
          <w:jc w:val="center"/>
        </w:trPr>
        <w:tc>
          <w:tcPr>
            <w:tcW w:w="1396" w:type="dxa"/>
            <w:tcBorders>
              <w:top w:val="single" w:sz="8" w:space="0" w:color="auto"/>
              <w:left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保险类别</w:t>
            </w:r>
          </w:p>
        </w:tc>
        <w:tc>
          <w:tcPr>
            <w:tcW w:w="1397"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再保险分出人所属国家</w:t>
            </w:r>
            <w:r w:rsidRPr="00CB4B9E">
              <w:rPr>
                <w:rFonts w:ascii="宋体" w:hAnsi="宋体" w:cs="宋体"/>
                <w:color w:val="000000" w:themeColor="text1"/>
                <w:kern w:val="0"/>
                <w:sz w:val="18"/>
                <w:szCs w:val="18"/>
              </w:rPr>
              <w:t>/地区</w:t>
            </w:r>
          </w:p>
        </w:tc>
        <w:tc>
          <w:tcPr>
            <w:tcW w:w="1396"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再保险分出人所属部门</w:t>
            </w:r>
          </w:p>
        </w:tc>
        <w:tc>
          <w:tcPr>
            <w:tcW w:w="1638"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再保险分出人与本机构的关系</w:t>
            </w:r>
          </w:p>
        </w:tc>
        <w:tc>
          <w:tcPr>
            <w:tcW w:w="1418"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填表币种</w:t>
            </w:r>
            <w:r w:rsidRPr="00CB4B9E">
              <w:rPr>
                <w:color w:val="000000" w:themeColor="text1"/>
                <w:kern w:val="0"/>
                <w:sz w:val="18"/>
                <w:szCs w:val="18"/>
              </w:rPr>
              <w:t xml:space="preserve">                           </w:t>
            </w:r>
          </w:p>
        </w:tc>
        <w:tc>
          <w:tcPr>
            <w:tcW w:w="1559" w:type="dxa"/>
            <w:tcBorders>
              <w:top w:val="single" w:sz="8" w:space="0" w:color="auto"/>
              <w:left w:val="single" w:sz="2" w:space="0" w:color="auto"/>
              <w:right w:val="nil"/>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本月分入业务已赚分保费收入</w:t>
            </w:r>
            <w:r w:rsidRPr="00CB4B9E">
              <w:rPr>
                <w:color w:val="000000" w:themeColor="text1"/>
                <w:kern w:val="0"/>
                <w:sz w:val="18"/>
                <w:szCs w:val="18"/>
              </w:rPr>
              <w:t xml:space="preserve">       </w:t>
            </w:r>
          </w:p>
        </w:tc>
      </w:tr>
      <w:tr w:rsidR="005F0E61" w:rsidRPr="009263D7" w:rsidTr="004D143B">
        <w:trPr>
          <w:trHeight w:val="285"/>
          <w:jc w:val="center"/>
        </w:trPr>
        <w:tc>
          <w:tcPr>
            <w:tcW w:w="1396" w:type="dxa"/>
            <w:tcBorders>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I0201</w:t>
            </w:r>
          </w:p>
        </w:tc>
        <w:tc>
          <w:tcPr>
            <w:tcW w:w="1397"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I0202</w:t>
            </w:r>
          </w:p>
        </w:tc>
        <w:tc>
          <w:tcPr>
            <w:tcW w:w="1396"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I0203</w:t>
            </w:r>
          </w:p>
        </w:tc>
        <w:tc>
          <w:tcPr>
            <w:tcW w:w="1638"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I0204</w:t>
            </w:r>
          </w:p>
        </w:tc>
        <w:tc>
          <w:tcPr>
            <w:tcW w:w="1418"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I0205</w:t>
            </w:r>
          </w:p>
        </w:tc>
        <w:tc>
          <w:tcPr>
            <w:tcW w:w="1559" w:type="dxa"/>
            <w:tcBorders>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I0206</w:t>
            </w:r>
          </w:p>
        </w:tc>
      </w:tr>
      <w:tr w:rsidR="005F0E61" w:rsidRPr="009263D7" w:rsidTr="004D143B">
        <w:trPr>
          <w:trHeight w:val="285"/>
          <w:jc w:val="center"/>
        </w:trPr>
        <w:tc>
          <w:tcPr>
            <w:tcW w:w="1396" w:type="dxa"/>
            <w:tcBorders>
              <w:top w:val="single" w:sz="2" w:space="0" w:color="auto"/>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397"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396"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1638"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1418"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1559" w:type="dxa"/>
            <w:tcBorders>
              <w:top w:val="single" w:sz="2" w:space="0" w:color="auto"/>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1</w:t>
            </w:r>
          </w:p>
        </w:tc>
      </w:tr>
      <w:tr w:rsidR="005F0E61" w:rsidRPr="009263D7" w:rsidTr="004D143B">
        <w:trPr>
          <w:trHeight w:val="270"/>
          <w:jc w:val="center"/>
        </w:trPr>
        <w:tc>
          <w:tcPr>
            <w:tcW w:w="1396"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638"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8" w:type="dxa"/>
            <w:tcBorders>
              <w:top w:val="single" w:sz="2" w:space="0" w:color="auto"/>
              <w:left w:val="nil"/>
              <w:bottom w:val="nil"/>
              <w:right w:val="nil"/>
            </w:tcBorders>
            <w:shd w:val="clear" w:color="auto" w:fill="auto"/>
            <w:noWrap/>
            <w:vAlign w:val="center"/>
          </w:tcPr>
          <w:p w:rsidR="005F0E61" w:rsidRPr="009263D7" w:rsidRDefault="00CB4B9E" w:rsidP="00A63760">
            <w:pPr>
              <w:keepNext/>
              <w:keepLines/>
              <w:widowControl/>
              <w:tabs>
                <w:tab w:val="num" w:pos="1440"/>
              </w:tabs>
              <w:spacing w:before="260" w:after="260" w:line="415" w:lineRule="auto"/>
              <w:ind w:left="1080" w:hanging="720"/>
              <w:jc w:val="center"/>
              <w:outlineLvl w:val="2"/>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59" w:type="dxa"/>
            <w:tcBorders>
              <w:top w:val="single" w:sz="2" w:space="0" w:color="auto"/>
              <w:left w:val="nil"/>
              <w:bottom w:val="nil"/>
              <w:right w:val="nil"/>
            </w:tcBorders>
            <w:shd w:val="clear" w:color="auto" w:fill="auto"/>
            <w:noWrap/>
            <w:vAlign w:val="center"/>
          </w:tcPr>
          <w:p w:rsidR="005F0E61" w:rsidRPr="009263D7" w:rsidRDefault="00CB4B9E" w:rsidP="00A63760">
            <w:pPr>
              <w:keepNext/>
              <w:keepLines/>
              <w:widowControl/>
              <w:tabs>
                <w:tab w:val="num" w:pos="1440"/>
              </w:tabs>
              <w:spacing w:before="260" w:after="260" w:line="415" w:lineRule="auto"/>
              <w:ind w:left="1080" w:hanging="720"/>
              <w:jc w:val="center"/>
              <w:outlineLvl w:val="2"/>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5F0E61" w:rsidRPr="009263D7" w:rsidTr="004D143B">
        <w:trPr>
          <w:trHeight w:val="270"/>
          <w:jc w:val="center"/>
        </w:trPr>
        <w:tc>
          <w:tcPr>
            <w:tcW w:w="1396"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638"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418"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59" w:type="dxa"/>
            <w:tcBorders>
              <w:top w:val="nil"/>
              <w:left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r>
      <w:tr w:rsidR="005F0E61" w:rsidRPr="009263D7" w:rsidTr="004D143B">
        <w:trPr>
          <w:trHeight w:val="285"/>
          <w:jc w:val="center"/>
        </w:trPr>
        <w:tc>
          <w:tcPr>
            <w:tcW w:w="1396" w:type="dxa"/>
            <w:tcBorders>
              <w:top w:val="nil"/>
              <w:left w:val="nil"/>
              <w:bottom w:val="single" w:sz="8" w:space="0" w:color="auto"/>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638"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8"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59"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5F0E61" w:rsidRPr="009263D7" w:rsidTr="004D143B">
        <w:trPr>
          <w:trHeight w:val="285"/>
          <w:jc w:val="center"/>
        </w:trPr>
        <w:tc>
          <w:tcPr>
            <w:tcW w:w="1396"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1397"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638"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8"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59"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5F0E61" w:rsidRPr="009263D7" w:rsidTr="004D143B">
        <w:trPr>
          <w:trHeight w:val="1125"/>
          <w:jc w:val="center"/>
        </w:trPr>
        <w:tc>
          <w:tcPr>
            <w:tcW w:w="1396" w:type="dxa"/>
            <w:tcBorders>
              <w:top w:val="single" w:sz="8" w:space="0" w:color="auto"/>
              <w:left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本月归属于非居民保单持有人的收益（补充保费）</w:t>
            </w:r>
          </w:p>
        </w:tc>
        <w:tc>
          <w:tcPr>
            <w:tcW w:w="1397"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本月应付分保费用</w:t>
            </w:r>
          </w:p>
        </w:tc>
        <w:tc>
          <w:tcPr>
            <w:tcW w:w="1396"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本月应付分保赔款</w:t>
            </w:r>
          </w:p>
        </w:tc>
        <w:tc>
          <w:tcPr>
            <w:tcW w:w="1638"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上月末分保责任准备金余额</w:t>
            </w:r>
          </w:p>
        </w:tc>
        <w:tc>
          <w:tcPr>
            <w:tcW w:w="1418"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本月末分保责任准备金余额</w:t>
            </w:r>
          </w:p>
        </w:tc>
        <w:tc>
          <w:tcPr>
            <w:tcW w:w="1559" w:type="dxa"/>
            <w:tcBorders>
              <w:top w:val="single" w:sz="8" w:space="0" w:color="auto"/>
              <w:left w:val="single" w:sz="2" w:space="0" w:color="auto"/>
              <w:right w:val="nil"/>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备注</w:t>
            </w:r>
          </w:p>
        </w:tc>
      </w:tr>
      <w:tr w:rsidR="005F0E61" w:rsidRPr="009263D7" w:rsidTr="004D143B">
        <w:trPr>
          <w:trHeight w:val="285"/>
          <w:jc w:val="center"/>
        </w:trPr>
        <w:tc>
          <w:tcPr>
            <w:tcW w:w="1396" w:type="dxa"/>
            <w:tcBorders>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I0207</w:t>
            </w:r>
          </w:p>
        </w:tc>
        <w:tc>
          <w:tcPr>
            <w:tcW w:w="1397"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I0208</w:t>
            </w:r>
          </w:p>
        </w:tc>
        <w:tc>
          <w:tcPr>
            <w:tcW w:w="1396"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I0209</w:t>
            </w:r>
          </w:p>
        </w:tc>
        <w:tc>
          <w:tcPr>
            <w:tcW w:w="1638"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I0210</w:t>
            </w:r>
          </w:p>
        </w:tc>
        <w:tc>
          <w:tcPr>
            <w:tcW w:w="1418"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I0211</w:t>
            </w:r>
          </w:p>
        </w:tc>
        <w:tc>
          <w:tcPr>
            <w:tcW w:w="1559" w:type="dxa"/>
            <w:tcBorders>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I0212</w:t>
            </w:r>
          </w:p>
        </w:tc>
      </w:tr>
      <w:tr w:rsidR="005F0E61" w:rsidRPr="009263D7" w:rsidTr="004D143B">
        <w:trPr>
          <w:trHeight w:val="285"/>
          <w:jc w:val="center"/>
        </w:trPr>
        <w:tc>
          <w:tcPr>
            <w:tcW w:w="1396" w:type="dxa"/>
            <w:tcBorders>
              <w:top w:val="single" w:sz="2" w:space="0" w:color="auto"/>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2</w:t>
            </w:r>
          </w:p>
        </w:tc>
        <w:tc>
          <w:tcPr>
            <w:tcW w:w="1397"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3</w:t>
            </w:r>
          </w:p>
        </w:tc>
        <w:tc>
          <w:tcPr>
            <w:tcW w:w="1396"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4</w:t>
            </w:r>
          </w:p>
        </w:tc>
        <w:tc>
          <w:tcPr>
            <w:tcW w:w="1638"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5</w:t>
            </w:r>
          </w:p>
        </w:tc>
        <w:tc>
          <w:tcPr>
            <w:tcW w:w="1418"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6</w:t>
            </w:r>
          </w:p>
        </w:tc>
        <w:tc>
          <w:tcPr>
            <w:tcW w:w="1559" w:type="dxa"/>
            <w:tcBorders>
              <w:top w:val="single" w:sz="2" w:space="0" w:color="auto"/>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已</w:t>
            </w:r>
          </w:p>
        </w:tc>
      </w:tr>
      <w:tr w:rsidR="005F0E61" w:rsidRPr="009263D7" w:rsidTr="004D143B">
        <w:trPr>
          <w:trHeight w:val="270"/>
          <w:jc w:val="center"/>
        </w:trPr>
        <w:tc>
          <w:tcPr>
            <w:tcW w:w="1396"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638"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8"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59"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5F0E61" w:rsidRPr="009263D7" w:rsidTr="004D143B">
        <w:trPr>
          <w:trHeight w:val="270"/>
          <w:jc w:val="center"/>
        </w:trPr>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638"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418"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59"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r>
      <w:tr w:rsidR="005F0E61" w:rsidRPr="009263D7" w:rsidTr="004D143B">
        <w:trPr>
          <w:trHeight w:val="285"/>
          <w:jc w:val="center"/>
        </w:trPr>
        <w:tc>
          <w:tcPr>
            <w:tcW w:w="1396"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7"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638"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418"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59"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000000" w:rsidRDefault="00CB4B9E">
      <w:pPr>
        <w:ind w:leftChars="135" w:left="283"/>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000000" w:rsidRDefault="00CB4B9E">
      <w:pPr>
        <w:tabs>
          <w:tab w:val="left" w:pos="6930"/>
        </w:tabs>
        <w:spacing w:line="240" w:lineRule="exact"/>
        <w:ind w:leftChars="135" w:left="283"/>
        <w:rPr>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6C2BEC" w:rsidRPr="009263D7" w:rsidRDefault="006C2BEC" w:rsidP="006C2BEC">
      <w:pPr>
        <w:rPr>
          <w:rFonts w:ascii="宋体"/>
          <w:color w:val="000000" w:themeColor="text1"/>
          <w:sz w:val="18"/>
        </w:rPr>
      </w:pPr>
    </w:p>
    <w:p w:rsidR="006C2BEC" w:rsidRPr="009263D7" w:rsidRDefault="006C2BEC" w:rsidP="006C2BEC">
      <w:pPr>
        <w:spacing w:line="280" w:lineRule="exact"/>
        <w:ind w:leftChars="-1" w:left="1062" w:hangingChars="591" w:hanging="1064"/>
        <w:rPr>
          <w:rFonts w:ascii="宋体"/>
          <w:color w:val="000000" w:themeColor="text1"/>
          <w:sz w:val="18"/>
        </w:rPr>
      </w:pPr>
    </w:p>
    <w:p w:rsidR="006C2BEC" w:rsidRPr="009263D7" w:rsidRDefault="00CB4B9E" w:rsidP="006C2BEC">
      <w:pPr>
        <w:spacing w:line="280" w:lineRule="exact"/>
        <w:ind w:leftChars="-1" w:left="1062" w:hangingChars="591" w:hanging="1064"/>
        <w:rPr>
          <w:rFonts w:ascii="宋体"/>
          <w:color w:val="000000" w:themeColor="text1"/>
          <w:sz w:val="18"/>
        </w:rPr>
      </w:pPr>
      <w:r w:rsidRPr="00CB4B9E">
        <w:rPr>
          <w:rFonts w:ascii="宋体"/>
          <w:color w:val="000000" w:themeColor="text1"/>
          <w:sz w:val="18"/>
        </w:rPr>
        <w:br w:type="page"/>
      </w:r>
    </w:p>
    <w:p w:rsidR="006C2BEC" w:rsidRPr="009263D7" w:rsidRDefault="006C2BEC" w:rsidP="006C2BEC">
      <w:pPr>
        <w:spacing w:line="280" w:lineRule="exact"/>
        <w:ind w:leftChars="-1" w:left="1062" w:hangingChars="591" w:hanging="1064"/>
        <w:rPr>
          <w:rFonts w:ascii="宋体"/>
          <w:color w:val="000000" w:themeColor="text1"/>
          <w:sz w:val="18"/>
        </w:rPr>
      </w:pPr>
    </w:p>
    <w:p w:rsidR="006C2BEC" w:rsidRPr="009263D7" w:rsidRDefault="00CB4B9E" w:rsidP="006C2BEC">
      <w:pPr>
        <w:pStyle w:val="3"/>
        <w:jc w:val="center"/>
        <w:rPr>
          <w:rFonts w:ascii="宋体" w:hAnsi="宋体"/>
          <w:b w:val="0"/>
          <w:color w:val="000000" w:themeColor="text1"/>
          <w:kern w:val="0"/>
          <w:sz w:val="28"/>
          <w:szCs w:val="28"/>
        </w:rPr>
      </w:pPr>
      <w:bookmarkStart w:id="51" w:name="_Toc452017160"/>
      <w:r w:rsidRPr="00CB4B9E">
        <w:rPr>
          <w:rFonts w:ascii="宋体" w:hAnsi="宋体" w:hint="eastAsia"/>
          <w:b w:val="0"/>
          <w:color w:val="000000" w:themeColor="text1"/>
          <w:kern w:val="0"/>
          <w:sz w:val="28"/>
          <w:szCs w:val="28"/>
        </w:rPr>
        <w:t>从非居民保险机构获得再保险服务（分出保险）</w:t>
      </w:r>
      <w:bookmarkEnd w:id="51"/>
    </w:p>
    <w:p w:rsidR="00371B78" w:rsidRDefault="00371B78">
      <w:pPr>
        <w:rPr>
          <w:color w:val="000000" w:themeColor="text1"/>
        </w:rPr>
      </w:pPr>
    </w:p>
    <w:p w:rsidR="00000000" w:rsidRDefault="00CB4B9E">
      <w:pPr>
        <w:spacing w:line="240" w:lineRule="exact"/>
        <w:ind w:firstLineChars="3300" w:firstLine="594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表</w:t>
      </w: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号：外统</w:t>
      </w:r>
      <w:r w:rsidRPr="00CB4B9E">
        <w:rPr>
          <w:rFonts w:ascii="宋体" w:hAnsi="宋体" w:cs="宋体"/>
          <w:color w:val="000000" w:themeColor="text1"/>
          <w:kern w:val="0"/>
          <w:sz w:val="18"/>
          <w:szCs w:val="18"/>
        </w:rPr>
        <w:t>I0</w:t>
      </w:r>
      <w:r w:rsidR="00D1396C">
        <w:rPr>
          <w:rFonts w:ascii="宋体" w:hAnsi="宋体" w:cs="宋体" w:hint="eastAsia"/>
          <w:color w:val="000000" w:themeColor="text1"/>
          <w:kern w:val="0"/>
          <w:sz w:val="18"/>
          <w:szCs w:val="18"/>
        </w:rPr>
        <w:t>3</w:t>
      </w:r>
      <w:r w:rsidRPr="00CB4B9E">
        <w:rPr>
          <w:rFonts w:ascii="宋体" w:hAnsi="宋体" w:cs="宋体"/>
          <w:color w:val="000000" w:themeColor="text1"/>
          <w:kern w:val="0"/>
          <w:sz w:val="18"/>
          <w:szCs w:val="18"/>
        </w:rPr>
        <w:t>表</w:t>
      </w:r>
    </w:p>
    <w:p w:rsidR="00371B78" w:rsidRDefault="00CB4B9E">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000000" w:rsidRDefault="00CB4B9E">
      <w:pPr>
        <w:spacing w:line="240" w:lineRule="exact"/>
        <w:ind w:rightChars="-17" w:right="-36"/>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批准机关：国家统计局</w:t>
      </w:r>
    </w:p>
    <w:p w:rsidR="00371B78" w:rsidRDefault="00CB4B9E">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371B78" w:rsidRDefault="00CB4B9E">
      <w:pPr>
        <w:spacing w:line="240" w:lineRule="exact"/>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6C2BEC" w:rsidRPr="009263D7" w:rsidRDefault="00CB4B9E" w:rsidP="006C2BEC">
      <w:pPr>
        <w:tabs>
          <w:tab w:val="left" w:pos="6930"/>
        </w:tabs>
        <w:spacing w:line="240" w:lineRule="exact"/>
        <w:rPr>
          <w:color w:val="000000" w:themeColor="text1"/>
          <w:sz w:val="18"/>
        </w:rPr>
      </w:pPr>
      <w:r w:rsidRPr="00CB4B9E">
        <w:rPr>
          <w:rFonts w:ascii="宋体" w:hAnsi="宋体" w:cs="宋体"/>
          <w:color w:val="000000" w:themeColor="text1"/>
          <w:kern w:val="0"/>
          <w:sz w:val="22"/>
        </w:rPr>
        <w:t xml:space="preserve">                           </w:t>
      </w:r>
    </w:p>
    <w:p w:rsidR="006C2BEC" w:rsidRPr="009263D7" w:rsidRDefault="00CB4B9E" w:rsidP="006C2BEC">
      <w:pPr>
        <w:spacing w:line="240" w:lineRule="exact"/>
        <w:rPr>
          <w:color w:val="000000" w:themeColor="text1"/>
          <w:sz w:val="18"/>
        </w:rPr>
      </w:pP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货币单位</w:t>
      </w:r>
    </w:p>
    <w:tbl>
      <w:tblPr>
        <w:tblW w:w="8555" w:type="dxa"/>
        <w:jc w:val="center"/>
        <w:tblInd w:w="93" w:type="dxa"/>
        <w:tblLayout w:type="fixed"/>
        <w:tblLook w:val="04A0"/>
      </w:tblPr>
      <w:tblGrid>
        <w:gridCol w:w="1396"/>
        <w:gridCol w:w="1397"/>
        <w:gridCol w:w="1396"/>
        <w:gridCol w:w="1397"/>
        <w:gridCol w:w="1396"/>
        <w:gridCol w:w="1573"/>
      </w:tblGrid>
      <w:tr w:rsidR="005F0E61" w:rsidRPr="009263D7" w:rsidTr="004A715F">
        <w:trPr>
          <w:trHeight w:val="675"/>
          <w:jc w:val="center"/>
        </w:trPr>
        <w:tc>
          <w:tcPr>
            <w:tcW w:w="1396" w:type="dxa"/>
            <w:tcBorders>
              <w:top w:val="single" w:sz="8" w:space="0" w:color="auto"/>
              <w:left w:val="nil"/>
              <w:bottom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保险类别</w:t>
            </w:r>
          </w:p>
        </w:tc>
        <w:tc>
          <w:tcPr>
            <w:tcW w:w="1397" w:type="dxa"/>
            <w:tcBorders>
              <w:top w:val="single" w:sz="8" w:space="0" w:color="auto"/>
              <w:left w:val="single" w:sz="2" w:space="0" w:color="auto"/>
              <w:bottom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再保险接受人所属国家</w:t>
            </w:r>
            <w:r w:rsidRPr="00CB4B9E">
              <w:rPr>
                <w:rFonts w:ascii="宋体" w:hAnsi="宋体" w:cs="宋体"/>
                <w:color w:val="000000" w:themeColor="text1"/>
                <w:kern w:val="0"/>
                <w:sz w:val="18"/>
                <w:szCs w:val="18"/>
              </w:rPr>
              <w:t>/地区</w:t>
            </w:r>
          </w:p>
        </w:tc>
        <w:tc>
          <w:tcPr>
            <w:tcW w:w="1396" w:type="dxa"/>
            <w:tcBorders>
              <w:top w:val="single" w:sz="8" w:space="0" w:color="auto"/>
              <w:left w:val="single" w:sz="2" w:space="0" w:color="auto"/>
              <w:bottom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再保险接受人所属部门</w:t>
            </w:r>
          </w:p>
        </w:tc>
        <w:tc>
          <w:tcPr>
            <w:tcW w:w="1397" w:type="dxa"/>
            <w:tcBorders>
              <w:top w:val="single" w:sz="8" w:space="0" w:color="auto"/>
              <w:left w:val="single" w:sz="2" w:space="0" w:color="auto"/>
              <w:bottom w:val="nil"/>
              <w:right w:val="single" w:sz="2" w:space="0" w:color="auto"/>
            </w:tcBorders>
            <w:shd w:val="clear" w:color="auto" w:fill="auto"/>
            <w:vAlign w:val="center"/>
          </w:tcPr>
          <w:p w:rsidR="0035038B"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再保险接受人与本机构的</w:t>
            </w:r>
          </w:p>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关系</w:t>
            </w:r>
          </w:p>
        </w:tc>
        <w:tc>
          <w:tcPr>
            <w:tcW w:w="1396" w:type="dxa"/>
            <w:tcBorders>
              <w:top w:val="single" w:sz="8" w:space="0" w:color="auto"/>
              <w:left w:val="single" w:sz="2" w:space="0" w:color="auto"/>
              <w:bottom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填表币种</w:t>
            </w:r>
            <w:r w:rsidRPr="00CB4B9E">
              <w:rPr>
                <w:color w:val="000000" w:themeColor="text1"/>
                <w:kern w:val="0"/>
                <w:sz w:val="18"/>
                <w:szCs w:val="18"/>
              </w:rPr>
              <w:t xml:space="preserve">                           </w:t>
            </w:r>
          </w:p>
        </w:tc>
        <w:tc>
          <w:tcPr>
            <w:tcW w:w="1573" w:type="dxa"/>
            <w:tcBorders>
              <w:top w:val="single" w:sz="8" w:space="0" w:color="auto"/>
              <w:left w:val="single" w:sz="2" w:space="0" w:color="auto"/>
              <w:bottom w:val="nil"/>
              <w:right w:val="nil"/>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本月分出业务保费支出</w:t>
            </w:r>
            <w:r w:rsidRPr="00CB4B9E">
              <w:rPr>
                <w:color w:val="000000" w:themeColor="text1"/>
                <w:kern w:val="0"/>
                <w:sz w:val="18"/>
                <w:szCs w:val="18"/>
              </w:rPr>
              <w:t xml:space="preserve">       </w:t>
            </w:r>
          </w:p>
        </w:tc>
      </w:tr>
      <w:tr w:rsidR="005F0E61" w:rsidRPr="009263D7" w:rsidTr="004A715F">
        <w:trPr>
          <w:trHeight w:val="285"/>
          <w:jc w:val="center"/>
        </w:trPr>
        <w:tc>
          <w:tcPr>
            <w:tcW w:w="1396" w:type="dxa"/>
            <w:tcBorders>
              <w:top w:val="nil"/>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I0301</w:t>
            </w:r>
          </w:p>
        </w:tc>
        <w:tc>
          <w:tcPr>
            <w:tcW w:w="1397" w:type="dxa"/>
            <w:tcBorders>
              <w:top w:val="nil"/>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I0302</w:t>
            </w:r>
          </w:p>
        </w:tc>
        <w:tc>
          <w:tcPr>
            <w:tcW w:w="1396" w:type="dxa"/>
            <w:tcBorders>
              <w:top w:val="nil"/>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I0303</w:t>
            </w:r>
          </w:p>
        </w:tc>
        <w:tc>
          <w:tcPr>
            <w:tcW w:w="1397" w:type="dxa"/>
            <w:tcBorders>
              <w:top w:val="nil"/>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I0304</w:t>
            </w:r>
          </w:p>
        </w:tc>
        <w:tc>
          <w:tcPr>
            <w:tcW w:w="1396" w:type="dxa"/>
            <w:tcBorders>
              <w:top w:val="nil"/>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I0305</w:t>
            </w:r>
          </w:p>
        </w:tc>
        <w:tc>
          <w:tcPr>
            <w:tcW w:w="1573" w:type="dxa"/>
            <w:tcBorders>
              <w:top w:val="nil"/>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I0306</w:t>
            </w:r>
          </w:p>
        </w:tc>
      </w:tr>
      <w:tr w:rsidR="005F0E61" w:rsidRPr="009263D7" w:rsidTr="004A715F">
        <w:trPr>
          <w:trHeight w:val="285"/>
          <w:jc w:val="center"/>
        </w:trPr>
        <w:tc>
          <w:tcPr>
            <w:tcW w:w="1396" w:type="dxa"/>
            <w:tcBorders>
              <w:top w:val="single" w:sz="2" w:space="0" w:color="auto"/>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397"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396"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丙</w:t>
            </w:r>
          </w:p>
        </w:tc>
        <w:tc>
          <w:tcPr>
            <w:tcW w:w="1397"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丁</w:t>
            </w:r>
          </w:p>
        </w:tc>
        <w:tc>
          <w:tcPr>
            <w:tcW w:w="1396"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戊</w:t>
            </w:r>
          </w:p>
        </w:tc>
        <w:tc>
          <w:tcPr>
            <w:tcW w:w="1573" w:type="dxa"/>
            <w:tcBorders>
              <w:top w:val="single" w:sz="2" w:space="0" w:color="auto"/>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1</w:t>
            </w:r>
          </w:p>
        </w:tc>
      </w:tr>
      <w:tr w:rsidR="005F0E61" w:rsidRPr="009263D7" w:rsidTr="004A715F">
        <w:trPr>
          <w:trHeight w:val="270"/>
          <w:jc w:val="center"/>
        </w:trPr>
        <w:tc>
          <w:tcPr>
            <w:tcW w:w="1396"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7"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73"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r>
      <w:tr w:rsidR="005F0E61" w:rsidRPr="009263D7" w:rsidTr="004A715F">
        <w:trPr>
          <w:trHeight w:val="270"/>
          <w:jc w:val="center"/>
        </w:trPr>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73"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r>
      <w:tr w:rsidR="005F0E61" w:rsidRPr="009263D7" w:rsidTr="004A715F">
        <w:trPr>
          <w:trHeight w:val="285"/>
          <w:jc w:val="center"/>
        </w:trPr>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7"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73"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r>
      <w:tr w:rsidR="005F0E61" w:rsidRPr="009263D7" w:rsidTr="004A715F">
        <w:trPr>
          <w:trHeight w:val="285"/>
          <w:jc w:val="center"/>
        </w:trPr>
        <w:tc>
          <w:tcPr>
            <w:tcW w:w="1396"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续表</w:t>
            </w:r>
          </w:p>
        </w:tc>
        <w:tc>
          <w:tcPr>
            <w:tcW w:w="1397"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7"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73" w:type="dxa"/>
            <w:tcBorders>
              <w:top w:val="single" w:sz="8" w:space="0" w:color="auto"/>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5F0E61" w:rsidRPr="009263D7" w:rsidTr="004A715F">
        <w:trPr>
          <w:trHeight w:val="675"/>
          <w:jc w:val="center"/>
        </w:trPr>
        <w:tc>
          <w:tcPr>
            <w:tcW w:w="1396" w:type="dxa"/>
            <w:tcBorders>
              <w:top w:val="single" w:sz="8" w:space="0" w:color="auto"/>
              <w:left w:val="nil"/>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本月摊回分保费用收入</w:t>
            </w:r>
          </w:p>
        </w:tc>
        <w:tc>
          <w:tcPr>
            <w:tcW w:w="1397"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本月摊回赔付成本收入</w:t>
            </w:r>
          </w:p>
        </w:tc>
        <w:tc>
          <w:tcPr>
            <w:tcW w:w="1396"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上月末应收分保责任准备金余额</w:t>
            </w:r>
          </w:p>
        </w:tc>
        <w:tc>
          <w:tcPr>
            <w:tcW w:w="1397"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本月末应收分保责任准备金余额</w:t>
            </w:r>
          </w:p>
        </w:tc>
        <w:tc>
          <w:tcPr>
            <w:tcW w:w="1396" w:type="dxa"/>
            <w:tcBorders>
              <w:top w:val="single" w:sz="8" w:space="0" w:color="auto"/>
              <w:left w:val="single" w:sz="2" w:space="0" w:color="auto"/>
              <w:right w:val="single" w:sz="2" w:space="0" w:color="auto"/>
            </w:tcBorders>
            <w:shd w:val="clear" w:color="auto" w:fill="auto"/>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备注</w:t>
            </w:r>
          </w:p>
        </w:tc>
        <w:tc>
          <w:tcPr>
            <w:tcW w:w="1573" w:type="dxa"/>
            <w:tcBorders>
              <w:top w:val="single" w:sz="8" w:space="0" w:color="auto"/>
              <w:left w:val="single" w:sz="2" w:space="0" w:color="auto"/>
              <w:right w:val="nil"/>
            </w:tcBorders>
            <w:shd w:val="clear" w:color="auto" w:fill="auto"/>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r>
      <w:tr w:rsidR="005F0E61" w:rsidRPr="009263D7" w:rsidTr="004A715F">
        <w:trPr>
          <w:trHeight w:val="285"/>
          <w:jc w:val="center"/>
        </w:trPr>
        <w:tc>
          <w:tcPr>
            <w:tcW w:w="1396" w:type="dxa"/>
            <w:tcBorders>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I0307</w:t>
            </w:r>
          </w:p>
        </w:tc>
        <w:tc>
          <w:tcPr>
            <w:tcW w:w="1397"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I0308</w:t>
            </w:r>
          </w:p>
        </w:tc>
        <w:tc>
          <w:tcPr>
            <w:tcW w:w="1396"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I0309</w:t>
            </w:r>
          </w:p>
        </w:tc>
        <w:tc>
          <w:tcPr>
            <w:tcW w:w="1397"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I0310</w:t>
            </w:r>
          </w:p>
        </w:tc>
        <w:tc>
          <w:tcPr>
            <w:tcW w:w="1396" w:type="dxa"/>
            <w:tcBorders>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I0311</w:t>
            </w:r>
          </w:p>
        </w:tc>
        <w:tc>
          <w:tcPr>
            <w:tcW w:w="1573" w:type="dxa"/>
            <w:tcBorders>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rFonts w:hint="eastAsia"/>
                <w:color w:val="000000" w:themeColor="text1"/>
                <w:kern w:val="0"/>
                <w:sz w:val="18"/>
                <w:szCs w:val="18"/>
              </w:rPr>
              <w:t xml:space="preserve">　</w:t>
            </w:r>
          </w:p>
        </w:tc>
      </w:tr>
      <w:tr w:rsidR="005F0E61" w:rsidRPr="009263D7" w:rsidTr="004A715F">
        <w:trPr>
          <w:trHeight w:val="285"/>
          <w:jc w:val="center"/>
        </w:trPr>
        <w:tc>
          <w:tcPr>
            <w:tcW w:w="1396" w:type="dxa"/>
            <w:tcBorders>
              <w:top w:val="single" w:sz="2" w:space="0" w:color="auto"/>
              <w:left w:val="nil"/>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2</w:t>
            </w:r>
          </w:p>
        </w:tc>
        <w:tc>
          <w:tcPr>
            <w:tcW w:w="1397"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3</w:t>
            </w:r>
          </w:p>
        </w:tc>
        <w:tc>
          <w:tcPr>
            <w:tcW w:w="1396"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4</w:t>
            </w:r>
          </w:p>
        </w:tc>
        <w:tc>
          <w:tcPr>
            <w:tcW w:w="1397"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color w:val="000000" w:themeColor="text1"/>
                <w:kern w:val="0"/>
                <w:sz w:val="18"/>
                <w:szCs w:val="18"/>
              </w:rPr>
              <w:t>5</w:t>
            </w:r>
          </w:p>
        </w:tc>
        <w:tc>
          <w:tcPr>
            <w:tcW w:w="1396" w:type="dxa"/>
            <w:tcBorders>
              <w:top w:val="single" w:sz="2" w:space="0" w:color="auto"/>
              <w:left w:val="single" w:sz="2" w:space="0" w:color="auto"/>
              <w:bottom w:val="single" w:sz="2" w:space="0" w:color="auto"/>
              <w:right w:val="single" w:sz="2" w:space="0" w:color="auto"/>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己</w:t>
            </w:r>
          </w:p>
        </w:tc>
        <w:tc>
          <w:tcPr>
            <w:tcW w:w="1573" w:type="dxa"/>
            <w:tcBorders>
              <w:top w:val="single" w:sz="2" w:space="0" w:color="auto"/>
              <w:left w:val="single" w:sz="2" w:space="0" w:color="auto"/>
              <w:bottom w:val="single" w:sz="2" w:space="0" w:color="auto"/>
              <w:right w:val="nil"/>
            </w:tcBorders>
            <w:shd w:val="clear" w:color="auto" w:fill="auto"/>
            <w:noWrap/>
            <w:vAlign w:val="center"/>
          </w:tcPr>
          <w:p w:rsidR="005F0E61" w:rsidRPr="009263D7" w:rsidRDefault="00CB4B9E" w:rsidP="00A63760">
            <w:pPr>
              <w:widowControl/>
              <w:jc w:val="center"/>
              <w:rPr>
                <w:color w:val="000000" w:themeColor="text1"/>
                <w:kern w:val="0"/>
                <w:sz w:val="18"/>
                <w:szCs w:val="18"/>
              </w:rPr>
            </w:pPr>
            <w:r w:rsidRPr="00CB4B9E">
              <w:rPr>
                <w:rFonts w:hint="eastAsia"/>
                <w:color w:val="000000" w:themeColor="text1"/>
                <w:kern w:val="0"/>
                <w:sz w:val="18"/>
                <w:szCs w:val="18"/>
              </w:rPr>
              <w:t xml:space="preserve">　</w:t>
            </w:r>
          </w:p>
        </w:tc>
      </w:tr>
      <w:tr w:rsidR="005F0E61" w:rsidRPr="009263D7" w:rsidTr="004A715F">
        <w:trPr>
          <w:trHeight w:val="270"/>
          <w:jc w:val="center"/>
        </w:trPr>
        <w:tc>
          <w:tcPr>
            <w:tcW w:w="1396"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single" w:sz="2" w:space="0" w:color="auto"/>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73" w:type="dxa"/>
            <w:tcBorders>
              <w:top w:val="single" w:sz="2" w:space="0" w:color="auto"/>
              <w:left w:val="nil"/>
              <w:bottom w:val="nil"/>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r w:rsidR="005F0E61" w:rsidRPr="009263D7" w:rsidTr="004A715F">
        <w:trPr>
          <w:trHeight w:val="270"/>
          <w:jc w:val="center"/>
        </w:trPr>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7"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396"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c>
          <w:tcPr>
            <w:tcW w:w="1573" w:type="dxa"/>
            <w:tcBorders>
              <w:top w:val="nil"/>
              <w:left w:val="nil"/>
              <w:bottom w:val="nil"/>
              <w:right w:val="nil"/>
            </w:tcBorders>
            <w:shd w:val="clear" w:color="auto" w:fill="auto"/>
            <w:noWrap/>
            <w:vAlign w:val="center"/>
          </w:tcPr>
          <w:p w:rsidR="005F0E61" w:rsidRPr="009263D7" w:rsidRDefault="005F0E61" w:rsidP="00A63760">
            <w:pPr>
              <w:keepNext/>
              <w:widowControl/>
              <w:spacing w:line="320" w:lineRule="exact"/>
              <w:jc w:val="center"/>
              <w:outlineLvl w:val="0"/>
              <w:rPr>
                <w:rFonts w:ascii="宋体" w:hAnsi="宋体" w:cs="宋体"/>
                <w:color w:val="000000" w:themeColor="text1"/>
                <w:kern w:val="0"/>
                <w:sz w:val="18"/>
                <w:szCs w:val="18"/>
              </w:rPr>
            </w:pPr>
          </w:p>
        </w:tc>
      </w:tr>
      <w:tr w:rsidR="005F0E61" w:rsidRPr="009263D7" w:rsidTr="004A715F">
        <w:trPr>
          <w:trHeight w:val="285"/>
          <w:jc w:val="center"/>
        </w:trPr>
        <w:tc>
          <w:tcPr>
            <w:tcW w:w="1396"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7"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7"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396"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573" w:type="dxa"/>
            <w:tcBorders>
              <w:top w:val="nil"/>
              <w:left w:val="nil"/>
              <w:bottom w:val="single" w:sz="8" w:space="0" w:color="auto"/>
              <w:right w:val="nil"/>
            </w:tcBorders>
            <w:shd w:val="clear" w:color="auto" w:fill="auto"/>
            <w:noWrap/>
            <w:vAlign w:val="center"/>
          </w:tcPr>
          <w:p w:rsidR="005F0E61" w:rsidRPr="009263D7" w:rsidRDefault="00CB4B9E" w:rsidP="00A63760">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000000" w:rsidRDefault="00CB4B9E">
      <w:pPr>
        <w:spacing w:line="240" w:lineRule="exact"/>
        <w:ind w:leftChars="202" w:left="424"/>
        <w:rPr>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000000" w:rsidRDefault="00CB4B9E">
      <w:pPr>
        <w:tabs>
          <w:tab w:val="left" w:pos="6930"/>
        </w:tabs>
        <w:spacing w:line="240" w:lineRule="exact"/>
        <w:ind w:leftChars="202" w:left="424"/>
        <w:rPr>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98239D" w:rsidRPr="009263D7" w:rsidRDefault="0098239D" w:rsidP="0098239D">
      <w:pPr>
        <w:rPr>
          <w:rFonts w:ascii="宋体"/>
          <w:color w:val="000000" w:themeColor="text1"/>
          <w:sz w:val="18"/>
        </w:rPr>
      </w:pPr>
    </w:p>
    <w:p w:rsidR="005F0E61" w:rsidRPr="009263D7" w:rsidRDefault="005F0E61" w:rsidP="006C2BEC">
      <w:pPr>
        <w:spacing w:line="240" w:lineRule="exact"/>
        <w:rPr>
          <w:color w:val="000000" w:themeColor="text1"/>
          <w:sz w:val="18"/>
        </w:rPr>
      </w:pPr>
    </w:p>
    <w:p w:rsidR="006C2BEC" w:rsidRPr="009263D7" w:rsidRDefault="006C2BEC" w:rsidP="006C2BEC">
      <w:pPr>
        <w:rPr>
          <w:rFonts w:ascii="宋体"/>
          <w:color w:val="000000" w:themeColor="text1"/>
          <w:sz w:val="18"/>
        </w:rPr>
      </w:pPr>
    </w:p>
    <w:p w:rsidR="00315EA9" w:rsidRPr="009263D7" w:rsidRDefault="00CB4B9E" w:rsidP="0036172D">
      <w:pPr>
        <w:rPr>
          <w:rFonts w:ascii="宋体"/>
          <w:color w:val="000000" w:themeColor="text1"/>
          <w:sz w:val="18"/>
        </w:rPr>
      </w:pPr>
      <w:r w:rsidRPr="00CB4B9E">
        <w:rPr>
          <w:rFonts w:ascii="宋体" w:hAnsi="宋体"/>
          <w:color w:val="000000" w:themeColor="text1"/>
          <w:kern w:val="0"/>
          <w:sz w:val="28"/>
          <w:szCs w:val="28"/>
        </w:rPr>
        <w:t xml:space="preserve">                            </w:t>
      </w:r>
    </w:p>
    <w:p w:rsidR="001F7729" w:rsidRPr="009263D7" w:rsidRDefault="00CB4B9E" w:rsidP="00315EA9">
      <w:pPr>
        <w:rPr>
          <w:rFonts w:ascii="宋体"/>
          <w:color w:val="000000" w:themeColor="text1"/>
          <w:sz w:val="18"/>
        </w:rPr>
        <w:sectPr w:rsidR="001F7729" w:rsidRPr="009263D7" w:rsidSect="00B154A0">
          <w:pgSz w:w="11907" w:h="16840" w:code="9"/>
          <w:pgMar w:top="1418" w:right="1247" w:bottom="1247" w:left="1247" w:header="851" w:footer="992" w:gutter="0"/>
          <w:cols w:space="425"/>
          <w:titlePg/>
          <w:docGrid w:type="lines" w:linePitch="312"/>
        </w:sectPr>
      </w:pPr>
      <w:r w:rsidRPr="00CB4B9E">
        <w:rPr>
          <w:rFonts w:ascii="宋体"/>
          <w:color w:val="000000" w:themeColor="text1"/>
          <w:sz w:val="18"/>
        </w:rPr>
        <w:t xml:space="preserve">          </w:t>
      </w:r>
    </w:p>
    <w:p w:rsidR="005606BE" w:rsidRPr="009263D7" w:rsidRDefault="005606BE" w:rsidP="005606BE">
      <w:pPr>
        <w:rPr>
          <w:rFonts w:ascii="宋体" w:hAnsi="宋体"/>
          <w:b/>
          <w:color w:val="000000" w:themeColor="text1"/>
          <w:kern w:val="0"/>
        </w:rPr>
      </w:pPr>
    </w:p>
    <w:p w:rsidR="001F7729" w:rsidRPr="009263D7" w:rsidRDefault="00CB4B9E" w:rsidP="001F7729">
      <w:pPr>
        <w:pStyle w:val="2"/>
        <w:jc w:val="center"/>
        <w:rPr>
          <w:rFonts w:ascii="宋体" w:eastAsia="宋体" w:hAnsi="宋体"/>
          <w:b w:val="0"/>
          <w:color w:val="000000" w:themeColor="text1"/>
          <w:kern w:val="0"/>
        </w:rPr>
      </w:pPr>
      <w:bookmarkStart w:id="52" w:name="_Toc452017161"/>
      <w:r w:rsidRPr="00CB4B9E">
        <w:rPr>
          <w:rFonts w:ascii="宋体" w:eastAsia="宋体" w:hAnsi="宋体" w:hint="eastAsia"/>
          <w:b w:val="0"/>
          <w:color w:val="000000" w:themeColor="text1"/>
          <w:kern w:val="0"/>
        </w:rPr>
        <w:t>（十一）补充报表：银行进出口贸易融资余额</w:t>
      </w:r>
      <w:bookmarkEnd w:id="52"/>
    </w:p>
    <w:p w:rsidR="001F7729" w:rsidRPr="009263D7" w:rsidRDefault="00CB4B9E" w:rsidP="001F7729">
      <w:pPr>
        <w:spacing w:line="240" w:lineRule="exact"/>
        <w:ind w:firstLineChars="3850" w:firstLine="6930"/>
        <w:rPr>
          <w:rFonts w:ascii="宋体" w:hAnsi="宋体"/>
          <w:color w:val="000000" w:themeColor="text1"/>
          <w:kern w:val="0"/>
          <w:sz w:val="32"/>
          <w:szCs w:val="32"/>
        </w:rPr>
      </w:pPr>
      <w:r w:rsidRPr="00CB4B9E">
        <w:rPr>
          <w:rFonts w:hint="eastAsia"/>
          <w:color w:val="000000" w:themeColor="text1"/>
          <w:sz w:val="18"/>
        </w:rPr>
        <w:t>表</w:t>
      </w:r>
      <w:r w:rsidRPr="00CB4B9E">
        <w:rPr>
          <w:color w:val="000000" w:themeColor="text1"/>
          <w:sz w:val="18"/>
        </w:rPr>
        <w:t xml:space="preserve">    </w:t>
      </w:r>
      <w:r w:rsidRPr="00CB4B9E">
        <w:rPr>
          <w:rFonts w:hint="eastAsia"/>
          <w:color w:val="000000" w:themeColor="text1"/>
          <w:sz w:val="18"/>
        </w:rPr>
        <w:t>号：</w:t>
      </w:r>
      <w:r w:rsidRPr="00CB4B9E">
        <w:rPr>
          <w:rFonts w:ascii="宋体" w:hAnsi="宋体" w:cs="宋体" w:hint="eastAsia"/>
          <w:color w:val="000000" w:themeColor="text1"/>
          <w:kern w:val="0"/>
          <w:sz w:val="18"/>
          <w:szCs w:val="18"/>
        </w:rPr>
        <w:t>外统</w:t>
      </w:r>
      <w:r w:rsidRPr="00CB4B9E">
        <w:rPr>
          <w:rFonts w:ascii="宋体" w:hAnsi="宋体" w:cs="宋体"/>
          <w:color w:val="000000" w:themeColor="text1"/>
          <w:kern w:val="0"/>
          <w:sz w:val="18"/>
          <w:szCs w:val="18"/>
        </w:rPr>
        <w:t>X01表</w:t>
      </w:r>
    </w:p>
    <w:p w:rsidR="001F7729" w:rsidRPr="009263D7" w:rsidRDefault="00CB4B9E" w:rsidP="001F7729">
      <w:pPr>
        <w:spacing w:line="240" w:lineRule="exact"/>
        <w:rPr>
          <w:color w:val="000000" w:themeColor="text1"/>
          <w:sz w:val="18"/>
        </w:rPr>
      </w:pPr>
      <w:r w:rsidRPr="00CB4B9E">
        <w:rPr>
          <w:rFonts w:ascii="宋体" w:hAnsi="宋体" w:cs="宋体" w:hint="eastAsia"/>
          <w:color w:val="000000" w:themeColor="text1"/>
          <w:kern w:val="0"/>
          <w:sz w:val="18"/>
          <w:szCs w:val="18"/>
        </w:rPr>
        <w:t>机构（单位）名称：</w:t>
      </w:r>
      <w:r w:rsidRPr="00CB4B9E">
        <w:rPr>
          <w:rFonts w:ascii="宋体" w:hAnsi="宋体" w:cs="宋体"/>
          <w:color w:val="000000" w:themeColor="text1"/>
          <w:kern w:val="0"/>
          <w:sz w:val="18"/>
          <w:szCs w:val="18"/>
        </w:rPr>
        <w:t xml:space="preserve">                                                           </w:t>
      </w:r>
      <w:r w:rsidRPr="00CB4B9E">
        <w:rPr>
          <w:rFonts w:hint="eastAsia"/>
          <w:color w:val="000000" w:themeColor="text1"/>
          <w:sz w:val="18"/>
        </w:rPr>
        <w:t>制定机关：国家外汇管理局</w:t>
      </w:r>
    </w:p>
    <w:p w:rsidR="001F7729" w:rsidRPr="009263D7" w:rsidRDefault="00CB4B9E" w:rsidP="001F7729">
      <w:pPr>
        <w:spacing w:line="240" w:lineRule="exact"/>
        <w:ind w:rightChars="-17" w:right="-36"/>
        <w:jc w:val="left"/>
        <w:rPr>
          <w:color w:val="000000" w:themeColor="text1"/>
          <w:sz w:val="18"/>
        </w:rPr>
      </w:pPr>
      <w:r w:rsidRPr="00CB4B9E">
        <w:rPr>
          <w:rFonts w:ascii="宋体" w:hAnsi="宋体" w:cs="宋体" w:hint="eastAsia"/>
          <w:color w:val="000000" w:themeColor="text1"/>
          <w:kern w:val="0"/>
          <w:sz w:val="18"/>
          <w:szCs w:val="18"/>
        </w:rPr>
        <w:t>机构代码（九位）：</w:t>
      </w: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批准机关：国</w:t>
      </w:r>
      <w:r w:rsidRPr="00CB4B9E">
        <w:rPr>
          <w:color w:val="000000" w:themeColor="text1"/>
          <w:sz w:val="18"/>
        </w:rPr>
        <w:t xml:space="preserve"> </w:t>
      </w:r>
      <w:r w:rsidRPr="00CB4B9E">
        <w:rPr>
          <w:rFonts w:hint="eastAsia"/>
          <w:color w:val="000000" w:themeColor="text1"/>
          <w:sz w:val="18"/>
        </w:rPr>
        <w:t>家</w:t>
      </w:r>
      <w:r w:rsidRPr="00CB4B9E">
        <w:rPr>
          <w:color w:val="000000" w:themeColor="text1"/>
          <w:sz w:val="18"/>
        </w:rPr>
        <w:t xml:space="preserve"> </w:t>
      </w:r>
      <w:r w:rsidRPr="00CB4B9E">
        <w:rPr>
          <w:rFonts w:hint="eastAsia"/>
          <w:color w:val="000000" w:themeColor="text1"/>
          <w:sz w:val="18"/>
        </w:rPr>
        <w:t>统</w:t>
      </w:r>
      <w:r w:rsidRPr="00CB4B9E">
        <w:rPr>
          <w:color w:val="000000" w:themeColor="text1"/>
          <w:sz w:val="18"/>
        </w:rPr>
        <w:t xml:space="preserve"> </w:t>
      </w:r>
      <w:r w:rsidRPr="00CB4B9E">
        <w:rPr>
          <w:rFonts w:hint="eastAsia"/>
          <w:color w:val="000000" w:themeColor="text1"/>
          <w:sz w:val="18"/>
        </w:rPr>
        <w:t>计</w:t>
      </w:r>
      <w:r w:rsidRPr="00CB4B9E">
        <w:rPr>
          <w:color w:val="000000" w:themeColor="text1"/>
          <w:sz w:val="18"/>
        </w:rPr>
        <w:t xml:space="preserve"> </w:t>
      </w:r>
      <w:r w:rsidRPr="00CB4B9E">
        <w:rPr>
          <w:rFonts w:hint="eastAsia"/>
          <w:color w:val="000000" w:themeColor="text1"/>
          <w:sz w:val="18"/>
        </w:rPr>
        <w:t>局</w:t>
      </w:r>
    </w:p>
    <w:p w:rsidR="001F7729" w:rsidRPr="009263D7" w:rsidRDefault="00CB4B9E" w:rsidP="001F7729">
      <w:pPr>
        <w:spacing w:line="240" w:lineRule="exac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r w:rsidRPr="00CB4B9E">
        <w:rPr>
          <w:rFonts w:hint="eastAsia"/>
          <w:color w:val="000000" w:themeColor="text1"/>
          <w:sz w:val="18"/>
        </w:rPr>
        <w:t>批准文号：国统制</w:t>
      </w:r>
      <w:r w:rsidRPr="00CB4B9E">
        <w:rPr>
          <w:color w:val="000000" w:themeColor="text1"/>
          <w:sz w:val="18"/>
        </w:rPr>
        <w:t>[2015]159</w:t>
      </w:r>
      <w:r w:rsidRPr="00CB4B9E">
        <w:rPr>
          <w:rFonts w:hint="eastAsia"/>
          <w:color w:val="000000" w:themeColor="text1"/>
          <w:sz w:val="18"/>
        </w:rPr>
        <w:t>号</w:t>
      </w:r>
    </w:p>
    <w:p w:rsidR="001F7729" w:rsidRPr="009263D7" w:rsidRDefault="00CB4B9E" w:rsidP="00804FD4">
      <w:pPr>
        <w:tabs>
          <w:tab w:val="left" w:pos="6663"/>
        </w:tabs>
        <w:spacing w:line="240" w:lineRule="exact"/>
        <w:ind w:rightChars="27" w:right="57"/>
        <w:rPr>
          <w:color w:val="000000" w:themeColor="text1"/>
          <w:sz w:val="18"/>
        </w:rPr>
      </w:pPr>
      <w:r w:rsidRPr="00CB4B9E">
        <w:rPr>
          <w:rFonts w:ascii="宋体" w:hAnsi="宋体" w:cs="宋体"/>
          <w:color w:val="000000" w:themeColor="text1"/>
          <w:kern w:val="0"/>
          <w:sz w:val="18"/>
          <w:szCs w:val="18"/>
        </w:rPr>
        <w:t xml:space="preserve">                </w:t>
      </w:r>
      <w:r w:rsidRPr="00CB4B9E">
        <w:rPr>
          <w:color w:val="000000" w:themeColor="text1"/>
          <w:kern w:val="0"/>
          <w:sz w:val="18"/>
          <w:szCs w:val="18"/>
        </w:rPr>
        <w:t xml:space="preserve">                                      </w:t>
      </w:r>
      <w:r w:rsidRPr="00CB4B9E">
        <w:rPr>
          <w:color w:val="000000" w:themeColor="text1"/>
          <w:sz w:val="15"/>
          <w:szCs w:val="15"/>
        </w:rPr>
        <w:t xml:space="preserve">                            </w:t>
      </w:r>
      <w:r w:rsidRPr="00CB4B9E">
        <w:rPr>
          <w:rFonts w:hint="eastAsia"/>
          <w:color w:val="000000" w:themeColor="text1"/>
          <w:sz w:val="18"/>
        </w:rPr>
        <w:t>有效期至：</w:t>
      </w:r>
      <w:r w:rsidRPr="00CB4B9E">
        <w:rPr>
          <w:color w:val="000000" w:themeColor="text1"/>
          <w:sz w:val="18"/>
        </w:rPr>
        <w:t>2018</w:t>
      </w:r>
      <w:r w:rsidRPr="00CB4B9E">
        <w:rPr>
          <w:rFonts w:hint="eastAsia"/>
          <w:color w:val="000000" w:themeColor="text1"/>
          <w:sz w:val="18"/>
        </w:rPr>
        <w:t>年</w:t>
      </w:r>
      <w:r w:rsidRPr="00CB4B9E">
        <w:rPr>
          <w:color w:val="000000" w:themeColor="text1"/>
          <w:sz w:val="18"/>
        </w:rPr>
        <w:t>9</w:t>
      </w:r>
      <w:r w:rsidRPr="00CB4B9E">
        <w:rPr>
          <w:rFonts w:hint="eastAsia"/>
          <w:color w:val="000000" w:themeColor="text1"/>
          <w:sz w:val="18"/>
        </w:rPr>
        <w:t>月</w:t>
      </w:r>
    </w:p>
    <w:p w:rsidR="00DA5465" w:rsidRPr="009263D7" w:rsidRDefault="00CB4B9E" w:rsidP="001F7729">
      <w:pPr>
        <w:tabs>
          <w:tab w:val="left" w:pos="6930"/>
        </w:tabs>
        <w:spacing w:line="240" w:lineRule="exact"/>
        <w:rPr>
          <w:rFonts w:ascii="宋体" w:hAnsi="宋体" w:cs="宋体"/>
          <w:color w:val="000000" w:themeColor="text1"/>
          <w:kern w:val="0"/>
          <w:sz w:val="22"/>
        </w:rPr>
      </w:pPr>
      <w:r w:rsidRPr="00CB4B9E">
        <w:rPr>
          <w:rFonts w:ascii="宋体" w:hAnsi="宋体" w:cs="宋体"/>
          <w:color w:val="000000" w:themeColor="text1"/>
          <w:kern w:val="0"/>
          <w:sz w:val="22"/>
        </w:rPr>
        <w:t xml:space="preserve">                              </w:t>
      </w:r>
      <w:r w:rsidRPr="00CB4B9E">
        <w:rPr>
          <w:color w:val="000000" w:themeColor="text1"/>
          <w:sz w:val="18"/>
        </w:rPr>
        <w:t xml:space="preserve"> 20  </w:t>
      </w:r>
      <w:r w:rsidRPr="00CB4B9E">
        <w:rPr>
          <w:rFonts w:hint="eastAsia"/>
          <w:color w:val="000000" w:themeColor="text1"/>
          <w:sz w:val="18"/>
        </w:rPr>
        <w:t>年</w:t>
      </w:r>
      <w:r w:rsidRPr="00CB4B9E">
        <w:rPr>
          <w:color w:val="000000" w:themeColor="text1"/>
          <w:sz w:val="18"/>
        </w:rPr>
        <w:t xml:space="preserve">    </w:t>
      </w:r>
      <w:r w:rsidRPr="00CB4B9E">
        <w:rPr>
          <w:rFonts w:hint="eastAsia"/>
          <w:color w:val="000000" w:themeColor="text1"/>
          <w:sz w:val="18"/>
        </w:rPr>
        <w:t>月</w:t>
      </w:r>
      <w:r w:rsidRPr="00CB4B9E">
        <w:rPr>
          <w:color w:val="000000" w:themeColor="text1"/>
          <w:sz w:val="18"/>
        </w:rPr>
        <w:t xml:space="preserve">                       </w:t>
      </w:r>
      <w:r w:rsidRPr="00CB4B9E">
        <w:rPr>
          <w:rFonts w:hint="eastAsia"/>
          <w:color w:val="000000" w:themeColor="text1"/>
          <w:sz w:val="18"/>
        </w:rPr>
        <w:t>单位：</w:t>
      </w:r>
      <w:r w:rsidRPr="00CB4B9E">
        <w:rPr>
          <w:color w:val="000000" w:themeColor="text1"/>
          <w:sz w:val="18"/>
        </w:rPr>
        <w:t>1</w:t>
      </w:r>
      <w:r w:rsidRPr="00CB4B9E">
        <w:rPr>
          <w:rFonts w:hint="eastAsia"/>
          <w:color w:val="000000" w:themeColor="text1"/>
          <w:sz w:val="18"/>
        </w:rPr>
        <w:t>美元</w:t>
      </w:r>
    </w:p>
    <w:tbl>
      <w:tblPr>
        <w:tblW w:w="9340" w:type="dxa"/>
        <w:tblInd w:w="93" w:type="dxa"/>
        <w:tblLook w:val="04A0"/>
      </w:tblPr>
      <w:tblGrid>
        <w:gridCol w:w="7180"/>
        <w:gridCol w:w="1080"/>
        <w:gridCol w:w="1080"/>
      </w:tblGrid>
      <w:tr w:rsidR="003658DD" w:rsidRPr="009263D7">
        <w:trPr>
          <w:trHeight w:val="270"/>
        </w:trPr>
        <w:tc>
          <w:tcPr>
            <w:tcW w:w="7180" w:type="dxa"/>
            <w:tcBorders>
              <w:top w:val="single" w:sz="8" w:space="0" w:color="auto"/>
              <w:left w:val="nil"/>
              <w:bottom w:val="single" w:sz="2" w:space="0" w:color="auto"/>
              <w:right w:val="single" w:sz="2" w:space="0" w:color="auto"/>
            </w:tcBorders>
            <w:shd w:val="clear" w:color="auto" w:fill="auto"/>
            <w:noWrap/>
            <w:vAlign w:val="center"/>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项目指标</w:t>
            </w:r>
          </w:p>
        </w:tc>
        <w:tc>
          <w:tcPr>
            <w:tcW w:w="1080" w:type="dxa"/>
            <w:tcBorders>
              <w:top w:val="single" w:sz="8" w:space="0" w:color="auto"/>
              <w:left w:val="single" w:sz="2" w:space="0" w:color="auto"/>
              <w:bottom w:val="single" w:sz="2" w:space="0" w:color="auto"/>
              <w:right w:val="single" w:sz="2" w:space="0" w:color="auto"/>
            </w:tcBorders>
            <w:shd w:val="clear" w:color="auto" w:fill="auto"/>
            <w:noWrap/>
            <w:vAlign w:val="center"/>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代码</w:t>
            </w:r>
          </w:p>
        </w:tc>
        <w:tc>
          <w:tcPr>
            <w:tcW w:w="1080" w:type="dxa"/>
            <w:tcBorders>
              <w:top w:val="single" w:sz="8" w:space="0" w:color="auto"/>
              <w:left w:val="single" w:sz="2" w:space="0" w:color="auto"/>
              <w:bottom w:val="single" w:sz="2" w:space="0" w:color="auto"/>
              <w:right w:val="nil"/>
            </w:tcBorders>
            <w:shd w:val="clear" w:color="auto" w:fill="auto"/>
            <w:noWrap/>
            <w:vAlign w:val="center"/>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金额</w:t>
            </w:r>
          </w:p>
        </w:tc>
      </w:tr>
      <w:tr w:rsidR="003658DD" w:rsidRPr="009263D7">
        <w:trPr>
          <w:trHeight w:val="270"/>
        </w:trPr>
        <w:tc>
          <w:tcPr>
            <w:tcW w:w="7180" w:type="dxa"/>
            <w:tcBorders>
              <w:top w:val="single" w:sz="2" w:space="0" w:color="auto"/>
              <w:left w:val="nil"/>
              <w:bottom w:val="single" w:sz="2" w:space="0" w:color="auto"/>
              <w:right w:val="single" w:sz="2" w:space="0" w:color="auto"/>
            </w:tcBorders>
            <w:shd w:val="clear" w:color="auto" w:fill="auto"/>
            <w:vAlign w:val="bottom"/>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甲</w:t>
            </w:r>
          </w:p>
        </w:tc>
        <w:tc>
          <w:tcPr>
            <w:tcW w:w="1080" w:type="dxa"/>
            <w:tcBorders>
              <w:top w:val="single" w:sz="2" w:space="0" w:color="auto"/>
              <w:left w:val="single" w:sz="2" w:space="0" w:color="auto"/>
              <w:bottom w:val="single" w:sz="2" w:space="0" w:color="auto"/>
              <w:right w:val="single" w:sz="2" w:space="0" w:color="auto"/>
            </w:tcBorders>
            <w:shd w:val="clear" w:color="auto" w:fill="auto"/>
            <w:vAlign w:val="bottom"/>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乙</w:t>
            </w:r>
          </w:p>
        </w:tc>
        <w:tc>
          <w:tcPr>
            <w:tcW w:w="1080" w:type="dxa"/>
            <w:tcBorders>
              <w:top w:val="single" w:sz="2" w:space="0" w:color="auto"/>
              <w:left w:val="single" w:sz="2" w:space="0" w:color="auto"/>
              <w:bottom w:val="single" w:sz="2" w:space="0" w:color="auto"/>
              <w:right w:val="nil"/>
            </w:tcBorders>
            <w:shd w:val="clear" w:color="auto" w:fill="auto"/>
            <w:vAlign w:val="bottom"/>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p>
        </w:tc>
      </w:tr>
      <w:tr w:rsidR="003658DD" w:rsidRPr="009263D7" w:rsidTr="007142D5">
        <w:trPr>
          <w:trHeight w:val="421"/>
        </w:trPr>
        <w:tc>
          <w:tcPr>
            <w:tcW w:w="7180" w:type="dxa"/>
            <w:tcBorders>
              <w:top w:val="single" w:sz="2" w:space="0" w:color="auto"/>
              <w:left w:val="nil"/>
              <w:bottom w:val="nil"/>
              <w:right w:val="single" w:sz="2" w:space="0" w:color="auto"/>
            </w:tcBorders>
            <w:shd w:val="clear" w:color="auto" w:fill="auto"/>
            <w:vAlign w:val="bottom"/>
          </w:tcPr>
          <w:p w:rsidR="00465B1D" w:rsidRPr="009263D7" w:rsidRDefault="00CB4B9E" w:rsidP="00465B1D">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银行进口贸易融资业务——境外银行提供贸易融资</w:t>
            </w:r>
          </w:p>
        </w:tc>
        <w:tc>
          <w:tcPr>
            <w:tcW w:w="1080" w:type="dxa"/>
            <w:tcBorders>
              <w:top w:val="single" w:sz="2" w:space="0" w:color="auto"/>
              <w:left w:val="single" w:sz="2" w:space="0" w:color="auto"/>
              <w:bottom w:val="nil"/>
              <w:right w:val="single" w:sz="2" w:space="0" w:color="auto"/>
            </w:tcBorders>
            <w:shd w:val="clear" w:color="auto" w:fill="auto"/>
            <w:vAlign w:val="bottom"/>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1000</w:t>
            </w:r>
          </w:p>
        </w:tc>
        <w:tc>
          <w:tcPr>
            <w:tcW w:w="1080" w:type="dxa"/>
            <w:tcBorders>
              <w:top w:val="single" w:sz="2" w:space="0" w:color="auto"/>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A4207D">
            <w:pPr>
              <w:widowControl/>
              <w:ind w:firstLineChars="100" w:firstLine="180"/>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其中：人民币</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0438F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1001</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A07D6A">
            <w:pPr>
              <w:widowControl/>
              <w:ind w:firstLineChars="100" w:firstLine="180"/>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w:t>
            </w:r>
            <w:r w:rsidRPr="00CB4B9E">
              <w:rPr>
                <w:rFonts w:ascii="宋体" w:hAnsi="宋体" w:cs="宋体" w:hint="eastAsia"/>
                <w:color w:val="000000" w:themeColor="text1"/>
                <w:kern w:val="0"/>
                <w:sz w:val="18"/>
                <w:szCs w:val="18"/>
              </w:rPr>
              <w:t>海外代付（境内银行名义融资）</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1100</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A4207D">
            <w:pPr>
              <w:widowControl/>
              <w:ind w:firstLineChars="450" w:firstLine="81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其中：人民币</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1101</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A07D6A" w:rsidRPr="009263D7">
        <w:trPr>
          <w:trHeight w:val="270"/>
        </w:trPr>
        <w:tc>
          <w:tcPr>
            <w:tcW w:w="7180" w:type="dxa"/>
            <w:tcBorders>
              <w:top w:val="nil"/>
              <w:left w:val="nil"/>
              <w:bottom w:val="nil"/>
              <w:right w:val="single" w:sz="2" w:space="0" w:color="auto"/>
            </w:tcBorders>
            <w:shd w:val="clear" w:color="auto" w:fill="auto"/>
            <w:vAlign w:val="bottom"/>
          </w:tcPr>
          <w:p w:rsidR="00A07D6A" w:rsidRPr="009263D7" w:rsidRDefault="00CB4B9E" w:rsidP="00E75575">
            <w:pPr>
              <w:widowControl/>
              <w:ind w:firstLineChars="250" w:firstLine="450"/>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1.1.1海外代付（境内银行名义融资）</w:t>
            </w: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90天及以下</w:t>
            </w:r>
            <w:r w:rsidRPr="00CB4B9E">
              <w:rPr>
                <w:rFonts w:ascii="宋体" w:hAnsi="宋体" w:cs="宋体" w:hint="eastAsia"/>
                <w:color w:val="000000" w:themeColor="text1"/>
                <w:kern w:val="0"/>
                <w:sz w:val="18"/>
                <w:szCs w:val="18"/>
              </w:rPr>
              <w:t>）</w:t>
            </w:r>
          </w:p>
        </w:tc>
        <w:tc>
          <w:tcPr>
            <w:tcW w:w="1080" w:type="dxa"/>
            <w:tcBorders>
              <w:top w:val="nil"/>
              <w:left w:val="single" w:sz="2" w:space="0" w:color="auto"/>
              <w:bottom w:val="nil"/>
              <w:right w:val="single" w:sz="2" w:space="0" w:color="auto"/>
            </w:tcBorders>
            <w:shd w:val="clear" w:color="auto" w:fill="auto"/>
            <w:vAlign w:val="bottom"/>
          </w:tcPr>
          <w:p w:rsidR="00A07D6A" w:rsidRPr="009263D7" w:rsidRDefault="00CB4B9E" w:rsidP="000438F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1110</w:t>
            </w:r>
          </w:p>
        </w:tc>
        <w:tc>
          <w:tcPr>
            <w:tcW w:w="1080" w:type="dxa"/>
            <w:tcBorders>
              <w:top w:val="nil"/>
              <w:left w:val="single" w:sz="2" w:space="0" w:color="auto"/>
              <w:bottom w:val="nil"/>
              <w:right w:val="nil"/>
            </w:tcBorders>
            <w:shd w:val="clear" w:color="auto" w:fill="auto"/>
            <w:vAlign w:val="bottom"/>
          </w:tcPr>
          <w:p w:rsidR="00A07D6A" w:rsidRPr="009263D7" w:rsidRDefault="00A07D6A" w:rsidP="003658DD">
            <w:pPr>
              <w:keepNext/>
              <w:widowControl/>
              <w:spacing w:line="320" w:lineRule="exact"/>
              <w:jc w:val="center"/>
              <w:outlineLvl w:val="0"/>
              <w:rPr>
                <w:rFonts w:ascii="宋体" w:hAnsi="宋体" w:cs="宋体"/>
                <w:color w:val="000000" w:themeColor="text1"/>
                <w:kern w:val="0"/>
                <w:sz w:val="18"/>
                <w:szCs w:val="18"/>
              </w:rPr>
            </w:pPr>
          </w:p>
        </w:tc>
      </w:tr>
      <w:tr w:rsidR="00A07D6A" w:rsidRPr="009263D7">
        <w:trPr>
          <w:trHeight w:val="270"/>
        </w:trPr>
        <w:tc>
          <w:tcPr>
            <w:tcW w:w="7180" w:type="dxa"/>
            <w:tcBorders>
              <w:top w:val="nil"/>
              <w:left w:val="nil"/>
              <w:bottom w:val="nil"/>
              <w:right w:val="single" w:sz="2" w:space="0" w:color="auto"/>
            </w:tcBorders>
            <w:shd w:val="clear" w:color="auto" w:fill="auto"/>
            <w:vAlign w:val="bottom"/>
          </w:tcPr>
          <w:p w:rsidR="00A07D6A" w:rsidRPr="009263D7" w:rsidRDefault="00CB4B9E" w:rsidP="00465B1D">
            <w:pPr>
              <w:widowControl/>
              <w:ind w:firstLineChars="100" w:firstLine="180"/>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其中：人民币</w:t>
            </w:r>
          </w:p>
        </w:tc>
        <w:tc>
          <w:tcPr>
            <w:tcW w:w="1080" w:type="dxa"/>
            <w:tcBorders>
              <w:top w:val="nil"/>
              <w:left w:val="single" w:sz="2" w:space="0" w:color="auto"/>
              <w:bottom w:val="nil"/>
              <w:right w:val="single" w:sz="2" w:space="0" w:color="auto"/>
            </w:tcBorders>
            <w:shd w:val="clear" w:color="auto" w:fill="auto"/>
            <w:vAlign w:val="bottom"/>
          </w:tcPr>
          <w:p w:rsidR="00A07D6A" w:rsidRPr="009263D7" w:rsidRDefault="00CB4B9E" w:rsidP="000438F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1111</w:t>
            </w:r>
          </w:p>
        </w:tc>
        <w:tc>
          <w:tcPr>
            <w:tcW w:w="1080" w:type="dxa"/>
            <w:tcBorders>
              <w:top w:val="nil"/>
              <w:left w:val="single" w:sz="2" w:space="0" w:color="auto"/>
              <w:bottom w:val="nil"/>
              <w:right w:val="nil"/>
            </w:tcBorders>
            <w:shd w:val="clear" w:color="auto" w:fill="auto"/>
            <w:vAlign w:val="bottom"/>
          </w:tcPr>
          <w:p w:rsidR="00A07D6A" w:rsidRPr="009263D7" w:rsidRDefault="00A07D6A"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465B1D">
            <w:pPr>
              <w:widowControl/>
              <w:ind w:firstLineChars="100" w:firstLine="180"/>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1.2境内银行提供担保</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1200</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A4207D">
            <w:pPr>
              <w:widowControl/>
              <w:ind w:firstLineChars="450" w:firstLine="81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其中：人民币</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1201</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465B1D">
            <w:pPr>
              <w:widowControl/>
              <w:ind w:firstLineChars="100" w:firstLine="180"/>
              <w:rPr>
                <w:rFonts w:ascii="宋体" w:hAnsi="宋体" w:cs="宋体"/>
                <w:color w:val="000000" w:themeColor="text1"/>
                <w:kern w:val="0"/>
                <w:sz w:val="18"/>
                <w:szCs w:val="18"/>
              </w:rPr>
            </w:pPr>
            <w:r w:rsidRPr="00CB4B9E">
              <w:rPr>
                <w:rFonts w:ascii="宋体" w:hAnsi="宋体" w:cs="宋体"/>
                <w:color w:val="000000" w:themeColor="text1"/>
                <w:kern w:val="0"/>
                <w:sz w:val="18"/>
                <w:szCs w:val="18"/>
              </w:rPr>
              <w:t>1.3境内银行居间业务</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1300</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A4207D">
            <w:pPr>
              <w:widowControl/>
              <w:ind w:firstLineChars="450" w:firstLine="81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其中：人民币</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1301</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3658DD" w:rsidP="003658DD">
            <w:pPr>
              <w:keepNext/>
              <w:widowControl/>
              <w:spacing w:line="320" w:lineRule="exact"/>
              <w:ind w:firstLineChars="100" w:firstLine="180"/>
              <w:jc w:val="left"/>
              <w:outlineLvl w:val="0"/>
              <w:rPr>
                <w:rFonts w:ascii="宋体" w:hAnsi="宋体" w:cs="宋体"/>
                <w:color w:val="000000" w:themeColor="text1"/>
                <w:kern w:val="0"/>
                <w:sz w:val="18"/>
                <w:szCs w:val="18"/>
              </w:rPr>
            </w:pP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A4207D">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r w:rsidRPr="00CB4B9E">
              <w:rPr>
                <w:rFonts w:ascii="宋体" w:hAnsi="宋体" w:cs="宋体" w:hint="eastAsia"/>
                <w:color w:val="000000" w:themeColor="text1"/>
                <w:kern w:val="0"/>
                <w:sz w:val="18"/>
                <w:szCs w:val="18"/>
              </w:rPr>
              <w:t>银行出口贸易融资业务——境外银行提供贸易融资</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2000</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B3706A">
            <w:pPr>
              <w:widowControl/>
              <w:ind w:firstLineChars="400" w:firstLine="72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其中：人民币</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0438FB">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2001</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A4207D">
            <w:pPr>
              <w:widowControl/>
              <w:ind w:firstLineChars="100" w:firstLine="180"/>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2.1境外银行提供贷款性质融资</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2100</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bottom w:val="nil"/>
              <w:right w:val="single" w:sz="2" w:space="0" w:color="auto"/>
            </w:tcBorders>
            <w:shd w:val="clear" w:color="auto" w:fill="auto"/>
            <w:vAlign w:val="bottom"/>
          </w:tcPr>
          <w:p w:rsidR="003658DD" w:rsidRPr="009263D7" w:rsidRDefault="00CB4B9E" w:rsidP="00B3706A">
            <w:pPr>
              <w:widowControl/>
              <w:ind w:firstLineChars="400" w:firstLine="72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其中：人民币</w:t>
            </w:r>
          </w:p>
        </w:tc>
        <w:tc>
          <w:tcPr>
            <w:tcW w:w="1080" w:type="dxa"/>
            <w:tcBorders>
              <w:top w:val="nil"/>
              <w:left w:val="single" w:sz="2" w:space="0" w:color="auto"/>
              <w:bottom w:val="nil"/>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2101</w:t>
            </w:r>
          </w:p>
        </w:tc>
        <w:tc>
          <w:tcPr>
            <w:tcW w:w="1080" w:type="dxa"/>
            <w:tcBorders>
              <w:top w:val="nil"/>
              <w:left w:val="single" w:sz="2" w:space="0" w:color="auto"/>
              <w:bottom w:val="nil"/>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70"/>
        </w:trPr>
        <w:tc>
          <w:tcPr>
            <w:tcW w:w="7180" w:type="dxa"/>
            <w:tcBorders>
              <w:top w:val="nil"/>
              <w:left w:val="nil"/>
              <w:right w:val="single" w:sz="2" w:space="0" w:color="auto"/>
            </w:tcBorders>
            <w:shd w:val="clear" w:color="auto" w:fill="auto"/>
            <w:vAlign w:val="bottom"/>
          </w:tcPr>
          <w:p w:rsidR="003658DD" w:rsidRPr="009263D7" w:rsidRDefault="00CB4B9E" w:rsidP="00A4207D">
            <w:pPr>
              <w:widowControl/>
              <w:ind w:firstLineChars="100" w:firstLine="180"/>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2.2境外银行承兑远期信用证及应付未付即期信用证（境内银行为交单行）</w:t>
            </w:r>
          </w:p>
        </w:tc>
        <w:tc>
          <w:tcPr>
            <w:tcW w:w="1080" w:type="dxa"/>
            <w:tcBorders>
              <w:top w:val="nil"/>
              <w:left w:val="single" w:sz="2" w:space="0" w:color="auto"/>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2200</w:t>
            </w:r>
          </w:p>
        </w:tc>
        <w:tc>
          <w:tcPr>
            <w:tcW w:w="1080" w:type="dxa"/>
            <w:tcBorders>
              <w:top w:val="nil"/>
              <w:left w:val="single" w:sz="2" w:space="0" w:color="auto"/>
              <w:right w:val="nil"/>
            </w:tcBorders>
            <w:shd w:val="clear" w:color="auto" w:fill="auto"/>
            <w:vAlign w:val="bottom"/>
          </w:tcPr>
          <w:p w:rsidR="003658DD" w:rsidRPr="009263D7" w:rsidRDefault="003658DD" w:rsidP="003658DD">
            <w:pPr>
              <w:keepNext/>
              <w:widowControl/>
              <w:spacing w:line="320" w:lineRule="exact"/>
              <w:jc w:val="center"/>
              <w:outlineLvl w:val="0"/>
              <w:rPr>
                <w:rFonts w:ascii="宋体" w:hAnsi="宋体" w:cs="宋体"/>
                <w:color w:val="000000" w:themeColor="text1"/>
                <w:kern w:val="0"/>
                <w:sz w:val="18"/>
                <w:szCs w:val="18"/>
              </w:rPr>
            </w:pPr>
          </w:p>
        </w:tc>
      </w:tr>
      <w:tr w:rsidR="003658DD" w:rsidRPr="009263D7">
        <w:trPr>
          <w:trHeight w:val="285"/>
        </w:trPr>
        <w:tc>
          <w:tcPr>
            <w:tcW w:w="7180" w:type="dxa"/>
            <w:tcBorders>
              <w:top w:val="nil"/>
              <w:left w:val="nil"/>
              <w:bottom w:val="single" w:sz="8" w:space="0" w:color="auto"/>
              <w:right w:val="single" w:sz="2" w:space="0" w:color="auto"/>
            </w:tcBorders>
            <w:shd w:val="clear" w:color="auto" w:fill="auto"/>
            <w:vAlign w:val="bottom"/>
          </w:tcPr>
          <w:p w:rsidR="003658DD" w:rsidRPr="009263D7" w:rsidRDefault="00CB4B9E" w:rsidP="00B3706A">
            <w:pPr>
              <w:widowControl/>
              <w:ind w:firstLineChars="400" w:firstLine="72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其中：人民币</w:t>
            </w:r>
          </w:p>
        </w:tc>
        <w:tc>
          <w:tcPr>
            <w:tcW w:w="1080" w:type="dxa"/>
            <w:tcBorders>
              <w:top w:val="nil"/>
              <w:left w:val="single" w:sz="2" w:space="0" w:color="auto"/>
              <w:bottom w:val="single" w:sz="8" w:space="0" w:color="auto"/>
              <w:right w:val="single" w:sz="2" w:space="0" w:color="auto"/>
            </w:tcBorders>
            <w:shd w:val="clear" w:color="auto" w:fill="auto"/>
            <w:vAlign w:val="bottom"/>
          </w:tcPr>
          <w:p w:rsidR="003658DD" w:rsidRPr="009263D7" w:rsidRDefault="00CB4B9E" w:rsidP="00A07D6A">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2201</w:t>
            </w:r>
          </w:p>
        </w:tc>
        <w:tc>
          <w:tcPr>
            <w:tcW w:w="1080" w:type="dxa"/>
            <w:tcBorders>
              <w:top w:val="nil"/>
              <w:left w:val="single" w:sz="2" w:space="0" w:color="auto"/>
              <w:bottom w:val="single" w:sz="8" w:space="0" w:color="auto"/>
              <w:right w:val="nil"/>
            </w:tcBorders>
            <w:shd w:val="clear" w:color="auto" w:fill="auto"/>
            <w:vAlign w:val="bottom"/>
          </w:tcPr>
          <w:p w:rsidR="003658DD" w:rsidRPr="009263D7" w:rsidRDefault="00CB4B9E" w:rsidP="003658DD">
            <w:pPr>
              <w:widowControl/>
              <w:jc w:val="center"/>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r>
    </w:tbl>
    <w:p w:rsidR="003658DD" w:rsidRPr="009263D7" w:rsidRDefault="00CB4B9E" w:rsidP="003658DD">
      <w:pPr>
        <w:tabs>
          <w:tab w:val="left" w:pos="6930"/>
        </w:tabs>
        <w:spacing w:line="240" w:lineRule="exact"/>
        <w:rPr>
          <w:rFonts w:ascii="宋体"/>
          <w:color w:val="000000" w:themeColor="text1"/>
          <w:sz w:val="18"/>
        </w:rPr>
      </w:pPr>
      <w:r w:rsidRPr="00CB4B9E">
        <w:rPr>
          <w:rFonts w:ascii="宋体" w:hint="eastAsia"/>
          <w:color w:val="000000" w:themeColor="text1"/>
          <w:sz w:val="18"/>
        </w:rPr>
        <w:t>单位负责人：</w:t>
      </w:r>
      <w:r w:rsidRPr="00CB4B9E">
        <w:rPr>
          <w:rFonts w:ascii="宋体"/>
          <w:color w:val="000000" w:themeColor="text1"/>
          <w:sz w:val="18"/>
        </w:rPr>
        <w:t xml:space="preserve">           </w:t>
      </w:r>
      <w:r w:rsidRPr="00CB4B9E">
        <w:rPr>
          <w:rFonts w:ascii="宋体" w:hint="eastAsia"/>
          <w:color w:val="000000" w:themeColor="text1"/>
          <w:sz w:val="18"/>
        </w:rPr>
        <w:t>统计负责人：</w:t>
      </w:r>
      <w:r w:rsidRPr="00CB4B9E">
        <w:rPr>
          <w:rFonts w:ascii="宋体"/>
          <w:color w:val="000000" w:themeColor="text1"/>
          <w:sz w:val="18"/>
        </w:rPr>
        <w:t xml:space="preserve">                   </w:t>
      </w:r>
      <w:r w:rsidRPr="00CB4B9E">
        <w:rPr>
          <w:rFonts w:ascii="宋体" w:hint="eastAsia"/>
          <w:color w:val="000000" w:themeColor="text1"/>
          <w:sz w:val="18"/>
        </w:rPr>
        <w:t>填表人：</w:t>
      </w:r>
      <w:r w:rsidRPr="00CB4B9E">
        <w:rPr>
          <w:rFonts w:ascii="宋体"/>
          <w:color w:val="000000" w:themeColor="text1"/>
          <w:sz w:val="18"/>
        </w:rPr>
        <w:t xml:space="preserve">             </w:t>
      </w:r>
      <w:r w:rsidRPr="00CB4B9E">
        <w:rPr>
          <w:rFonts w:ascii="宋体" w:hint="eastAsia"/>
          <w:color w:val="000000" w:themeColor="text1"/>
          <w:sz w:val="18"/>
        </w:rPr>
        <w:t>报出日期：２０</w:t>
      </w:r>
      <w:r w:rsidRPr="00CB4B9E">
        <w:rPr>
          <w:rFonts w:ascii="宋体"/>
          <w:color w:val="000000" w:themeColor="text1"/>
          <w:sz w:val="18"/>
        </w:rPr>
        <w:t xml:space="preserve">  </w:t>
      </w:r>
      <w:r w:rsidRPr="00CB4B9E">
        <w:rPr>
          <w:rFonts w:ascii="宋体" w:hint="eastAsia"/>
          <w:color w:val="000000" w:themeColor="text1"/>
          <w:sz w:val="18"/>
        </w:rPr>
        <w:t>年</w:t>
      </w:r>
      <w:r w:rsidRPr="00CB4B9E">
        <w:rPr>
          <w:rFonts w:ascii="宋体"/>
          <w:color w:val="000000" w:themeColor="text1"/>
          <w:sz w:val="18"/>
        </w:rPr>
        <w:t xml:space="preserve">  </w:t>
      </w:r>
      <w:r w:rsidRPr="00CB4B9E">
        <w:rPr>
          <w:rFonts w:ascii="宋体" w:hint="eastAsia"/>
          <w:color w:val="000000" w:themeColor="text1"/>
          <w:sz w:val="18"/>
        </w:rPr>
        <w:t>月</w:t>
      </w:r>
      <w:r w:rsidRPr="00CB4B9E">
        <w:rPr>
          <w:rFonts w:ascii="宋体"/>
          <w:color w:val="000000" w:themeColor="text1"/>
          <w:sz w:val="18"/>
        </w:rPr>
        <w:t xml:space="preserve">   </w:t>
      </w:r>
      <w:r w:rsidRPr="00CB4B9E">
        <w:rPr>
          <w:rFonts w:ascii="宋体" w:hint="eastAsia"/>
          <w:color w:val="000000" w:themeColor="text1"/>
          <w:sz w:val="18"/>
        </w:rPr>
        <w:t>日</w:t>
      </w:r>
    </w:p>
    <w:p w:rsidR="0098239D" w:rsidRPr="009263D7" w:rsidRDefault="00CB4B9E" w:rsidP="0098239D">
      <w:pPr>
        <w:spacing w:line="240" w:lineRule="exact"/>
        <w:rPr>
          <w:color w:val="000000" w:themeColor="text1"/>
          <w:sz w:val="18"/>
        </w:rPr>
      </w:pP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电话：</w:t>
      </w:r>
      <w:r w:rsidRPr="00CB4B9E">
        <w:rPr>
          <w:rFonts w:ascii="宋体"/>
          <w:color w:val="000000" w:themeColor="text1"/>
          <w:sz w:val="18"/>
        </w:rPr>
        <w:t xml:space="preserve">               </w:t>
      </w:r>
      <w:r w:rsidRPr="00CB4B9E">
        <w:rPr>
          <w:rFonts w:ascii="宋体" w:hint="eastAsia"/>
          <w:color w:val="000000" w:themeColor="text1"/>
          <w:sz w:val="18"/>
        </w:rPr>
        <w:t>传真：</w:t>
      </w:r>
    </w:p>
    <w:p w:rsidR="0098239D" w:rsidRPr="009263D7" w:rsidRDefault="0098239D" w:rsidP="003658DD">
      <w:pPr>
        <w:tabs>
          <w:tab w:val="left" w:pos="6930"/>
        </w:tabs>
        <w:spacing w:line="240" w:lineRule="exact"/>
        <w:rPr>
          <w:rFonts w:ascii="宋体"/>
          <w:color w:val="000000" w:themeColor="text1"/>
          <w:sz w:val="18"/>
        </w:rPr>
      </w:pPr>
    </w:p>
    <w:p w:rsidR="007861C3" w:rsidRPr="009263D7" w:rsidRDefault="007861C3" w:rsidP="007861C3">
      <w:pPr>
        <w:rPr>
          <w:rFonts w:ascii="宋体" w:hAnsi="宋体" w:cs="宋体"/>
          <w:bCs/>
          <w:color w:val="000000" w:themeColor="text1"/>
          <w:kern w:val="0"/>
          <w:sz w:val="28"/>
          <w:szCs w:val="28"/>
        </w:rPr>
      </w:pPr>
    </w:p>
    <w:p w:rsidR="0079751E" w:rsidRPr="009263D7" w:rsidRDefault="00CB4B9E" w:rsidP="007861C3">
      <w:pPr>
        <w:rPr>
          <w:rFonts w:ascii="黑体" w:eastAsia="黑体"/>
          <w:color w:val="000000" w:themeColor="text1"/>
          <w:sz w:val="24"/>
        </w:rPr>
      </w:pPr>
      <w:r w:rsidRPr="00CB4B9E">
        <w:rPr>
          <w:rFonts w:ascii="宋体"/>
          <w:color w:val="000000" w:themeColor="text1"/>
          <w:sz w:val="18"/>
        </w:rPr>
        <w:br w:type="page"/>
      </w:r>
    </w:p>
    <w:p w:rsidR="0079751E" w:rsidRPr="009263D7" w:rsidRDefault="0079751E" w:rsidP="009363A0">
      <w:pPr>
        <w:ind w:rightChars="154" w:right="323"/>
        <w:rPr>
          <w:rFonts w:ascii="黑体" w:eastAsia="黑体"/>
          <w:color w:val="000000" w:themeColor="text1"/>
          <w:sz w:val="24"/>
        </w:rPr>
      </w:pPr>
    </w:p>
    <w:p w:rsidR="0079751E" w:rsidRPr="009263D7" w:rsidRDefault="00CB4B9E" w:rsidP="00B11245">
      <w:pPr>
        <w:pStyle w:val="10"/>
        <w:rPr>
          <w:rFonts w:ascii="黑体" w:eastAsia="黑体" w:hAnsi="宋体"/>
          <w:b w:val="0"/>
          <w:color w:val="000000" w:themeColor="text1"/>
          <w:sz w:val="32"/>
          <w:szCs w:val="32"/>
        </w:rPr>
      </w:pPr>
      <w:bookmarkStart w:id="53" w:name="_Toc340494461"/>
      <w:bookmarkStart w:id="54" w:name="_Toc452017162"/>
      <w:r w:rsidRPr="00CB4B9E">
        <w:rPr>
          <w:rFonts w:ascii="黑体" w:eastAsia="黑体" w:hAnsi="宋体" w:hint="eastAsia"/>
          <w:b w:val="0"/>
          <w:color w:val="000000" w:themeColor="text1"/>
          <w:sz w:val="32"/>
          <w:szCs w:val="32"/>
        </w:rPr>
        <w:t>四、主要指标解释</w:t>
      </w:r>
      <w:bookmarkEnd w:id="53"/>
      <w:bookmarkEnd w:id="54"/>
    </w:p>
    <w:p w:rsidR="0079751E" w:rsidRPr="009263D7" w:rsidRDefault="0079751E" w:rsidP="009363A0">
      <w:pPr>
        <w:ind w:rightChars="154" w:right="323"/>
        <w:rPr>
          <w:rFonts w:ascii="黑体" w:eastAsia="黑体"/>
          <w:color w:val="000000" w:themeColor="text1"/>
          <w:sz w:val="24"/>
        </w:rPr>
      </w:pPr>
    </w:p>
    <w:p w:rsidR="00826512" w:rsidRPr="009263D7" w:rsidRDefault="00CB4B9E" w:rsidP="00826512">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（一）填报单位基本信息</w:t>
      </w:r>
    </w:p>
    <w:p w:rsidR="00826512" w:rsidRPr="009263D7" w:rsidRDefault="00CB4B9E" w:rsidP="00826512">
      <w:pPr>
        <w:spacing w:line="360" w:lineRule="auto"/>
        <w:ind w:rightChars="154" w:right="323" w:firstLineChars="200" w:firstLine="420"/>
        <w:rPr>
          <w:rFonts w:ascii="黑体" w:eastAsia="黑体"/>
          <w:color w:val="000000" w:themeColor="text1"/>
          <w:szCs w:val="21"/>
        </w:rPr>
      </w:pPr>
      <w:r w:rsidRPr="00CB4B9E">
        <w:rPr>
          <w:rFonts w:ascii="黑体" w:eastAsia="黑体"/>
          <w:color w:val="000000" w:themeColor="text1"/>
          <w:szCs w:val="21"/>
        </w:rPr>
        <w:t>1.</w:t>
      </w:r>
      <w:r w:rsidRPr="00CB4B9E">
        <w:rPr>
          <w:rFonts w:ascii="黑体" w:eastAsia="黑体" w:hint="eastAsia"/>
          <w:color w:val="000000" w:themeColor="text1"/>
          <w:szCs w:val="21"/>
        </w:rPr>
        <w:t>统计内容：</w:t>
      </w:r>
    </w:p>
    <w:p w:rsidR="00826512" w:rsidRPr="009263D7" w:rsidRDefault="00CB4B9E" w:rsidP="00826512">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本表的目的在于构建填报单位的投资关系框架，应分别向上</w:t>
      </w:r>
      <w:r w:rsidRPr="00CB4B9E">
        <w:rPr>
          <w:rFonts w:ascii="宋体" w:hAnsi="宋体"/>
          <w:color w:val="000000" w:themeColor="text1"/>
          <w:szCs w:val="21"/>
        </w:rPr>
        <w:t>(投资者方向)和向下(被投资机构方向)逐级填报上级机构持有直接下级机构10%及以上表决权的情况。</w:t>
      </w:r>
      <w:r w:rsidRPr="00CB4B9E">
        <w:rPr>
          <w:rFonts w:ascii="宋体" w:hAnsi="宋体" w:hint="eastAsia"/>
          <w:color w:val="000000" w:themeColor="text1"/>
          <w:szCs w:val="21"/>
        </w:rPr>
        <w:t>在向上追溯各级投资者或向下追溯各级被投资机构时，需填报：（</w:t>
      </w:r>
      <w:r w:rsidRPr="00CB4B9E">
        <w:rPr>
          <w:rFonts w:ascii="宋体" w:hAnsi="宋体"/>
          <w:color w:val="000000" w:themeColor="text1"/>
          <w:szCs w:val="21"/>
        </w:rPr>
        <w:t>1）中国</w:t>
      </w:r>
      <w:r w:rsidRPr="00CB4B9E">
        <w:rPr>
          <w:rFonts w:ascii="宋体" w:hAnsi="宋体" w:hint="eastAsia"/>
          <w:color w:val="000000" w:themeColor="text1"/>
          <w:szCs w:val="21"/>
        </w:rPr>
        <w:t>境内外的投资者（或母机构）；（</w:t>
      </w:r>
      <w:r w:rsidRPr="00CB4B9E">
        <w:rPr>
          <w:rFonts w:ascii="宋体" w:hAnsi="宋体"/>
          <w:color w:val="000000" w:themeColor="text1"/>
          <w:szCs w:val="21"/>
        </w:rPr>
        <w:t>2）中国境内</w:t>
      </w:r>
      <w:r w:rsidRPr="00CB4B9E">
        <w:rPr>
          <w:rFonts w:ascii="宋体" w:hAnsi="宋体" w:hint="eastAsia"/>
          <w:color w:val="000000" w:themeColor="text1"/>
          <w:szCs w:val="21"/>
        </w:rPr>
        <w:t>外的附属机构或联营、合营机构：（</w:t>
      </w:r>
      <w:r w:rsidRPr="00CB4B9E">
        <w:rPr>
          <w:rFonts w:ascii="宋体" w:hAnsi="宋体"/>
          <w:color w:val="000000" w:themeColor="text1"/>
          <w:szCs w:val="21"/>
        </w:rPr>
        <w:t>3</w:t>
      </w:r>
      <w:r w:rsidRPr="00CB4B9E">
        <w:rPr>
          <w:rFonts w:ascii="宋体" w:hAnsi="宋体" w:hint="eastAsia"/>
          <w:color w:val="000000" w:themeColor="text1"/>
          <w:szCs w:val="21"/>
        </w:rPr>
        <w:t>）中国境外的分支机构，但在中国境内的分支机构信息不需要填报。此外，与本单位同在中国境内的同一企业集团内的相关机构或个人如自身也与境外机构或个人发生</w:t>
      </w:r>
      <w:r w:rsidRPr="00CB4B9E">
        <w:rPr>
          <w:rFonts w:ascii="宋体" w:hAnsi="宋体"/>
          <w:color w:val="000000" w:themeColor="text1"/>
          <w:szCs w:val="21"/>
        </w:rPr>
        <w:t>10%及以上表决权往来，则本</w:t>
      </w:r>
      <w:r w:rsidRPr="00CB4B9E">
        <w:rPr>
          <w:rFonts w:ascii="宋体" w:hAnsi="宋体" w:hint="eastAsia"/>
          <w:color w:val="000000" w:themeColor="text1"/>
          <w:szCs w:val="21"/>
        </w:rPr>
        <w:t>单位应尽量将这些机构或个人的信息纳入本表统计。</w:t>
      </w:r>
    </w:p>
    <w:p w:rsidR="00826512" w:rsidRPr="009263D7" w:rsidRDefault="00CB4B9E" w:rsidP="00826512">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2.相关填报说明：</w:t>
      </w:r>
    </w:p>
    <w:p w:rsidR="007E78A8" w:rsidRPr="009263D7" w:rsidRDefault="00CB4B9E" w:rsidP="00066124">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Z01表：单位基本情况信息</w:t>
      </w:r>
    </w:p>
    <w:p w:rsidR="00C9475E" w:rsidRPr="009263D7" w:rsidRDefault="00CB4B9E" w:rsidP="00826512">
      <w:pPr>
        <w:spacing w:line="360" w:lineRule="auto"/>
        <w:ind w:firstLineChars="200" w:firstLine="420"/>
        <w:rPr>
          <w:rFonts w:ascii="宋体" w:hAnsi="宋体" w:cs="宋体"/>
          <w:color w:val="000000" w:themeColor="text1"/>
          <w:kern w:val="0"/>
          <w:szCs w:val="21"/>
        </w:rPr>
      </w:pPr>
      <w:r w:rsidRPr="00CB4B9E">
        <w:rPr>
          <w:rFonts w:ascii="黑体" w:eastAsia="黑体" w:hAnsi="宋体" w:cs="宋体"/>
          <w:color w:val="000000" w:themeColor="text1"/>
          <w:kern w:val="0"/>
          <w:szCs w:val="21"/>
        </w:rPr>
        <w:t>Z0101.填报单位名称：</w:t>
      </w:r>
      <w:r w:rsidRPr="00CB4B9E">
        <w:rPr>
          <w:rFonts w:hint="eastAsia"/>
          <w:color w:val="000000" w:themeColor="text1"/>
        </w:rPr>
        <w:t>对于机构，请按照工商行政管理部门核发的</w:t>
      </w:r>
      <w:r w:rsidR="006844B6" w:rsidRPr="00173D1B">
        <w:rPr>
          <w:rFonts w:hint="eastAsia"/>
          <w:color w:val="000000" w:themeColor="text1"/>
        </w:rPr>
        <w:t>《</w:t>
      </w:r>
      <w:r w:rsidRPr="00CB4B9E">
        <w:rPr>
          <w:rFonts w:hint="eastAsia"/>
          <w:color w:val="000000" w:themeColor="text1"/>
        </w:rPr>
        <w:t>组织机构代码证</w:t>
      </w:r>
      <w:r w:rsidR="006844B6" w:rsidRPr="00173D1B">
        <w:rPr>
          <w:rFonts w:hint="eastAsia"/>
          <w:color w:val="000000" w:themeColor="text1"/>
        </w:rPr>
        <w:t>》</w:t>
      </w:r>
      <w:r w:rsidRPr="00CB4B9E">
        <w:rPr>
          <w:rFonts w:hint="eastAsia"/>
          <w:color w:val="000000" w:themeColor="text1"/>
        </w:rPr>
        <w:t>或统一社会信用代码证或外汇局签发的《特殊机构代码赋码通知》上的名称填写。</w:t>
      </w:r>
    </w:p>
    <w:p w:rsidR="00826512" w:rsidRPr="009263D7" w:rsidRDefault="00CB4B9E" w:rsidP="00826512">
      <w:pPr>
        <w:spacing w:line="360" w:lineRule="auto"/>
        <w:ind w:firstLineChars="200" w:firstLine="420"/>
        <w:rPr>
          <w:rFonts w:ascii="宋体" w:hAnsi="宋体" w:cs="宋体"/>
          <w:color w:val="000000" w:themeColor="text1"/>
          <w:kern w:val="0"/>
          <w:szCs w:val="21"/>
        </w:rPr>
      </w:pPr>
      <w:r w:rsidRPr="00CB4B9E">
        <w:rPr>
          <w:rFonts w:ascii="黑体" w:eastAsia="黑体" w:hAnsi="宋体" w:cs="宋体"/>
          <w:color w:val="000000" w:themeColor="text1"/>
          <w:kern w:val="0"/>
          <w:szCs w:val="21"/>
        </w:rPr>
        <w:t>Z0102.证照类别：</w:t>
      </w:r>
      <w:r w:rsidRPr="00CB4B9E">
        <w:rPr>
          <w:rFonts w:ascii="宋体" w:hAnsi="宋体" w:cs="宋体" w:hint="eastAsia"/>
          <w:color w:val="000000" w:themeColor="text1"/>
          <w:kern w:val="0"/>
          <w:szCs w:val="21"/>
        </w:rPr>
        <w:t>请选择：①组织机构代码证</w:t>
      </w:r>
      <w:r w:rsidR="006844B6">
        <w:rPr>
          <w:rFonts w:ascii="宋体" w:hAnsi="宋体" w:cs="宋体" w:hint="eastAsia"/>
          <w:color w:val="000000" w:themeColor="text1"/>
          <w:kern w:val="0"/>
          <w:szCs w:val="21"/>
        </w:rPr>
        <w:t>或</w:t>
      </w:r>
      <w:r w:rsidR="006844B6" w:rsidRPr="00173D1B">
        <w:rPr>
          <w:rFonts w:hint="eastAsia"/>
          <w:color w:val="000000" w:themeColor="text1"/>
        </w:rPr>
        <w:t>统一社会信用代码证</w:t>
      </w:r>
      <w:r w:rsidRPr="00CB4B9E">
        <w:rPr>
          <w:rFonts w:ascii="宋体" w:hAnsi="宋体" w:cs="宋体" w:hint="eastAsia"/>
          <w:color w:val="000000" w:themeColor="text1"/>
          <w:kern w:val="0"/>
          <w:szCs w:val="21"/>
        </w:rPr>
        <w:t>；②特殊机构代码赋码通知；③身份证；④护照；⑤其他；</w:t>
      </w:r>
      <w:r w:rsidR="003533FC">
        <w:rPr>
          <w:rFonts w:ascii="宋体" w:hAnsi="宋体" w:hint="eastAsia"/>
          <w:color w:val="000000" w:themeColor="text1"/>
        </w:rPr>
        <w:t>⑥</w:t>
      </w:r>
      <w:r w:rsidR="00FA4DF8">
        <w:rPr>
          <w:rFonts w:ascii="宋体" w:hAnsi="宋体" w:hint="eastAsia"/>
          <w:color w:val="000000" w:themeColor="text1"/>
        </w:rPr>
        <w:t>永久居留证</w:t>
      </w:r>
      <w:r w:rsidRPr="00CB4B9E">
        <w:rPr>
          <w:rFonts w:hint="eastAsia"/>
          <w:color w:val="000000" w:themeColor="text1"/>
        </w:rPr>
        <w:t>。</w:t>
      </w:r>
    </w:p>
    <w:p w:rsidR="00826512" w:rsidRPr="009263D7" w:rsidRDefault="00CB4B9E" w:rsidP="00826512">
      <w:pPr>
        <w:spacing w:line="360" w:lineRule="auto"/>
        <w:ind w:firstLineChars="200" w:firstLine="420"/>
        <w:rPr>
          <w:rFonts w:ascii="黑体" w:eastAsia="黑体" w:hAnsi="宋体" w:cs="宋体"/>
          <w:color w:val="000000" w:themeColor="text1"/>
          <w:kern w:val="0"/>
          <w:szCs w:val="21"/>
        </w:rPr>
      </w:pPr>
      <w:r w:rsidRPr="00CB4B9E">
        <w:rPr>
          <w:rFonts w:ascii="黑体" w:eastAsia="黑体" w:hAnsi="宋体" w:cs="宋体"/>
          <w:color w:val="000000" w:themeColor="text1"/>
          <w:kern w:val="0"/>
          <w:szCs w:val="21"/>
        </w:rPr>
        <w:t>Z0103</w:t>
      </w:r>
      <w:r w:rsidRPr="00CB4B9E">
        <w:rPr>
          <w:rFonts w:ascii="黑体" w:eastAsia="黑体" w:hAnsi="宋体" w:cs="宋体" w:hint="eastAsia"/>
          <w:color w:val="000000" w:themeColor="text1"/>
          <w:kern w:val="0"/>
          <w:szCs w:val="21"/>
        </w:rPr>
        <w:t>证照号码：</w:t>
      </w:r>
      <w:r w:rsidRPr="00CB4B9E">
        <w:rPr>
          <w:rFonts w:ascii="宋体" w:hAnsi="宋体" w:cs="宋体" w:hint="eastAsia"/>
          <w:color w:val="000000" w:themeColor="text1"/>
          <w:kern w:val="0"/>
          <w:szCs w:val="21"/>
        </w:rPr>
        <w:t>请根据对</w:t>
      </w:r>
      <w:r w:rsidRPr="00CB4B9E">
        <w:rPr>
          <w:rFonts w:ascii="宋体" w:hAnsi="宋体" w:cs="宋体"/>
          <w:color w:val="000000" w:themeColor="text1"/>
          <w:kern w:val="0"/>
          <w:szCs w:val="21"/>
        </w:rPr>
        <w:t>Z0102项的选择填写相应的</w:t>
      </w:r>
      <w:r w:rsidRPr="00CB4B9E">
        <w:rPr>
          <w:rFonts w:ascii="宋体" w:hAnsi="宋体" w:cs="宋体" w:hint="eastAsia"/>
          <w:color w:val="000000" w:themeColor="text1"/>
          <w:kern w:val="0"/>
          <w:szCs w:val="21"/>
        </w:rPr>
        <w:t>号码。</w:t>
      </w:r>
    </w:p>
    <w:p w:rsidR="00826512" w:rsidRPr="009263D7" w:rsidRDefault="00CB4B9E" w:rsidP="00826512">
      <w:pPr>
        <w:spacing w:line="360" w:lineRule="auto"/>
        <w:ind w:firstLineChars="200" w:firstLine="420"/>
        <w:rPr>
          <w:rFonts w:ascii="宋体" w:hAnsi="宋体" w:cs="宋体"/>
          <w:color w:val="000000" w:themeColor="text1"/>
          <w:kern w:val="0"/>
          <w:sz w:val="18"/>
          <w:szCs w:val="18"/>
        </w:rPr>
      </w:pPr>
      <w:r w:rsidRPr="00CB4B9E">
        <w:rPr>
          <w:rFonts w:ascii="黑体" w:eastAsia="黑体" w:hAnsi="宋体"/>
          <w:color w:val="000000" w:themeColor="text1"/>
          <w:szCs w:val="21"/>
        </w:rPr>
        <w:t>Z0104.</w:t>
      </w:r>
      <w:r w:rsidRPr="00CB4B9E">
        <w:rPr>
          <w:rFonts w:ascii="黑体" w:eastAsia="黑体" w:hAnsi="宋体" w:cs="宋体" w:hint="eastAsia"/>
          <w:color w:val="000000" w:themeColor="text1"/>
          <w:kern w:val="0"/>
          <w:szCs w:val="21"/>
        </w:rPr>
        <w:t>金融机构代码</w:t>
      </w:r>
      <w:r w:rsidRPr="00CB4B9E">
        <w:rPr>
          <w:rFonts w:ascii="黑体" w:eastAsia="黑体" w:hAnsi="宋体" w:hint="eastAsia"/>
          <w:color w:val="000000" w:themeColor="text1"/>
        </w:rPr>
        <w:t>：</w:t>
      </w:r>
      <w:r w:rsidRPr="00CB4B9E">
        <w:rPr>
          <w:rFonts w:ascii="宋体" w:hAnsi="宋体" w:cs="宋体" w:hint="eastAsia"/>
          <w:color w:val="000000" w:themeColor="text1"/>
          <w:kern w:val="0"/>
          <w:szCs w:val="21"/>
        </w:rPr>
        <w:t>请填写国家外汇管理局赋予的四位代码。如无金融机构代码，请选择</w:t>
      </w:r>
      <w:r w:rsidRPr="00CB4B9E">
        <w:rPr>
          <w:rFonts w:ascii="宋体" w:hAnsi="宋体" w:cs="宋体"/>
          <w:color w:val="000000" w:themeColor="text1"/>
          <w:kern w:val="0"/>
          <w:szCs w:val="21"/>
        </w:rPr>
        <w:t>N/A。</w:t>
      </w:r>
    </w:p>
    <w:p w:rsidR="00826512" w:rsidRPr="009263D7" w:rsidRDefault="00CB4B9E" w:rsidP="00826512">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Z0105.</w:t>
      </w:r>
      <w:r w:rsidRPr="00CB4B9E">
        <w:rPr>
          <w:rFonts w:ascii="黑体" w:eastAsia="黑体" w:hAnsi="宋体" w:cs="宋体" w:hint="eastAsia"/>
          <w:color w:val="000000" w:themeColor="text1"/>
          <w:kern w:val="0"/>
          <w:szCs w:val="21"/>
        </w:rPr>
        <w:t>机构所属行业代码</w:t>
      </w:r>
      <w:r w:rsidRPr="00CB4B9E">
        <w:rPr>
          <w:rFonts w:ascii="宋体" w:hAnsi="宋体" w:cs="宋体" w:hint="eastAsia"/>
          <w:color w:val="000000" w:themeColor="text1"/>
          <w:kern w:val="0"/>
          <w:sz w:val="18"/>
          <w:szCs w:val="18"/>
        </w:rPr>
        <w:t>：</w:t>
      </w:r>
      <w:r w:rsidRPr="00CB4B9E">
        <w:rPr>
          <w:rFonts w:ascii="宋体" w:hAnsi="宋体" w:hint="eastAsia"/>
          <w:color w:val="000000" w:themeColor="text1"/>
        </w:rPr>
        <w:t>如为机构，请参照数据采集规范最新版本中的相关代码表，填报本机构所属的行业代码。如为个人，请选择个人。</w:t>
      </w:r>
    </w:p>
    <w:p w:rsidR="00826512" w:rsidRPr="009263D7" w:rsidRDefault="00CB4B9E" w:rsidP="00826512">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Z0106.</w:t>
      </w:r>
      <w:r w:rsidRPr="00CB4B9E">
        <w:rPr>
          <w:rFonts w:ascii="黑体" w:eastAsia="黑体" w:hAnsi="宋体" w:hint="eastAsia"/>
          <w:color w:val="000000" w:themeColor="text1"/>
        </w:rPr>
        <w:t>经济类型</w:t>
      </w:r>
      <w:r w:rsidRPr="00CB4B9E">
        <w:rPr>
          <w:rFonts w:ascii="黑体" w:eastAsia="黑体" w:hAnsi="宋体"/>
          <w:color w:val="000000" w:themeColor="text1"/>
        </w:rPr>
        <w:t>:</w:t>
      </w:r>
      <w:r w:rsidRPr="00CB4B9E">
        <w:rPr>
          <w:rFonts w:ascii="宋体" w:hAnsi="宋体"/>
          <w:color w:val="000000" w:themeColor="text1"/>
        </w:rPr>
        <w:t xml:space="preserve"> 请参照数据采集规范最新版本中的相关代码表</w:t>
      </w:r>
      <w:r w:rsidRPr="00CB4B9E">
        <w:rPr>
          <w:rFonts w:ascii="宋体" w:hAnsi="宋体" w:hint="eastAsia"/>
          <w:color w:val="000000" w:themeColor="text1"/>
        </w:rPr>
        <w:t>，填报本机构所属的经济类型。如为个人，则默认为个人。</w:t>
      </w:r>
    </w:p>
    <w:p w:rsidR="00826512" w:rsidRPr="009263D7" w:rsidRDefault="00CB4B9E" w:rsidP="00826512">
      <w:pPr>
        <w:spacing w:line="360" w:lineRule="auto"/>
        <w:ind w:firstLineChars="200" w:firstLine="420"/>
        <w:rPr>
          <w:rFonts w:ascii="宋体"/>
          <w:color w:val="000000" w:themeColor="text1"/>
          <w:sz w:val="18"/>
        </w:rPr>
      </w:pPr>
      <w:r w:rsidRPr="00CB4B9E">
        <w:rPr>
          <w:rFonts w:ascii="黑体" w:eastAsia="黑体" w:hAnsi="宋体"/>
          <w:color w:val="000000" w:themeColor="text1"/>
          <w:szCs w:val="21"/>
        </w:rPr>
        <w:t>Z0107.填报单位类型:</w:t>
      </w:r>
      <w:r w:rsidRPr="00CB4B9E">
        <w:rPr>
          <w:rFonts w:ascii="宋体" w:hAnsi="宋体" w:cs="宋体"/>
          <w:color w:val="000000" w:themeColor="text1"/>
          <w:kern w:val="0"/>
          <w:szCs w:val="21"/>
        </w:rPr>
        <w:t xml:space="preserve"> 请选择：①法人；②分支机构；</w:t>
      </w:r>
      <w:r w:rsidRPr="00CB4B9E">
        <w:rPr>
          <w:rFonts w:ascii="宋体" w:hAnsi="宋体" w:cs="宋体" w:hint="eastAsia"/>
          <w:color w:val="000000" w:themeColor="text1"/>
          <w:kern w:val="0"/>
          <w:szCs w:val="21"/>
        </w:rPr>
        <w:t>③其他非公司制机构或准公司；④个人</w:t>
      </w:r>
      <w:r w:rsidRPr="00CB4B9E">
        <w:rPr>
          <w:rFonts w:ascii="宋体" w:hAnsi="宋体" w:hint="eastAsia"/>
          <w:color w:val="000000" w:themeColor="text1"/>
        </w:rPr>
        <w:t>。</w:t>
      </w:r>
    </w:p>
    <w:p w:rsidR="00826512" w:rsidRPr="009263D7" w:rsidRDefault="00CB4B9E" w:rsidP="00826512">
      <w:pPr>
        <w:spacing w:line="360" w:lineRule="auto"/>
        <w:ind w:firstLineChars="200" w:firstLine="420"/>
        <w:rPr>
          <w:rFonts w:ascii="宋体" w:hAnsi="宋体" w:cs="宋体"/>
          <w:color w:val="000000" w:themeColor="text1"/>
          <w:kern w:val="0"/>
          <w:szCs w:val="21"/>
        </w:rPr>
      </w:pPr>
      <w:r w:rsidRPr="00CB4B9E">
        <w:rPr>
          <w:rFonts w:ascii="黑体" w:eastAsia="黑体" w:hAnsi="宋体"/>
          <w:color w:val="000000" w:themeColor="text1"/>
          <w:szCs w:val="21"/>
        </w:rPr>
        <w:t>Z0108.</w:t>
      </w:r>
      <w:r w:rsidRPr="00CB4B9E">
        <w:rPr>
          <w:rFonts w:ascii="黑体" w:eastAsia="黑体" w:hAnsi="宋体" w:cs="宋体" w:hint="eastAsia"/>
          <w:color w:val="000000" w:themeColor="text1"/>
          <w:kern w:val="0"/>
          <w:szCs w:val="21"/>
        </w:rPr>
        <w:t>所在地</w:t>
      </w:r>
      <w:r w:rsidRPr="00CB4B9E">
        <w:rPr>
          <w:rFonts w:ascii="黑体" w:eastAsia="黑体" w:hAnsi="宋体" w:hint="eastAsia"/>
          <w:color w:val="000000" w:themeColor="text1"/>
        </w:rPr>
        <w:t>：</w:t>
      </w:r>
      <w:r w:rsidRPr="00CB4B9E">
        <w:rPr>
          <w:rFonts w:ascii="宋体" w:hAnsi="宋体" w:cs="宋体" w:hint="eastAsia"/>
          <w:color w:val="000000" w:themeColor="text1"/>
          <w:kern w:val="0"/>
          <w:szCs w:val="21"/>
        </w:rPr>
        <w:t>指本机构境内注册地或个人常住地。</w:t>
      </w:r>
      <w:r w:rsidRPr="00CB4B9E">
        <w:rPr>
          <w:rFonts w:ascii="宋体" w:hAnsi="宋体" w:hint="eastAsia"/>
          <w:color w:val="000000" w:themeColor="text1"/>
        </w:rPr>
        <w:t>请参照数据采集规范最新版本中的相关代码表</w:t>
      </w:r>
      <w:r w:rsidR="00B70E10" w:rsidRPr="00B70E10">
        <w:rPr>
          <w:rFonts w:ascii="宋体" w:hAnsi="宋体" w:hint="eastAsia"/>
          <w:color w:val="000000" w:themeColor="text1"/>
        </w:rPr>
        <w:t>最底层一级</w:t>
      </w:r>
      <w:r w:rsidRPr="00CB4B9E">
        <w:rPr>
          <w:rFonts w:ascii="宋体" w:hAnsi="宋体" w:hint="eastAsia"/>
          <w:color w:val="000000" w:themeColor="text1"/>
        </w:rPr>
        <w:t>填列</w:t>
      </w:r>
      <w:r w:rsidRPr="00CB4B9E">
        <w:rPr>
          <w:rFonts w:ascii="宋体" w:hAnsi="宋体" w:cs="宋体" w:hint="eastAsia"/>
          <w:color w:val="000000" w:themeColor="text1"/>
          <w:kern w:val="0"/>
          <w:szCs w:val="21"/>
        </w:rPr>
        <w:t>。</w:t>
      </w:r>
    </w:p>
    <w:p w:rsidR="00826512" w:rsidRPr="009263D7" w:rsidRDefault="00CB4B9E" w:rsidP="00826512">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Z0109.地址：</w:t>
      </w:r>
      <w:r w:rsidRPr="00CB4B9E">
        <w:rPr>
          <w:rFonts w:ascii="宋体" w:hAnsi="宋体" w:hint="eastAsia"/>
          <w:color w:val="000000" w:themeColor="text1"/>
          <w:szCs w:val="21"/>
        </w:rPr>
        <w:t>指填报机构的注册地址或个人常住地址。</w:t>
      </w:r>
    </w:p>
    <w:p w:rsidR="007E78A8" w:rsidRPr="009263D7" w:rsidRDefault="00CB4B9E" w:rsidP="00826512">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Z0110.</w:t>
      </w:r>
      <w:r w:rsidRPr="00CB4B9E">
        <w:rPr>
          <w:rFonts w:ascii="黑体" w:eastAsia="黑体" w:hAnsi="宋体" w:hint="eastAsia"/>
          <w:color w:val="000000" w:themeColor="text1"/>
          <w:szCs w:val="21"/>
        </w:rPr>
        <w:t>联系人：</w:t>
      </w:r>
      <w:r w:rsidRPr="00CB4B9E">
        <w:rPr>
          <w:rFonts w:ascii="宋体" w:hAnsi="宋体" w:hint="eastAsia"/>
          <w:color w:val="000000" w:themeColor="text1"/>
          <w:szCs w:val="21"/>
        </w:rPr>
        <w:t>指填报机构或个人的数据报送联系人姓名。可为多个。</w:t>
      </w:r>
    </w:p>
    <w:p w:rsidR="00000000" w:rsidRDefault="00CB4B9E" w:rsidP="00D1396C">
      <w:pPr>
        <w:spacing w:line="360" w:lineRule="auto"/>
        <w:ind w:rightChars="154" w:right="323" w:firstLineChars="200" w:firstLine="420"/>
        <w:rPr>
          <w:rFonts w:ascii="黑体" w:eastAsia="黑体"/>
          <w:color w:val="000000" w:themeColor="text1"/>
          <w:sz w:val="24"/>
        </w:rPr>
      </w:pPr>
      <w:r w:rsidRPr="00CB4B9E">
        <w:rPr>
          <w:rFonts w:ascii="黑体" w:eastAsia="黑体" w:hAnsi="宋体"/>
          <w:color w:val="000000" w:themeColor="text1"/>
          <w:szCs w:val="21"/>
        </w:rPr>
        <w:t>Z0111.</w:t>
      </w:r>
      <w:r w:rsidRPr="00CB4B9E">
        <w:rPr>
          <w:rFonts w:ascii="黑体" w:eastAsia="黑体" w:hAnsi="宋体" w:hint="eastAsia"/>
          <w:color w:val="000000" w:themeColor="text1"/>
          <w:szCs w:val="21"/>
        </w:rPr>
        <w:t>联系电话和电子邮箱：</w:t>
      </w:r>
      <w:r w:rsidRPr="00CB4B9E">
        <w:rPr>
          <w:rFonts w:asciiTheme="majorEastAsia" w:eastAsiaTheme="majorEastAsia" w:hAnsiTheme="majorEastAsia" w:cs="宋体" w:hint="eastAsia"/>
          <w:color w:val="000000" w:themeColor="text1"/>
          <w:kern w:val="0"/>
          <w:szCs w:val="21"/>
        </w:rPr>
        <w:t>指填报机构或个人的数据报送联系人电话</w:t>
      </w:r>
      <w:r w:rsidRPr="00CB4B9E">
        <w:rPr>
          <w:rFonts w:asciiTheme="majorEastAsia" w:eastAsiaTheme="majorEastAsia" w:hAnsiTheme="majorEastAsia" w:cs="SimSun" w:hint="eastAsia"/>
          <w:color w:val="000000" w:themeColor="text1"/>
          <w:kern w:val="0"/>
          <w:szCs w:val="21"/>
        </w:rPr>
        <w:t>及常用的电子邮箱</w:t>
      </w:r>
      <w:r w:rsidRPr="00CB4B9E">
        <w:rPr>
          <w:rFonts w:asciiTheme="majorEastAsia" w:eastAsiaTheme="majorEastAsia" w:hAnsiTheme="majorEastAsia" w:cs="宋体" w:hint="eastAsia"/>
          <w:color w:val="000000" w:themeColor="text1"/>
          <w:kern w:val="0"/>
          <w:szCs w:val="21"/>
        </w:rPr>
        <w:t>。可为多个。</w:t>
      </w:r>
    </w:p>
    <w:p w:rsidR="005E283B" w:rsidRPr="009263D7" w:rsidRDefault="005E283B" w:rsidP="00A67CEB">
      <w:pPr>
        <w:spacing w:line="360" w:lineRule="auto"/>
        <w:ind w:rightChars="154" w:right="323" w:firstLineChars="200" w:firstLine="480"/>
        <w:rPr>
          <w:rFonts w:ascii="黑体" w:eastAsia="黑体"/>
          <w:color w:val="000000" w:themeColor="text1"/>
          <w:sz w:val="24"/>
        </w:rPr>
      </w:pPr>
    </w:p>
    <w:p w:rsidR="0065664D" w:rsidRPr="009263D7" w:rsidRDefault="00CB4B9E" w:rsidP="00A67CEB">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lastRenderedPageBreak/>
        <w:t>Z02表：业务概览及联系方式</w:t>
      </w:r>
    </w:p>
    <w:p w:rsidR="00F5229A" w:rsidRPr="009263D7" w:rsidRDefault="00CB4B9E" w:rsidP="00826512">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Z0201.本机构是否有相关业务：</w:t>
      </w:r>
      <w:r w:rsidRPr="00CB4B9E">
        <w:rPr>
          <w:rFonts w:ascii="宋体" w:hAnsi="宋体" w:hint="eastAsia"/>
          <w:color w:val="000000" w:themeColor="text1"/>
          <w:szCs w:val="21"/>
        </w:rPr>
        <w:t>有相关业务填“是”，无相关业务填“否”。</w:t>
      </w:r>
    </w:p>
    <w:p w:rsidR="00F5229A" w:rsidRPr="009263D7" w:rsidRDefault="00CB4B9E" w:rsidP="00826512">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Z0202.填报部门：</w:t>
      </w:r>
      <w:r w:rsidRPr="00CB4B9E">
        <w:rPr>
          <w:rFonts w:ascii="宋体" w:hAnsi="宋体" w:hint="eastAsia"/>
          <w:color w:val="000000" w:themeColor="text1"/>
          <w:szCs w:val="21"/>
        </w:rPr>
        <w:t>填报部门的名称。</w:t>
      </w:r>
    </w:p>
    <w:p w:rsidR="00F5229A" w:rsidRPr="009263D7" w:rsidRDefault="00CB4B9E" w:rsidP="00F5229A">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Z0203.统计负责人：</w:t>
      </w:r>
      <w:r w:rsidRPr="00CB4B9E">
        <w:rPr>
          <w:rFonts w:ascii="宋体" w:hAnsi="宋体" w:hint="eastAsia"/>
          <w:color w:val="000000" w:themeColor="text1"/>
          <w:szCs w:val="21"/>
        </w:rPr>
        <w:t>负责人姓名。</w:t>
      </w:r>
    </w:p>
    <w:p w:rsidR="00F5229A" w:rsidRPr="009263D7" w:rsidRDefault="00CB4B9E" w:rsidP="00F5229A">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Z0204.统计负责人电话：</w:t>
      </w:r>
      <w:r w:rsidRPr="00CB4B9E">
        <w:rPr>
          <w:rFonts w:ascii="宋体" w:hAnsi="宋体" w:hint="eastAsia"/>
          <w:color w:val="000000" w:themeColor="text1"/>
          <w:szCs w:val="21"/>
        </w:rPr>
        <w:t>负责人联系电话。</w:t>
      </w:r>
    </w:p>
    <w:p w:rsidR="00F5229A" w:rsidRPr="009263D7" w:rsidRDefault="00CB4B9E" w:rsidP="00F5229A">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Z0205.填表人：</w:t>
      </w:r>
      <w:r w:rsidRPr="00CB4B9E">
        <w:rPr>
          <w:rFonts w:ascii="宋体" w:hAnsi="宋体" w:hint="eastAsia"/>
          <w:color w:val="000000" w:themeColor="text1"/>
          <w:szCs w:val="21"/>
        </w:rPr>
        <w:t>填表人姓名。</w:t>
      </w:r>
    </w:p>
    <w:p w:rsidR="00F5229A" w:rsidRPr="009263D7" w:rsidRDefault="00CB4B9E" w:rsidP="00F5229A">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Z0206.填表人电话</w:t>
      </w:r>
      <w:r w:rsidRPr="00CB4B9E">
        <w:rPr>
          <w:rFonts w:ascii="黑体" w:eastAsia="黑体" w:hAnsi="宋体" w:hint="eastAsia"/>
          <w:color w:val="000000" w:themeColor="text1"/>
          <w:szCs w:val="21"/>
        </w:rPr>
        <w:t>及电子邮箱：</w:t>
      </w:r>
      <w:r w:rsidRPr="00CB4B9E">
        <w:rPr>
          <w:rFonts w:ascii="宋体" w:hAnsi="宋体" w:hint="eastAsia"/>
          <w:color w:val="000000" w:themeColor="text1"/>
          <w:szCs w:val="21"/>
        </w:rPr>
        <w:t>填表人联系电话及常用电子邮箱地址。</w:t>
      </w:r>
    </w:p>
    <w:p w:rsidR="007E78A8" w:rsidRPr="009263D7" w:rsidRDefault="007E78A8" w:rsidP="00F5229A">
      <w:pPr>
        <w:spacing w:line="360" w:lineRule="auto"/>
        <w:ind w:firstLineChars="200" w:firstLine="420"/>
        <w:rPr>
          <w:rFonts w:ascii="宋体" w:hAnsi="宋体"/>
          <w:color w:val="000000" w:themeColor="text1"/>
          <w:szCs w:val="21"/>
        </w:rPr>
      </w:pPr>
    </w:p>
    <w:p w:rsidR="007E78A8" w:rsidRPr="009263D7" w:rsidRDefault="00CB4B9E" w:rsidP="00066124">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Z03：投资关系</w:t>
      </w:r>
      <w:r w:rsidR="003533FC">
        <w:rPr>
          <w:rFonts w:ascii="黑体" w:eastAsia="黑体" w:hint="eastAsia"/>
          <w:color w:val="000000" w:themeColor="text1"/>
          <w:sz w:val="24"/>
        </w:rPr>
        <w:t>(</w:t>
      </w:r>
      <w:r w:rsidR="00186DE1">
        <w:rPr>
          <w:rFonts w:ascii="黑体" w:eastAsia="黑体" w:hint="eastAsia"/>
          <w:color w:val="000000" w:themeColor="text1"/>
          <w:sz w:val="24"/>
        </w:rPr>
        <w:t>组织架构)</w:t>
      </w:r>
    </w:p>
    <w:p w:rsidR="00F5229A" w:rsidRPr="009263D7" w:rsidRDefault="00CB4B9E" w:rsidP="00F5229A">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Z0301.投资者名称:</w:t>
      </w:r>
      <w:r w:rsidRPr="00CB4B9E">
        <w:rPr>
          <w:rFonts w:ascii="宋体" w:hAnsi="宋体"/>
          <w:color w:val="000000" w:themeColor="text1"/>
          <w:szCs w:val="21"/>
        </w:rPr>
        <w:t xml:space="preserve"> </w:t>
      </w:r>
      <w:r w:rsidRPr="00CB4B9E">
        <w:rPr>
          <w:rFonts w:ascii="宋体" w:hAnsi="宋体" w:hint="eastAsia"/>
          <w:color w:val="000000" w:themeColor="text1"/>
          <w:szCs w:val="21"/>
        </w:rPr>
        <w:t>包括上一（</w:t>
      </w:r>
      <w:r w:rsidRPr="00CB4B9E">
        <w:rPr>
          <w:rFonts w:ascii="宋体" w:hAnsi="宋体"/>
          <w:color w:val="000000" w:themeColor="text1"/>
          <w:szCs w:val="21"/>
        </w:rPr>
        <w:t>N）级投资者名称</w:t>
      </w:r>
      <w:r w:rsidRPr="00CB4B9E">
        <w:rPr>
          <w:rFonts w:ascii="宋体" w:hAnsi="宋体" w:hint="eastAsia"/>
          <w:color w:val="000000" w:themeColor="text1"/>
          <w:szCs w:val="21"/>
        </w:rPr>
        <w:t>和下一（</w:t>
      </w:r>
      <w:r w:rsidRPr="00CB4B9E">
        <w:rPr>
          <w:rFonts w:ascii="宋体" w:hAnsi="宋体"/>
          <w:color w:val="000000" w:themeColor="text1"/>
          <w:szCs w:val="21"/>
        </w:rPr>
        <w:t>N）级投资者名称，其中上一（N）级投资者名称</w:t>
      </w:r>
      <w:r w:rsidRPr="00CB4B9E">
        <w:rPr>
          <w:rFonts w:ascii="宋体" w:hAnsi="宋体" w:hint="eastAsia"/>
          <w:color w:val="000000" w:themeColor="text1"/>
          <w:szCs w:val="21"/>
        </w:rPr>
        <w:t>指截至本统计期末，持有本填报机构</w:t>
      </w:r>
      <w:r w:rsidRPr="00CB4B9E">
        <w:rPr>
          <w:rFonts w:ascii="宋体" w:hAnsi="宋体"/>
          <w:color w:val="000000" w:themeColor="text1"/>
          <w:szCs w:val="21"/>
        </w:rPr>
        <w:t>10%及以上表决权的投资者、持有该投资者10%及以上表决权的再上一级投资者，并一直向上追溯的各级投资者的名称</w:t>
      </w:r>
      <w:r w:rsidRPr="00CB4B9E">
        <w:rPr>
          <w:rFonts w:ascii="宋体" w:hAnsi="宋体" w:hint="eastAsia"/>
          <w:color w:val="000000" w:themeColor="text1"/>
          <w:szCs w:val="21"/>
        </w:rPr>
        <w:t>；下一（</w:t>
      </w:r>
      <w:r w:rsidRPr="00CB4B9E">
        <w:rPr>
          <w:rFonts w:ascii="宋体" w:hAnsi="宋体"/>
          <w:color w:val="000000" w:themeColor="text1"/>
          <w:szCs w:val="21"/>
        </w:rPr>
        <w:t>N）级投资者名称指</w:t>
      </w:r>
      <w:r w:rsidRPr="00CB4B9E">
        <w:rPr>
          <w:rFonts w:ascii="宋体" w:hAnsi="宋体" w:hint="eastAsia"/>
          <w:color w:val="000000" w:themeColor="text1"/>
          <w:szCs w:val="21"/>
        </w:rPr>
        <w:t>填报单位直接持有</w:t>
      </w:r>
      <w:r w:rsidRPr="00CB4B9E">
        <w:rPr>
          <w:rFonts w:ascii="宋体" w:hAnsi="宋体"/>
          <w:color w:val="000000" w:themeColor="text1"/>
          <w:szCs w:val="21"/>
        </w:rPr>
        <w:t>10%及以上表决权的被投资机构，以及该被投资机构直接持有10%及以上表决权的再下一级被投资机构，并一直向下追溯的各级被投资机构的名称。应填写上述被投资机构的中文名称或当地注册的英文名称。如为其他语言名称，可不填写外文名称，但必须填写中文名称。</w:t>
      </w:r>
    </w:p>
    <w:p w:rsidR="00F5229A" w:rsidRPr="009263D7" w:rsidRDefault="00CB4B9E" w:rsidP="00F5229A">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Z0302.投资者代码</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w:t>
      </w:r>
      <w:r w:rsidRPr="00CB4B9E">
        <w:rPr>
          <w:rFonts w:ascii="宋体" w:hAnsi="宋体"/>
          <w:color w:val="000000" w:themeColor="text1"/>
          <w:szCs w:val="21"/>
        </w:rPr>
        <w:t>Z0301中各级投资者的代码，如为境内机构和个人，则填写组织机构代码</w:t>
      </w:r>
      <w:r w:rsidRPr="00CB4B9E">
        <w:rPr>
          <w:rFonts w:ascii="宋体" w:hAnsi="宋体" w:hint="eastAsia"/>
          <w:color w:val="000000" w:themeColor="text1"/>
          <w:szCs w:val="21"/>
        </w:rPr>
        <w:t>或统一社会信用代码和个人身份证件号码；如为境外机构，则优先选择</w:t>
      </w:r>
      <w:r w:rsidRPr="00CB4B9E">
        <w:rPr>
          <w:rFonts w:ascii="宋体" w:hAnsi="宋体"/>
          <w:color w:val="000000" w:themeColor="text1"/>
          <w:szCs w:val="21"/>
        </w:rPr>
        <w:t>SWIFT代码，如没有SWIFT代码，可填写特殊机构代码</w:t>
      </w:r>
      <w:r w:rsidRPr="00CB4B9E">
        <w:rPr>
          <w:rFonts w:ascii="宋体" w:hAnsi="宋体" w:cs="宋体"/>
          <w:color w:val="000000" w:themeColor="text1"/>
          <w:kern w:val="0"/>
          <w:szCs w:val="21"/>
        </w:rPr>
        <w:t>/股票证券代码/其他机构标识码，以唯一标识该境外机构</w:t>
      </w:r>
      <w:r w:rsidRPr="00CB4B9E">
        <w:rPr>
          <w:rFonts w:ascii="宋体" w:hAnsi="宋体" w:hint="eastAsia"/>
          <w:color w:val="000000" w:themeColor="text1"/>
          <w:szCs w:val="21"/>
        </w:rPr>
        <w:t>；如为境外个人，则填写护照号码或当地具有唯一性的个人身份证件号码。</w:t>
      </w:r>
    </w:p>
    <w:p w:rsidR="00F5229A" w:rsidRPr="009263D7" w:rsidRDefault="00CB4B9E" w:rsidP="00F5229A">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Z0303.投资者所属国家/地区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指上述各级投资者注册或常住的国家或地区</w:t>
      </w:r>
      <w:r w:rsidRPr="00CB4B9E">
        <w:rPr>
          <w:rFonts w:ascii="宋体" w:hAnsi="宋体" w:hint="eastAsia"/>
          <w:color w:val="000000" w:themeColor="text1"/>
        </w:rPr>
        <w:t>。</w:t>
      </w:r>
    </w:p>
    <w:p w:rsidR="008F7754" w:rsidRPr="009263D7" w:rsidRDefault="00CB4B9E" w:rsidP="008F7754">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Z0304.投资者所属部门</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指上述各级投资者所属的部门分类。</w:t>
      </w:r>
      <w:r w:rsidRPr="00CB4B9E">
        <w:rPr>
          <w:rFonts w:ascii="宋体" w:hAnsi="宋体" w:hint="eastAsia"/>
          <w:color w:val="000000" w:themeColor="text1"/>
        </w:rPr>
        <w:t>按以下五个子部门填列，即：①政府；②中央银行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。请按投资者的主营业务归类。</w:t>
      </w:r>
    </w:p>
    <w:p w:rsidR="00F5229A" w:rsidRPr="009263D7" w:rsidRDefault="00CB4B9E" w:rsidP="00F5229A">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Z0305.投资者表决权比例（%）</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指本统计期末，上述投资者持有下一级被投资机构表决权比例（不包括潜在表决权，如债转股）。</w:t>
      </w:r>
    </w:p>
    <w:p w:rsidR="008F7754" w:rsidRPr="009263D7" w:rsidRDefault="00CB4B9E" w:rsidP="008F7754">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Z0306.被投资机构名称</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被投资机构的中文名称或当地注册的英文名称。</w:t>
      </w:r>
      <w:r w:rsidRPr="00CB4B9E">
        <w:rPr>
          <w:rFonts w:ascii="宋体" w:hAnsi="宋体" w:cs="宋体" w:hint="eastAsia"/>
          <w:color w:val="000000" w:themeColor="text1"/>
          <w:kern w:val="0"/>
          <w:szCs w:val="21"/>
        </w:rPr>
        <w:t>如为其他语言名称，可不填写外文名称</w:t>
      </w:r>
      <w:r w:rsidRPr="00CB4B9E">
        <w:rPr>
          <w:rFonts w:ascii="宋体" w:hAnsi="宋体" w:cs="宋体" w:hint="eastAsia"/>
          <w:color w:val="000000" w:themeColor="text1"/>
          <w:kern w:val="0"/>
          <w:sz w:val="20"/>
          <w:szCs w:val="20"/>
        </w:rPr>
        <w:t>，但必须填写中文名称。</w:t>
      </w:r>
    </w:p>
    <w:p w:rsidR="00873741" w:rsidRPr="009263D7" w:rsidRDefault="00CB4B9E" w:rsidP="00873741">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Z0307.被投资机构代码</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各级被投资机构的代码，如为境内机构和个人，则填写组织机构代码或统一社会信用代码和个人身份证件号码；如为境外机构，则优先选择</w:t>
      </w:r>
      <w:r w:rsidRPr="00CB4B9E">
        <w:rPr>
          <w:rFonts w:ascii="宋体" w:hAnsi="宋体"/>
          <w:color w:val="000000" w:themeColor="text1"/>
          <w:szCs w:val="21"/>
        </w:rPr>
        <w:t>SWIFT代码，如没有SWIFT代码，可填写特殊机构代码</w:t>
      </w:r>
      <w:r w:rsidRPr="00CB4B9E">
        <w:rPr>
          <w:rFonts w:ascii="宋体" w:hAnsi="宋体" w:cs="宋体"/>
          <w:color w:val="000000" w:themeColor="text1"/>
          <w:kern w:val="0"/>
          <w:szCs w:val="21"/>
        </w:rPr>
        <w:t>/股票证券代码/其他机构标识码，以唯一标识该境外机构</w:t>
      </w:r>
      <w:r w:rsidRPr="00CB4B9E">
        <w:rPr>
          <w:rFonts w:ascii="宋体" w:hAnsi="宋体" w:hint="eastAsia"/>
          <w:color w:val="000000" w:themeColor="text1"/>
          <w:szCs w:val="21"/>
        </w:rPr>
        <w:t>；如为境外个人，则填写护照号码或当地具有唯一性的个人身份证件号码。</w:t>
      </w:r>
    </w:p>
    <w:p w:rsidR="00873741" w:rsidRPr="009263D7" w:rsidRDefault="00CB4B9E" w:rsidP="00873741">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lastRenderedPageBreak/>
        <w:t>Z0308.被投资机构所属国家/地区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指上述被投资机构注册的国家或地区。</w:t>
      </w:r>
    </w:p>
    <w:p w:rsidR="00873741" w:rsidRPr="009263D7" w:rsidRDefault="00CB4B9E" w:rsidP="00873741">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Z0309.被投资机构所属部门</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指上述各级被投资机构所属的部门分类。</w:t>
      </w:r>
      <w:r w:rsidRPr="00CB4B9E">
        <w:rPr>
          <w:rFonts w:ascii="宋体" w:hAnsi="宋体" w:hint="eastAsia"/>
          <w:color w:val="000000" w:themeColor="text1"/>
        </w:rPr>
        <w:t>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。请按被投资机构的主营业务归类。</w:t>
      </w:r>
    </w:p>
    <w:p w:rsidR="007E78A8" w:rsidRPr="009263D7" w:rsidRDefault="00CB4B9E" w:rsidP="00826512">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 xml:space="preserve">3. </w:t>
      </w:r>
      <w:r w:rsidRPr="00CB4B9E">
        <w:rPr>
          <w:rFonts w:ascii="黑体" w:eastAsia="黑体" w:hAnsi="宋体" w:hint="eastAsia"/>
          <w:color w:val="000000" w:themeColor="text1"/>
          <w:szCs w:val="21"/>
        </w:rPr>
        <w:t>相关举例：</w:t>
      </w:r>
      <w:r w:rsidRPr="00CB4B9E">
        <w:rPr>
          <w:rFonts w:ascii="黑体" w:eastAsia="黑体" w:hAnsi="宋体"/>
          <w:color w:val="000000" w:themeColor="text1"/>
          <w:szCs w:val="21"/>
        </w:rPr>
        <w:t xml:space="preserve"> </w:t>
      </w:r>
    </w:p>
    <w:p w:rsidR="00C830A9" w:rsidRPr="009263D7" w:rsidRDefault="00CB4B9E" w:rsidP="00C830A9">
      <w:pPr>
        <w:jc w:val="center"/>
        <w:rPr>
          <w:color w:val="000000" w:themeColor="text1"/>
          <w:lang w:val="zh-CN"/>
        </w:rPr>
      </w:pPr>
      <w:r w:rsidRPr="00CB4B9E">
        <w:rPr>
          <w:rFonts w:hint="eastAsia"/>
          <w:color w:val="000000" w:themeColor="text1"/>
          <w:lang w:val="zh-CN"/>
        </w:rPr>
        <w:t>图</w:t>
      </w:r>
      <w:r w:rsidRPr="00CB4B9E">
        <w:rPr>
          <w:color w:val="000000" w:themeColor="text1"/>
          <w:lang w:val="zh-CN"/>
        </w:rPr>
        <w:t xml:space="preserve">1 </w:t>
      </w:r>
      <w:r w:rsidRPr="00CB4B9E">
        <w:rPr>
          <w:rFonts w:hint="eastAsia"/>
          <w:color w:val="000000" w:themeColor="text1"/>
          <w:lang w:val="zh-CN"/>
        </w:rPr>
        <w:t>向上</w:t>
      </w:r>
      <w:r w:rsidRPr="00CB4B9E">
        <w:rPr>
          <w:color w:val="000000" w:themeColor="text1"/>
          <w:lang w:val="zh-CN"/>
        </w:rPr>
        <w:t>N</w:t>
      </w:r>
      <w:r w:rsidRPr="00CB4B9E">
        <w:rPr>
          <w:rFonts w:hint="eastAsia"/>
          <w:color w:val="000000" w:themeColor="text1"/>
          <w:lang w:val="zh-CN"/>
        </w:rPr>
        <w:t>级投资者信息</w:t>
      </w:r>
    </w:p>
    <w:p w:rsidR="00826512" w:rsidRPr="009263D7" w:rsidRDefault="00826512" w:rsidP="00826512">
      <w:pPr>
        <w:spacing w:line="360" w:lineRule="auto"/>
        <w:ind w:firstLineChars="200" w:firstLine="420"/>
        <w:rPr>
          <w:rFonts w:ascii="宋体" w:hAnsi="宋体"/>
          <w:color w:val="000000" w:themeColor="text1"/>
          <w:szCs w:val="21"/>
        </w:rPr>
      </w:pPr>
    </w:p>
    <w:p w:rsidR="00826512" w:rsidRPr="009263D7" w:rsidRDefault="00CB4B9E" w:rsidP="00826512">
      <w:pPr>
        <w:spacing w:line="360" w:lineRule="auto"/>
        <w:ind w:firstLineChars="200" w:firstLine="420"/>
        <w:rPr>
          <w:rFonts w:ascii="宋体" w:hAnsi="宋体"/>
          <w:color w:val="000000" w:themeColor="text1"/>
          <w:szCs w:val="21"/>
        </w:rPr>
      </w:pPr>
      <w:r>
        <w:rPr>
          <w:rFonts w:ascii="宋体" w:hAnsi="宋体"/>
          <w:noProof/>
          <w:color w:val="000000" w:themeColor="text1"/>
          <w:szCs w:val="21"/>
        </w:rPr>
        <w:pict>
          <v:shapetype id="_x0000_t202" coordsize="21600,21600" o:spt="202" path="m,l,21600r21600,l21600,xe">
            <v:stroke joinstyle="miter"/>
            <v:path gradientshapeok="t" o:connecttype="rect"/>
          </v:shapetype>
          <v:shape id="_x0000_s1505" type="#_x0000_t202" style="position:absolute;left:0;text-align:left;margin-left:233.15pt;margin-top:3.95pt;width:91.5pt;height:55.5pt;z-index:12" fillcolor="white [3212]">
            <v:textbox style="mso-next-textbox:#_x0000_s1505">
              <w:txbxContent>
                <w:p w:rsidR="0075681B" w:rsidRDefault="0075681B" w:rsidP="00D2130E">
                  <w:pPr>
                    <w:jc w:val="center"/>
                  </w:pPr>
                  <w:r>
                    <w:rPr>
                      <w:rFonts w:hint="eastAsia"/>
                    </w:rPr>
                    <w:t>投资者</w:t>
                  </w:r>
                  <w:r>
                    <w:rPr>
                      <w:rFonts w:hint="eastAsia"/>
                    </w:rPr>
                    <w:t>F</w:t>
                  </w:r>
                  <w:r>
                    <w:rPr>
                      <w:rFonts w:hint="eastAsia"/>
                    </w:rPr>
                    <w:t>，英国，银行业，持有</w:t>
                  </w:r>
                  <w:r>
                    <w:rPr>
                      <w:rFonts w:hint="eastAsia"/>
                    </w:rPr>
                    <w:t>E</w:t>
                  </w:r>
                  <w:r>
                    <w:rPr>
                      <w:rFonts w:hint="eastAsia"/>
                    </w:rPr>
                    <w:t>表决权</w:t>
                  </w:r>
                  <w:r>
                    <w:rPr>
                      <w:rFonts w:hint="eastAsia"/>
                    </w:rPr>
                    <w:t>100%</w:t>
                  </w:r>
                </w:p>
              </w:txbxContent>
            </v:textbox>
          </v:shape>
        </w:pict>
      </w:r>
    </w:p>
    <w:p w:rsidR="00826512" w:rsidRPr="009263D7" w:rsidRDefault="00826512" w:rsidP="00826512">
      <w:pPr>
        <w:spacing w:line="360" w:lineRule="auto"/>
        <w:ind w:firstLineChars="200" w:firstLine="420"/>
        <w:rPr>
          <w:rFonts w:ascii="宋体" w:hAnsi="宋体"/>
          <w:color w:val="000000" w:themeColor="text1"/>
          <w:szCs w:val="21"/>
        </w:rPr>
      </w:pPr>
    </w:p>
    <w:p w:rsidR="00826512" w:rsidRPr="009263D7" w:rsidRDefault="00CB4B9E" w:rsidP="00826512">
      <w:pPr>
        <w:spacing w:line="360" w:lineRule="auto"/>
        <w:ind w:firstLineChars="200" w:firstLine="420"/>
        <w:rPr>
          <w:rFonts w:ascii="宋体" w:hAnsi="宋体"/>
          <w:color w:val="000000" w:themeColor="text1"/>
          <w:szCs w:val="21"/>
        </w:rPr>
      </w:pPr>
      <w:r>
        <w:rPr>
          <w:rFonts w:ascii="宋体" w:hAnsi="宋体"/>
          <w:noProof/>
          <w:color w:val="000000" w:themeColor="text1"/>
          <w:szCs w:val="21"/>
        </w:rPr>
        <w:pict>
          <v:shapetype id="_x0000_t32" coordsize="21600,21600" o:spt="32" o:oned="t" path="m,l21600,21600e" filled="f">
            <v:path arrowok="t" fillok="f" o:connecttype="none"/>
            <o:lock v:ext="edit" shapetype="t"/>
          </v:shapetype>
          <v:shape id="_x0000_s1518" type="#_x0000_t32" style="position:absolute;left:0;text-align:left;margin-left:274.4pt;margin-top:12.65pt;width:0;height:15.75pt;flip:y;z-index:24" o:connectortype="straight">
            <v:stroke endarrow="block"/>
          </v:shape>
        </w:pict>
      </w:r>
    </w:p>
    <w:p w:rsidR="00826512" w:rsidRPr="009263D7" w:rsidRDefault="00CB4B9E" w:rsidP="00826512">
      <w:pPr>
        <w:spacing w:line="360" w:lineRule="auto"/>
        <w:ind w:firstLineChars="200" w:firstLine="420"/>
        <w:rPr>
          <w:rFonts w:ascii="宋体" w:hAnsi="宋体"/>
          <w:color w:val="000000" w:themeColor="text1"/>
          <w:szCs w:val="21"/>
        </w:rPr>
      </w:pPr>
      <w:r>
        <w:rPr>
          <w:rFonts w:ascii="宋体" w:hAnsi="宋体"/>
          <w:noProof/>
          <w:color w:val="000000" w:themeColor="text1"/>
          <w:szCs w:val="21"/>
        </w:rPr>
        <w:pict>
          <v:shape id="_x0000_s1510" type="#_x0000_t202" style="position:absolute;left:0;text-align:left;margin-left:71.9pt;margin-top:1.25pt;width:105pt;height:61.5pt;z-index:17" fillcolor="white [3212]">
            <v:textbox style="mso-next-textbox:#_x0000_s1510">
              <w:txbxContent>
                <w:p w:rsidR="0075681B" w:rsidRDefault="0075681B" w:rsidP="00D2130E">
                  <w:pPr>
                    <w:jc w:val="center"/>
                  </w:pPr>
                  <w:r>
                    <w:rPr>
                      <w:rFonts w:hint="eastAsia"/>
                    </w:rPr>
                    <w:t>投资者</w:t>
                  </w:r>
                  <w:r>
                    <w:rPr>
                      <w:rFonts w:hint="eastAsia"/>
                    </w:rPr>
                    <w:t>C</w:t>
                  </w:r>
                  <w:r>
                    <w:rPr>
                      <w:rFonts w:hint="eastAsia"/>
                    </w:rPr>
                    <w:t>，中国大陆，其他部门，持有</w:t>
                  </w:r>
                  <w:r>
                    <w:rPr>
                      <w:rFonts w:hint="eastAsia"/>
                    </w:rPr>
                    <w:t>B</w:t>
                  </w:r>
                  <w:r>
                    <w:rPr>
                      <w:rFonts w:hint="eastAsia"/>
                    </w:rPr>
                    <w:t>表决权</w:t>
                  </w:r>
                  <w:r>
                    <w:rPr>
                      <w:rFonts w:hint="eastAsia"/>
                    </w:rPr>
                    <w:t>60%</w:t>
                  </w:r>
                </w:p>
              </w:txbxContent>
            </v:textbox>
          </v:shape>
        </w:pict>
      </w:r>
      <w:r>
        <w:rPr>
          <w:rFonts w:ascii="宋体" w:hAnsi="宋体"/>
          <w:noProof/>
          <w:color w:val="000000" w:themeColor="text1"/>
          <w:szCs w:val="21"/>
        </w:rPr>
        <w:pict>
          <v:shape id="_x0000_s1511" type="#_x0000_t202" style="position:absolute;left:0;text-align:left;margin-left:359.15pt;margin-top:1.25pt;width:93pt;height:61.5pt;z-index:18" filled="f" fillcolor="silver">
            <v:textbox style="mso-next-textbox:#_x0000_s1511">
              <w:txbxContent>
                <w:p w:rsidR="0075681B" w:rsidRDefault="0075681B" w:rsidP="00D2130E">
                  <w:pPr>
                    <w:jc w:val="center"/>
                  </w:pPr>
                  <w:r>
                    <w:rPr>
                      <w:rFonts w:hint="eastAsia"/>
                    </w:rPr>
                    <w:t>投资者</w:t>
                  </w:r>
                  <w:r>
                    <w:rPr>
                      <w:rFonts w:hint="eastAsia"/>
                    </w:rPr>
                    <w:t>G</w:t>
                  </w:r>
                  <w:r>
                    <w:rPr>
                      <w:rFonts w:hint="eastAsia"/>
                    </w:rPr>
                    <w:t>，香港，其他金融业，持有</w:t>
                  </w:r>
                  <w:r>
                    <w:rPr>
                      <w:rFonts w:hint="eastAsia"/>
                    </w:rPr>
                    <w:t>D</w:t>
                  </w:r>
                  <w:r>
                    <w:rPr>
                      <w:rFonts w:hint="eastAsia"/>
                    </w:rPr>
                    <w:t>表决权</w:t>
                  </w:r>
                  <w:r>
                    <w:rPr>
                      <w:rFonts w:hint="eastAsia"/>
                    </w:rPr>
                    <w:t>10%</w:t>
                  </w:r>
                </w:p>
              </w:txbxContent>
            </v:textbox>
          </v:shape>
        </w:pict>
      </w:r>
      <w:r>
        <w:rPr>
          <w:rFonts w:ascii="宋体" w:hAnsi="宋体"/>
          <w:noProof/>
          <w:color w:val="000000" w:themeColor="text1"/>
          <w:szCs w:val="21"/>
        </w:rPr>
        <w:pict>
          <v:shape id="_x0000_s1506" type="#_x0000_t202" style="position:absolute;left:0;text-align:left;margin-left:233.15pt;margin-top:5pt;width:95.25pt;height:61.5pt;z-index:13" filled="f" fillcolor="silver">
            <v:textbox style="mso-next-textbox:#_x0000_s1506">
              <w:txbxContent>
                <w:p w:rsidR="0075681B" w:rsidRDefault="0075681B" w:rsidP="00D2130E">
                  <w:pPr>
                    <w:jc w:val="center"/>
                  </w:pPr>
                  <w:r>
                    <w:rPr>
                      <w:rFonts w:hint="eastAsia"/>
                    </w:rPr>
                    <w:t>投资者</w:t>
                  </w:r>
                  <w:r>
                    <w:rPr>
                      <w:rFonts w:hint="eastAsia"/>
                    </w:rPr>
                    <w:t>E,</w:t>
                  </w:r>
                  <w:r>
                    <w:rPr>
                      <w:rFonts w:hint="eastAsia"/>
                    </w:rPr>
                    <w:t>卢森堡，其他金融业，持有</w:t>
                  </w:r>
                  <w:r>
                    <w:rPr>
                      <w:rFonts w:hint="eastAsia"/>
                    </w:rPr>
                    <w:t>D</w:t>
                  </w:r>
                  <w:r>
                    <w:rPr>
                      <w:rFonts w:hint="eastAsia"/>
                    </w:rPr>
                    <w:t>表决权</w:t>
                  </w:r>
                  <w:r>
                    <w:rPr>
                      <w:rFonts w:hint="eastAsia"/>
                    </w:rPr>
                    <w:t>90%</w:t>
                  </w:r>
                </w:p>
              </w:txbxContent>
            </v:textbox>
          </v:shape>
        </w:pict>
      </w:r>
    </w:p>
    <w:p w:rsidR="00826512" w:rsidRPr="009263D7" w:rsidRDefault="00826512" w:rsidP="00E73171">
      <w:pPr>
        <w:spacing w:line="360" w:lineRule="auto"/>
        <w:ind w:firstLineChars="200" w:firstLine="420"/>
        <w:rPr>
          <w:rFonts w:ascii="宋体" w:hAnsi="宋体"/>
          <w:color w:val="000000" w:themeColor="text1"/>
          <w:szCs w:val="21"/>
        </w:rPr>
      </w:pPr>
    </w:p>
    <w:p w:rsidR="00826512" w:rsidRPr="009263D7" w:rsidRDefault="00CB4B9E" w:rsidP="00826512">
      <w:pPr>
        <w:spacing w:line="360" w:lineRule="auto"/>
        <w:ind w:firstLineChars="200" w:firstLine="480"/>
        <w:rPr>
          <w:rFonts w:ascii="仿宋_GB2312" w:eastAsia="仿宋_GB2312"/>
          <w:color w:val="000000" w:themeColor="text1"/>
          <w:sz w:val="24"/>
        </w:rPr>
      </w:pPr>
      <w:r>
        <w:rPr>
          <w:rFonts w:ascii="仿宋_GB2312" w:eastAsia="仿宋_GB2312"/>
          <w:noProof/>
          <w:color w:val="000000" w:themeColor="text1"/>
          <w:sz w:val="24"/>
        </w:rPr>
        <w:pict>
          <v:shape id="_x0000_s1517" type="#_x0000_t32" style="position:absolute;left:0;text-align:left;margin-left:357.65pt;margin-top:15.95pt;width:22.5pt;height:15pt;flip:y;z-index:23" o:connectortype="straight">
            <v:stroke endarrow="block"/>
          </v:shape>
        </w:pict>
      </w:r>
      <w:r>
        <w:rPr>
          <w:rFonts w:ascii="仿宋_GB2312" w:eastAsia="仿宋_GB2312"/>
          <w:noProof/>
          <w:color w:val="000000" w:themeColor="text1"/>
          <w:sz w:val="24"/>
        </w:rPr>
        <w:pict>
          <v:shape id="_x0000_s1516" type="#_x0000_t32" style="position:absolute;left:0;text-align:left;margin-left:328.4pt;margin-top:12.2pt;width:25.5pt;height:18.75pt;flip:x y;z-index:22" o:connectortype="straight">
            <v:stroke endarrow="block"/>
          </v:shape>
        </w:pict>
      </w:r>
      <w:r>
        <w:rPr>
          <w:rFonts w:ascii="仿宋_GB2312" w:eastAsia="仿宋_GB2312"/>
          <w:noProof/>
          <w:color w:val="000000" w:themeColor="text1"/>
          <w:sz w:val="24"/>
        </w:rPr>
        <w:pict>
          <v:shape id="_x0000_s1515" type="#_x0000_t32" style="position:absolute;left:0;text-align:left;margin-left:124.4pt;margin-top:15.95pt;width:0;height:15pt;flip:y;z-index:21" o:connectortype="straight">
            <v:stroke endarrow="block"/>
          </v:shape>
        </w:pict>
      </w:r>
    </w:p>
    <w:p w:rsidR="00C5350D" w:rsidRPr="009263D7" w:rsidRDefault="00CB4B9E">
      <w:pPr>
        <w:spacing w:line="360" w:lineRule="auto"/>
        <w:ind w:firstLineChars="200" w:firstLine="480"/>
        <w:rPr>
          <w:rFonts w:ascii="仿宋_GB2312" w:eastAsia="仿宋_GB2312"/>
          <w:color w:val="000000" w:themeColor="text1"/>
          <w:sz w:val="24"/>
        </w:rPr>
      </w:pPr>
      <w:r>
        <w:rPr>
          <w:rFonts w:ascii="仿宋_GB2312" w:eastAsia="仿宋_GB2312"/>
          <w:noProof/>
          <w:color w:val="000000" w:themeColor="text1"/>
          <w:sz w:val="24"/>
        </w:rPr>
        <w:pict>
          <v:shape id="_x0000_s1507" type="#_x0000_t202" style="position:absolute;left:0;text-align:left;margin-left:71.9pt;margin-top:7.55pt;width:105pt;height:54.75pt;z-index:14" filled="f" fillcolor="silver">
            <v:textbox style="mso-next-textbox:#_x0000_s1507">
              <w:txbxContent>
                <w:p w:rsidR="0075681B" w:rsidRDefault="0075681B" w:rsidP="00D2130E">
                  <w:pPr>
                    <w:jc w:val="center"/>
                  </w:pPr>
                  <w:r>
                    <w:rPr>
                      <w:rFonts w:hint="eastAsia"/>
                    </w:rPr>
                    <w:t>投资者</w:t>
                  </w:r>
                  <w:r>
                    <w:rPr>
                      <w:rFonts w:hint="eastAsia"/>
                    </w:rPr>
                    <w:t>B</w:t>
                  </w:r>
                  <w:r>
                    <w:rPr>
                      <w:rFonts w:hint="eastAsia"/>
                    </w:rPr>
                    <w:t>，中国大陆，其他金融业，持有</w:t>
                  </w:r>
                  <w:r>
                    <w:rPr>
                      <w:rFonts w:hint="eastAsia"/>
                    </w:rPr>
                    <w:t>A</w:t>
                  </w:r>
                  <w:r>
                    <w:rPr>
                      <w:rFonts w:hint="eastAsia"/>
                    </w:rPr>
                    <w:t>表决权</w:t>
                  </w:r>
                  <w:r>
                    <w:rPr>
                      <w:rFonts w:hint="eastAsia"/>
                    </w:rPr>
                    <w:t>40%</w:t>
                  </w:r>
                </w:p>
              </w:txbxContent>
            </v:textbox>
          </v:shape>
        </w:pict>
      </w:r>
      <w:r>
        <w:rPr>
          <w:rFonts w:ascii="仿宋_GB2312" w:eastAsia="仿宋_GB2312"/>
          <w:noProof/>
          <w:color w:val="000000" w:themeColor="text1"/>
          <w:sz w:val="24"/>
        </w:rPr>
        <w:pict>
          <v:shape id="_x0000_s1509" type="#_x0000_t202" style="position:absolute;left:0;text-align:left;margin-left:303.65pt;margin-top:7.55pt;width:102.75pt;height:54.75pt;z-index:16" filled="f" fillcolor="silver">
            <v:textbox style="mso-next-textbox:#_x0000_s1509">
              <w:txbxContent>
                <w:p w:rsidR="0075681B" w:rsidRDefault="0075681B" w:rsidP="00D2130E">
                  <w:pPr>
                    <w:jc w:val="center"/>
                  </w:pPr>
                  <w:r>
                    <w:rPr>
                      <w:rFonts w:hint="eastAsia"/>
                    </w:rPr>
                    <w:t>投资者</w:t>
                  </w:r>
                  <w:r>
                    <w:rPr>
                      <w:rFonts w:hint="eastAsia"/>
                    </w:rPr>
                    <w:t>D</w:t>
                  </w:r>
                  <w:r>
                    <w:rPr>
                      <w:rFonts w:hint="eastAsia"/>
                    </w:rPr>
                    <w:t>，英属维尔京，其他金融业，持有</w:t>
                  </w:r>
                  <w:r>
                    <w:rPr>
                      <w:rFonts w:hint="eastAsia"/>
                    </w:rPr>
                    <w:t>A</w:t>
                  </w:r>
                  <w:r>
                    <w:rPr>
                      <w:rFonts w:hint="eastAsia"/>
                    </w:rPr>
                    <w:t>表决权</w:t>
                  </w:r>
                  <w:r>
                    <w:rPr>
                      <w:rFonts w:hint="eastAsia"/>
                    </w:rPr>
                    <w:t>60%</w:t>
                  </w:r>
                </w:p>
              </w:txbxContent>
            </v:textbox>
          </v:shape>
        </w:pict>
      </w:r>
    </w:p>
    <w:p w:rsidR="00FD5B82" w:rsidRPr="009263D7" w:rsidRDefault="00CB4B9E" w:rsidP="00826512">
      <w:pPr>
        <w:spacing w:line="360" w:lineRule="auto"/>
        <w:ind w:firstLineChars="200" w:firstLine="480"/>
        <w:rPr>
          <w:rFonts w:ascii="仿宋_GB2312" w:eastAsia="仿宋_GB2312"/>
          <w:color w:val="000000" w:themeColor="text1"/>
          <w:sz w:val="24"/>
        </w:rPr>
      </w:pPr>
      <w:r>
        <w:rPr>
          <w:rFonts w:ascii="仿宋_GB2312" w:eastAsia="仿宋_GB2312"/>
          <w:noProof/>
          <w:color w:val="000000" w:themeColor="text1"/>
          <w:sz w:val="24"/>
        </w:rPr>
        <w:pict>
          <v:shape id="_x0000_s1514" type="#_x0000_t32" style="position:absolute;left:0;text-align:left;margin-left:243.65pt;margin-top:13.4pt;width:60pt;height:39pt;flip:y;z-index:20" o:connectortype="straight">
            <v:stroke endarrow="block"/>
          </v:shape>
        </w:pict>
      </w:r>
      <w:r>
        <w:rPr>
          <w:rFonts w:ascii="仿宋_GB2312" w:eastAsia="仿宋_GB2312"/>
          <w:noProof/>
          <w:color w:val="000000" w:themeColor="text1"/>
          <w:sz w:val="24"/>
        </w:rPr>
        <w:pict>
          <v:shape id="_x0000_s1513" type="#_x0000_t32" style="position:absolute;left:0;text-align:left;margin-left:176.9pt;margin-top:13.4pt;width:66.75pt;height:39pt;flip:x y;z-index:19" o:connectortype="straight">
            <v:stroke endarrow="block"/>
          </v:shape>
        </w:pict>
      </w:r>
    </w:p>
    <w:p w:rsidR="00FD5B82" w:rsidRPr="009263D7" w:rsidRDefault="00FD5B82" w:rsidP="00826512">
      <w:pPr>
        <w:spacing w:line="360" w:lineRule="auto"/>
        <w:ind w:firstLineChars="200" w:firstLine="480"/>
        <w:rPr>
          <w:rFonts w:ascii="仿宋_GB2312" w:eastAsia="仿宋_GB2312"/>
          <w:color w:val="000000" w:themeColor="text1"/>
          <w:sz w:val="24"/>
        </w:rPr>
      </w:pPr>
    </w:p>
    <w:p w:rsidR="00FD5B82" w:rsidRPr="009263D7" w:rsidRDefault="00CB4B9E" w:rsidP="00826512">
      <w:pPr>
        <w:spacing w:line="360" w:lineRule="auto"/>
        <w:ind w:firstLineChars="200" w:firstLine="480"/>
        <w:rPr>
          <w:rFonts w:ascii="仿宋_GB2312" w:eastAsia="仿宋_GB2312"/>
          <w:color w:val="000000" w:themeColor="text1"/>
          <w:sz w:val="24"/>
        </w:rPr>
      </w:pPr>
      <w:r>
        <w:rPr>
          <w:rFonts w:ascii="仿宋_GB2312" w:eastAsia="仿宋_GB2312"/>
          <w:noProof/>
          <w:color w:val="000000" w:themeColor="text1"/>
          <w:sz w:val="24"/>
        </w:rPr>
        <w:pict>
          <v:shape id="_x0000_s1508" type="#_x0000_t202" style="position:absolute;left:0;text-align:left;margin-left:185.15pt;margin-top:5.6pt;width:118.5pt;height:28.5pt;z-index:15" filled="f" fillcolor="silver">
            <v:textbox style="mso-next-textbox:#_x0000_s1508">
              <w:txbxContent>
                <w:p w:rsidR="0075681B" w:rsidRDefault="0075681B" w:rsidP="00D2130E">
                  <w:pPr>
                    <w:jc w:val="center"/>
                  </w:pPr>
                  <w:r>
                    <w:rPr>
                      <w:rFonts w:hint="eastAsia"/>
                    </w:rPr>
                    <w:t>填报单位</w:t>
                  </w:r>
                  <w:r>
                    <w:rPr>
                      <w:rFonts w:hint="eastAsia"/>
                    </w:rPr>
                    <w:t>A</w:t>
                  </w:r>
                </w:p>
              </w:txbxContent>
            </v:textbox>
          </v:shape>
        </w:pict>
      </w:r>
    </w:p>
    <w:p w:rsidR="00FD5B82" w:rsidRPr="009263D7" w:rsidRDefault="00FD5B82" w:rsidP="00826512">
      <w:pPr>
        <w:spacing w:line="360" w:lineRule="auto"/>
        <w:ind w:firstLineChars="200" w:firstLine="480"/>
        <w:rPr>
          <w:rFonts w:ascii="仿宋_GB2312" w:eastAsia="仿宋_GB2312"/>
          <w:color w:val="000000" w:themeColor="text1"/>
          <w:sz w:val="24"/>
        </w:rPr>
      </w:pPr>
    </w:p>
    <w:p w:rsidR="00C830A9" w:rsidRPr="009263D7" w:rsidRDefault="00C830A9" w:rsidP="00826512">
      <w:pPr>
        <w:spacing w:line="360" w:lineRule="auto"/>
        <w:ind w:firstLineChars="200" w:firstLine="480"/>
        <w:rPr>
          <w:rFonts w:ascii="仿宋_GB2312" w:eastAsia="仿宋_GB2312"/>
          <w:color w:val="000000" w:themeColor="text1"/>
          <w:sz w:val="24"/>
        </w:rPr>
      </w:pPr>
    </w:p>
    <w:p w:rsidR="00C830A9" w:rsidRPr="009263D7" w:rsidRDefault="00CB4B9E" w:rsidP="00C830A9">
      <w:pPr>
        <w:jc w:val="center"/>
        <w:rPr>
          <w:color w:val="000000" w:themeColor="text1"/>
          <w:lang w:val="zh-CN"/>
        </w:rPr>
      </w:pPr>
      <w:r w:rsidRPr="00CB4B9E">
        <w:rPr>
          <w:rFonts w:hint="eastAsia"/>
          <w:color w:val="000000" w:themeColor="text1"/>
          <w:lang w:val="zh-CN"/>
        </w:rPr>
        <w:t>图</w:t>
      </w:r>
      <w:r w:rsidRPr="00CB4B9E">
        <w:rPr>
          <w:color w:val="000000" w:themeColor="text1"/>
          <w:lang w:val="zh-CN"/>
        </w:rPr>
        <w:t xml:space="preserve">2 </w:t>
      </w:r>
      <w:r w:rsidRPr="00CB4B9E">
        <w:rPr>
          <w:rFonts w:hint="eastAsia"/>
          <w:color w:val="000000" w:themeColor="text1"/>
          <w:lang w:val="zh-CN"/>
        </w:rPr>
        <w:t>向下</w:t>
      </w:r>
      <w:r w:rsidRPr="00CB4B9E">
        <w:rPr>
          <w:color w:val="000000" w:themeColor="text1"/>
          <w:lang w:val="zh-CN"/>
        </w:rPr>
        <w:t>N</w:t>
      </w:r>
      <w:r w:rsidRPr="00CB4B9E">
        <w:rPr>
          <w:rFonts w:hint="eastAsia"/>
          <w:color w:val="000000" w:themeColor="text1"/>
          <w:lang w:val="zh-CN"/>
        </w:rPr>
        <w:t>级被投资机构信息</w:t>
      </w:r>
    </w:p>
    <w:p w:rsidR="00FD5B82" w:rsidRPr="009263D7" w:rsidRDefault="00CB4B9E" w:rsidP="00826512">
      <w:pPr>
        <w:spacing w:line="360" w:lineRule="auto"/>
        <w:ind w:firstLineChars="200" w:firstLine="480"/>
        <w:rPr>
          <w:rFonts w:ascii="仿宋_GB2312" w:eastAsia="仿宋_GB2312"/>
          <w:color w:val="000000" w:themeColor="text1"/>
          <w:sz w:val="24"/>
        </w:rPr>
      </w:pPr>
      <w:r>
        <w:rPr>
          <w:rFonts w:ascii="仿宋_GB2312" w:eastAsia="仿宋_GB2312"/>
          <w:noProof/>
          <w:color w:val="000000" w:themeColor="text1"/>
          <w:sz w:val="24"/>
        </w:rPr>
        <w:pict>
          <v:shape id="_x0000_s1519" type="#_x0000_t202" style="position:absolute;left:0;text-align:left;margin-left:191.15pt;margin-top:14.15pt;width:112.5pt;height:27.75pt;z-index:25" filled="f" fillcolor="silver">
            <v:textbox style="mso-next-textbox:#_x0000_s1519">
              <w:txbxContent>
                <w:p w:rsidR="0075681B" w:rsidRDefault="0075681B" w:rsidP="00040905">
                  <w:pPr>
                    <w:jc w:val="center"/>
                  </w:pPr>
                  <w:r>
                    <w:rPr>
                      <w:rFonts w:hint="eastAsia"/>
                    </w:rPr>
                    <w:t>填报单位</w:t>
                  </w:r>
                  <w:r>
                    <w:rPr>
                      <w:rFonts w:hint="eastAsia"/>
                    </w:rPr>
                    <w:t>A</w:t>
                  </w:r>
                </w:p>
              </w:txbxContent>
            </v:textbox>
          </v:shape>
        </w:pict>
      </w:r>
    </w:p>
    <w:p w:rsidR="00FD5B82" w:rsidRPr="009263D7" w:rsidRDefault="00CB4B9E" w:rsidP="00C830A9">
      <w:pPr>
        <w:spacing w:line="360" w:lineRule="auto"/>
        <w:ind w:firstLineChars="200" w:firstLine="480"/>
        <w:rPr>
          <w:rFonts w:ascii="仿宋_GB2312" w:eastAsia="仿宋_GB2312"/>
          <w:color w:val="000000" w:themeColor="text1"/>
          <w:sz w:val="24"/>
        </w:rPr>
      </w:pPr>
      <w:r>
        <w:rPr>
          <w:rFonts w:ascii="仿宋_GB2312" w:eastAsia="仿宋_GB2312"/>
          <w:noProof/>
          <w:color w:val="000000" w:themeColor="text1"/>
          <w:sz w:val="24"/>
        </w:rPr>
        <w:pict>
          <v:shape id="_x0000_s1498" type="#_x0000_t32" style="position:absolute;left:0;text-align:left;margin-left:268.4pt;margin-top:18.5pt;width:66.75pt;height:29.25pt;z-index:9" o:connectortype="straight">
            <v:stroke endarrow="block"/>
          </v:shape>
        </w:pict>
      </w:r>
      <w:r>
        <w:rPr>
          <w:rFonts w:ascii="仿宋_GB2312" w:eastAsia="仿宋_GB2312"/>
          <w:noProof/>
          <w:color w:val="000000" w:themeColor="text1"/>
          <w:sz w:val="24"/>
        </w:rPr>
        <w:pict>
          <v:shape id="_x0000_s1497" type="#_x0000_t32" style="position:absolute;left:0;text-align:left;margin-left:124.4pt;margin-top:18.5pt;width:80.25pt;height:29.25pt;flip:x;z-index:8" o:connectortype="straight">
            <v:stroke endarrow="block"/>
          </v:shape>
        </w:pict>
      </w:r>
    </w:p>
    <w:p w:rsidR="00FD5B82" w:rsidRPr="009263D7" w:rsidRDefault="00FD5B82" w:rsidP="00826512">
      <w:pPr>
        <w:spacing w:line="360" w:lineRule="auto"/>
        <w:ind w:firstLineChars="200" w:firstLine="480"/>
        <w:rPr>
          <w:rFonts w:ascii="仿宋_GB2312" w:eastAsia="仿宋_GB2312"/>
          <w:color w:val="000000" w:themeColor="text1"/>
          <w:sz w:val="24"/>
        </w:rPr>
      </w:pPr>
    </w:p>
    <w:p w:rsidR="00FD5B82" w:rsidRPr="009263D7" w:rsidRDefault="00CB4B9E" w:rsidP="00826512">
      <w:pPr>
        <w:spacing w:line="360" w:lineRule="auto"/>
        <w:ind w:firstLineChars="200" w:firstLine="480"/>
        <w:rPr>
          <w:rFonts w:ascii="仿宋_GB2312" w:eastAsia="仿宋_GB2312"/>
          <w:color w:val="000000" w:themeColor="text1"/>
          <w:sz w:val="24"/>
        </w:rPr>
      </w:pPr>
      <w:r>
        <w:rPr>
          <w:rFonts w:ascii="仿宋_GB2312" w:eastAsia="仿宋_GB2312"/>
          <w:noProof/>
          <w:color w:val="000000" w:themeColor="text1"/>
          <w:sz w:val="24"/>
        </w:rPr>
        <w:pict>
          <v:shape id="_x0000_s1490" type="#_x0000_t202" style="position:absolute;left:0;text-align:left;margin-left:279.65pt;margin-top:.95pt;width:163.5pt;height:48pt;z-index:7" filled="f" fillcolor="silver">
            <v:textbox style="mso-next-textbox:#_x0000_s1490">
              <w:txbxContent>
                <w:p w:rsidR="0075681B" w:rsidRDefault="0075681B" w:rsidP="00365D9A">
                  <w:pPr>
                    <w:jc w:val="center"/>
                  </w:pPr>
                  <w:r>
                    <w:rPr>
                      <w:rFonts w:hint="eastAsia"/>
                    </w:rPr>
                    <w:t>被投资机构</w:t>
                  </w:r>
                  <w:r>
                    <w:rPr>
                      <w:rFonts w:hint="eastAsia"/>
                    </w:rPr>
                    <w:t>F</w:t>
                  </w:r>
                  <w:r>
                    <w:rPr>
                      <w:rFonts w:hint="eastAsia"/>
                    </w:rPr>
                    <w:t>，英属维尔京，其他金融业，</w:t>
                  </w:r>
                  <w:r>
                    <w:rPr>
                      <w:rFonts w:hint="eastAsia"/>
                    </w:rPr>
                    <w:t>A</w:t>
                  </w:r>
                  <w:r>
                    <w:rPr>
                      <w:rFonts w:hint="eastAsia"/>
                    </w:rPr>
                    <w:t>持有</w:t>
                  </w:r>
                  <w:r>
                    <w:rPr>
                      <w:rFonts w:hint="eastAsia"/>
                    </w:rPr>
                    <w:t>100%</w:t>
                  </w:r>
                  <w:r>
                    <w:rPr>
                      <w:rFonts w:hint="eastAsia"/>
                    </w:rPr>
                    <w:t>表决权</w:t>
                  </w:r>
                </w:p>
              </w:txbxContent>
            </v:textbox>
          </v:shape>
        </w:pict>
      </w:r>
      <w:r>
        <w:rPr>
          <w:rFonts w:ascii="仿宋_GB2312" w:eastAsia="仿宋_GB2312"/>
          <w:noProof/>
          <w:color w:val="000000" w:themeColor="text1"/>
          <w:sz w:val="24"/>
        </w:rPr>
        <w:pict>
          <v:shape id="_x0000_s1489" type="#_x0000_t202" style="position:absolute;left:0;text-align:left;margin-left:47.9pt;margin-top:.95pt;width:132.75pt;height:48pt;z-index:6" filled="f" fillcolor="silver">
            <v:textbox style="mso-next-textbox:#_x0000_s1489">
              <w:txbxContent>
                <w:p w:rsidR="0075681B" w:rsidRDefault="0075681B" w:rsidP="00365D9A">
                  <w:pPr>
                    <w:jc w:val="center"/>
                  </w:pPr>
                  <w:r>
                    <w:rPr>
                      <w:rFonts w:hint="eastAsia"/>
                    </w:rPr>
                    <w:t>被投资机构</w:t>
                  </w:r>
                  <w:r>
                    <w:rPr>
                      <w:rFonts w:hint="eastAsia"/>
                    </w:rPr>
                    <w:t>B</w:t>
                  </w:r>
                  <w:r>
                    <w:rPr>
                      <w:rFonts w:hint="eastAsia"/>
                    </w:rPr>
                    <w:t>，香港，银行业，</w:t>
                  </w:r>
                  <w:r>
                    <w:rPr>
                      <w:rFonts w:hint="eastAsia"/>
                    </w:rPr>
                    <w:t>A</w:t>
                  </w:r>
                  <w:r>
                    <w:rPr>
                      <w:rFonts w:hint="eastAsia"/>
                    </w:rPr>
                    <w:t>持有</w:t>
                  </w:r>
                  <w:r>
                    <w:rPr>
                      <w:rFonts w:hint="eastAsia"/>
                    </w:rPr>
                    <w:t>60%</w:t>
                  </w:r>
                  <w:r>
                    <w:rPr>
                      <w:rFonts w:hint="eastAsia"/>
                    </w:rPr>
                    <w:t>表决权</w:t>
                  </w:r>
                </w:p>
              </w:txbxContent>
            </v:textbox>
          </v:shape>
        </w:pict>
      </w:r>
    </w:p>
    <w:p w:rsidR="00FD5B82" w:rsidRPr="009263D7" w:rsidRDefault="00FD5B82" w:rsidP="00FD5B82">
      <w:pPr>
        <w:spacing w:line="360" w:lineRule="auto"/>
        <w:ind w:firstLineChars="200" w:firstLine="480"/>
        <w:rPr>
          <w:rFonts w:ascii="仿宋_GB2312" w:eastAsia="仿宋_GB2312"/>
          <w:color w:val="000000" w:themeColor="text1"/>
          <w:sz w:val="24"/>
        </w:rPr>
      </w:pPr>
    </w:p>
    <w:p w:rsidR="00FD5B82" w:rsidRPr="009263D7" w:rsidRDefault="00CB4B9E" w:rsidP="00826512">
      <w:pPr>
        <w:spacing w:line="360" w:lineRule="auto"/>
        <w:ind w:firstLineChars="200" w:firstLine="480"/>
        <w:rPr>
          <w:rFonts w:ascii="仿宋_GB2312" w:eastAsia="仿宋_GB2312"/>
          <w:color w:val="000000" w:themeColor="text1"/>
          <w:sz w:val="24"/>
        </w:rPr>
      </w:pPr>
      <w:r>
        <w:rPr>
          <w:rFonts w:ascii="仿宋_GB2312" w:eastAsia="仿宋_GB2312"/>
          <w:noProof/>
          <w:color w:val="000000" w:themeColor="text1"/>
          <w:sz w:val="24"/>
        </w:rPr>
        <w:pict>
          <v:shape id="_x0000_s1502" type="#_x0000_t32" style="position:absolute;left:0;text-align:left;margin-left:357.65pt;margin-top:2.15pt;width:0;height:32.25pt;z-index:11" o:connectortype="straight">
            <v:stroke endarrow="block"/>
          </v:shape>
        </w:pict>
      </w:r>
      <w:r>
        <w:rPr>
          <w:rFonts w:ascii="仿宋_GB2312" w:eastAsia="仿宋_GB2312"/>
          <w:noProof/>
          <w:color w:val="000000" w:themeColor="text1"/>
          <w:sz w:val="24"/>
        </w:rPr>
        <w:pict>
          <v:shape id="_x0000_s1499" type="#_x0000_t32" style="position:absolute;left:0;text-align:left;margin-left:110.9pt;margin-top:2.15pt;width:0;height:32.25pt;z-index:10" o:connectortype="straight">
            <v:stroke endarrow="block"/>
          </v:shape>
        </w:pict>
      </w:r>
    </w:p>
    <w:p w:rsidR="00C830A9" w:rsidRPr="009263D7" w:rsidRDefault="00CB4B9E" w:rsidP="00826512">
      <w:pPr>
        <w:widowControl/>
        <w:tabs>
          <w:tab w:val="num" w:pos="720"/>
          <w:tab w:val="left" w:pos="1080"/>
        </w:tabs>
        <w:spacing w:line="360" w:lineRule="auto"/>
        <w:ind w:firstLineChars="200" w:firstLine="420"/>
        <w:rPr>
          <w:rFonts w:ascii="宋体" w:hAnsi="宋体"/>
          <w:color w:val="000000" w:themeColor="text1"/>
          <w:szCs w:val="21"/>
        </w:rPr>
      </w:pPr>
      <w:r w:rsidRPr="00CB4B9E">
        <w:rPr>
          <w:rFonts w:eastAsia="黑体"/>
          <w:noProof/>
          <w:color w:val="000000" w:themeColor="text1"/>
        </w:rPr>
        <w:pict>
          <v:shape id="_x0000_s1522" type="#_x0000_t202" style="position:absolute;left:0;text-align:left;margin-left:274.4pt;margin-top:11pt;width:159pt;height:39.75pt;z-index:27" filled="f" fillcolor="silver">
            <v:textbox style="mso-next-textbox:#_x0000_s1522">
              <w:txbxContent>
                <w:p w:rsidR="0075681B" w:rsidRDefault="0075681B" w:rsidP="000D0083">
                  <w:pPr>
                    <w:jc w:val="center"/>
                  </w:pPr>
                  <w:r>
                    <w:rPr>
                      <w:rFonts w:hint="eastAsia"/>
                    </w:rPr>
                    <w:t>被投资机构</w:t>
                  </w:r>
                  <w:r>
                    <w:rPr>
                      <w:rFonts w:hint="eastAsia"/>
                    </w:rPr>
                    <w:t>G</w:t>
                  </w:r>
                  <w:r>
                    <w:rPr>
                      <w:rFonts w:hint="eastAsia"/>
                    </w:rPr>
                    <w:t>，香港，其他金融业，</w:t>
                  </w:r>
                  <w:r>
                    <w:rPr>
                      <w:rFonts w:hint="eastAsia"/>
                    </w:rPr>
                    <w:t>F</w:t>
                  </w:r>
                  <w:r>
                    <w:rPr>
                      <w:rFonts w:hint="eastAsia"/>
                    </w:rPr>
                    <w:t>持有</w:t>
                  </w:r>
                  <w:r>
                    <w:rPr>
                      <w:rFonts w:hint="eastAsia"/>
                    </w:rPr>
                    <w:t>60%</w:t>
                  </w:r>
                  <w:r>
                    <w:rPr>
                      <w:rFonts w:hint="eastAsia"/>
                    </w:rPr>
                    <w:t>表决权</w:t>
                  </w:r>
                </w:p>
              </w:txbxContent>
            </v:textbox>
          </v:shape>
        </w:pict>
      </w:r>
      <w:r>
        <w:rPr>
          <w:rFonts w:ascii="宋体" w:hAnsi="宋体"/>
          <w:noProof/>
          <w:color w:val="000000" w:themeColor="text1"/>
          <w:szCs w:val="21"/>
        </w:rPr>
        <w:pict>
          <v:shape id="_x0000_s1565" type="#_x0000_t202" style="position:absolute;left:0;text-align:left;margin-left:43.45pt;margin-top:11pt;width:132.75pt;height:39.75pt;z-index:251658240" filled="f" fillcolor="silver">
            <v:textbox style="mso-next-textbox:#_x0000_s1565">
              <w:txbxContent>
                <w:p w:rsidR="0075681B" w:rsidRDefault="0075681B" w:rsidP="00C830A9">
                  <w:pPr>
                    <w:jc w:val="center"/>
                  </w:pPr>
                  <w:r>
                    <w:rPr>
                      <w:rFonts w:hint="eastAsia"/>
                    </w:rPr>
                    <w:t>被投资机构</w:t>
                  </w:r>
                  <w:r>
                    <w:rPr>
                      <w:rFonts w:hint="eastAsia"/>
                    </w:rPr>
                    <w:t>C</w:t>
                  </w:r>
                  <w:r>
                    <w:rPr>
                      <w:rFonts w:hint="eastAsia"/>
                    </w:rPr>
                    <w:t>，美国，保险业，</w:t>
                  </w:r>
                  <w:r>
                    <w:rPr>
                      <w:rFonts w:hint="eastAsia"/>
                    </w:rPr>
                    <w:t>B</w:t>
                  </w:r>
                  <w:r>
                    <w:rPr>
                      <w:rFonts w:hint="eastAsia"/>
                    </w:rPr>
                    <w:t>持有</w:t>
                  </w:r>
                  <w:r>
                    <w:rPr>
                      <w:rFonts w:hint="eastAsia"/>
                    </w:rPr>
                    <w:t>100%</w:t>
                  </w:r>
                  <w:r>
                    <w:rPr>
                      <w:rFonts w:hint="eastAsia"/>
                    </w:rPr>
                    <w:t>表决权</w:t>
                  </w:r>
                </w:p>
              </w:txbxContent>
            </v:textbox>
          </v:shape>
        </w:pict>
      </w:r>
    </w:p>
    <w:p w:rsidR="00C830A9" w:rsidRPr="009263D7" w:rsidRDefault="00C830A9" w:rsidP="00826512">
      <w:pPr>
        <w:widowControl/>
        <w:tabs>
          <w:tab w:val="num" w:pos="720"/>
          <w:tab w:val="left" w:pos="1080"/>
        </w:tabs>
        <w:spacing w:line="360" w:lineRule="auto"/>
        <w:ind w:firstLineChars="200" w:firstLine="420"/>
        <w:rPr>
          <w:rFonts w:ascii="宋体" w:hAnsi="宋体"/>
          <w:color w:val="000000" w:themeColor="text1"/>
          <w:szCs w:val="21"/>
        </w:rPr>
      </w:pPr>
    </w:p>
    <w:p w:rsidR="00C830A9" w:rsidRPr="009263D7" w:rsidRDefault="00CB4B9E" w:rsidP="00826512">
      <w:pPr>
        <w:widowControl/>
        <w:tabs>
          <w:tab w:val="num" w:pos="720"/>
          <w:tab w:val="left" w:pos="1080"/>
        </w:tabs>
        <w:spacing w:line="360" w:lineRule="auto"/>
        <w:ind w:firstLineChars="200" w:firstLine="420"/>
        <w:rPr>
          <w:rFonts w:ascii="宋体" w:hAnsi="宋体"/>
          <w:color w:val="000000" w:themeColor="text1"/>
          <w:szCs w:val="21"/>
        </w:rPr>
      </w:pPr>
      <w:r w:rsidRPr="00CB4B9E">
        <w:rPr>
          <w:rFonts w:eastAsia="黑体"/>
          <w:noProof/>
          <w:color w:val="000000" w:themeColor="text1"/>
        </w:rPr>
        <w:pict>
          <v:shape id="_x0000_s1530" type="#_x0000_t32" style="position:absolute;left:0;text-align:left;margin-left:370.5pt;margin-top:3.95pt;width:48.75pt;height:24pt;z-index:35" o:connectortype="straight">
            <v:stroke endarrow="block"/>
          </v:shape>
        </w:pict>
      </w:r>
      <w:r w:rsidRPr="00CB4B9E">
        <w:rPr>
          <w:rFonts w:eastAsia="黑体"/>
          <w:noProof/>
          <w:color w:val="000000" w:themeColor="text1"/>
        </w:rPr>
        <w:pict>
          <v:shape id="_x0000_s1529" type="#_x0000_t32" style="position:absolute;left:0;text-align:left;margin-left:303.65pt;margin-top:3.95pt;width:44.25pt;height:24pt;flip:x;z-index:34" o:connectortype="straight">
            <v:stroke endarrow="block"/>
          </v:shape>
        </w:pict>
      </w:r>
      <w:r w:rsidRPr="00CB4B9E">
        <w:rPr>
          <w:rFonts w:eastAsia="黑体"/>
          <w:noProof/>
          <w:color w:val="000000" w:themeColor="text1"/>
        </w:rPr>
        <w:pict>
          <v:shape id="_x0000_s1528" type="#_x0000_t32" style="position:absolute;left:0;text-align:left;margin-left:134.4pt;margin-top:3.95pt;width:15pt;height:24pt;z-index:33" o:connectortype="straight">
            <v:stroke endarrow="block"/>
          </v:shape>
        </w:pict>
      </w:r>
      <w:r w:rsidRPr="00CB4B9E">
        <w:rPr>
          <w:rFonts w:eastAsia="黑体"/>
          <w:noProof/>
          <w:color w:val="000000" w:themeColor="text1"/>
        </w:rPr>
        <w:pict>
          <v:shape id="_x0000_s1527" type="#_x0000_t32" style="position:absolute;left:0;text-align:left;margin-left:69.05pt;margin-top:3.95pt;width:22.5pt;height:24pt;flip:x;z-index:32" o:connectortype="straight">
            <v:stroke endarrow="block"/>
          </v:shape>
        </w:pict>
      </w:r>
    </w:p>
    <w:p w:rsidR="00C830A9" w:rsidRPr="009263D7" w:rsidRDefault="00CB4B9E" w:rsidP="00826512">
      <w:pPr>
        <w:widowControl/>
        <w:tabs>
          <w:tab w:val="num" w:pos="720"/>
          <w:tab w:val="left" w:pos="1080"/>
        </w:tabs>
        <w:spacing w:line="360" w:lineRule="auto"/>
        <w:ind w:firstLineChars="200" w:firstLine="420"/>
        <w:rPr>
          <w:rFonts w:ascii="宋体" w:hAnsi="宋体"/>
          <w:color w:val="000000" w:themeColor="text1"/>
          <w:szCs w:val="21"/>
        </w:rPr>
      </w:pPr>
      <w:r w:rsidRPr="00CB4B9E">
        <w:rPr>
          <w:rFonts w:eastAsia="黑体"/>
          <w:noProof/>
          <w:color w:val="000000" w:themeColor="text1"/>
        </w:rPr>
        <w:pict>
          <v:shape id="_x0000_s1526" type="#_x0000_t202" style="position:absolute;left:0;text-align:left;margin-left:380.15pt;margin-top:4.55pt;width:1in;height:83.25pt;z-index:31" filled="f" fillcolor="silver">
            <v:textbox style="mso-next-textbox:#_x0000_s1526">
              <w:txbxContent>
                <w:p w:rsidR="0075681B" w:rsidRDefault="0075681B" w:rsidP="000D0083">
                  <w:pPr>
                    <w:jc w:val="center"/>
                  </w:pPr>
                  <w:r>
                    <w:rPr>
                      <w:rFonts w:hint="eastAsia"/>
                    </w:rPr>
                    <w:t>被投资机构</w:t>
                  </w:r>
                  <w:r>
                    <w:rPr>
                      <w:rFonts w:hint="eastAsia"/>
                    </w:rPr>
                    <w:t>I</w:t>
                  </w:r>
                  <w:r>
                    <w:rPr>
                      <w:rFonts w:hint="eastAsia"/>
                    </w:rPr>
                    <w:t>，英国，银行业，</w:t>
                  </w:r>
                  <w:r>
                    <w:rPr>
                      <w:rFonts w:hint="eastAsia"/>
                    </w:rPr>
                    <w:t>G</w:t>
                  </w:r>
                  <w:r>
                    <w:rPr>
                      <w:rFonts w:hint="eastAsia"/>
                    </w:rPr>
                    <w:t>持有表决权</w:t>
                  </w:r>
                  <w:r>
                    <w:rPr>
                      <w:rFonts w:hint="eastAsia"/>
                    </w:rPr>
                    <w:t>10%</w:t>
                  </w:r>
                </w:p>
              </w:txbxContent>
            </v:textbox>
          </v:shape>
        </w:pict>
      </w:r>
      <w:r w:rsidRPr="00CB4B9E">
        <w:rPr>
          <w:rFonts w:eastAsia="黑体"/>
          <w:noProof/>
          <w:color w:val="000000" w:themeColor="text1"/>
        </w:rPr>
        <w:pict>
          <v:shape id="_x0000_s1525" type="#_x0000_t202" style="position:absolute;left:0;text-align:left;margin-left:268.4pt;margin-top:4.55pt;width:72.75pt;height:88.5pt;z-index:30" filled="f" fillcolor="silver">
            <v:textbox style="mso-next-textbox:#_x0000_s1525">
              <w:txbxContent>
                <w:p w:rsidR="0075681B" w:rsidRDefault="0075681B" w:rsidP="000D0083">
                  <w:pPr>
                    <w:jc w:val="center"/>
                  </w:pPr>
                  <w:r>
                    <w:rPr>
                      <w:rFonts w:hint="eastAsia"/>
                    </w:rPr>
                    <w:t>被投资机构</w:t>
                  </w:r>
                  <w:r>
                    <w:rPr>
                      <w:rFonts w:hint="eastAsia"/>
                    </w:rPr>
                    <w:t>H</w:t>
                  </w:r>
                  <w:r>
                    <w:rPr>
                      <w:rFonts w:hint="eastAsia"/>
                    </w:rPr>
                    <w:t>，澳大利亚，非金融业，</w:t>
                  </w:r>
                  <w:r>
                    <w:rPr>
                      <w:rFonts w:hint="eastAsia"/>
                    </w:rPr>
                    <w:t>G</w:t>
                  </w:r>
                  <w:r>
                    <w:rPr>
                      <w:rFonts w:hint="eastAsia"/>
                    </w:rPr>
                    <w:t>持有表决权</w:t>
                  </w:r>
                  <w:r>
                    <w:rPr>
                      <w:rFonts w:hint="eastAsia"/>
                    </w:rPr>
                    <w:t>20%</w:t>
                  </w:r>
                </w:p>
              </w:txbxContent>
            </v:textbox>
          </v:shape>
        </w:pict>
      </w:r>
      <w:r w:rsidRPr="00CB4B9E">
        <w:rPr>
          <w:rFonts w:eastAsia="黑体"/>
          <w:noProof/>
          <w:color w:val="000000" w:themeColor="text1"/>
        </w:rPr>
        <w:pict>
          <v:shape id="_x0000_s1524" type="#_x0000_t202" style="position:absolute;left:0;text-align:left;margin-left:124.4pt;margin-top:4.55pt;width:84.75pt;height:88.5pt;z-index:29" filled="f" fillcolor="silver">
            <v:textbox style="mso-next-textbox:#_x0000_s1524">
              <w:txbxContent>
                <w:p w:rsidR="0075681B" w:rsidRDefault="0075681B" w:rsidP="000D0083">
                  <w:pPr>
                    <w:jc w:val="center"/>
                  </w:pPr>
                  <w:r>
                    <w:rPr>
                      <w:rFonts w:hint="eastAsia"/>
                    </w:rPr>
                    <w:t>被投资机构</w:t>
                  </w:r>
                  <w:r>
                    <w:rPr>
                      <w:rFonts w:hint="eastAsia"/>
                    </w:rPr>
                    <w:t>E</w:t>
                  </w:r>
                  <w:r>
                    <w:rPr>
                      <w:rFonts w:hint="eastAsia"/>
                    </w:rPr>
                    <w:t>，澳大利亚，保险业，</w:t>
                  </w:r>
                  <w:r>
                    <w:rPr>
                      <w:rFonts w:hint="eastAsia"/>
                    </w:rPr>
                    <w:t>C</w:t>
                  </w:r>
                  <w:r>
                    <w:rPr>
                      <w:rFonts w:hint="eastAsia"/>
                    </w:rPr>
                    <w:t>持有</w:t>
                  </w:r>
                  <w:r>
                    <w:rPr>
                      <w:rFonts w:hint="eastAsia"/>
                    </w:rPr>
                    <w:t>10%</w:t>
                  </w:r>
                  <w:r>
                    <w:rPr>
                      <w:rFonts w:hint="eastAsia"/>
                    </w:rPr>
                    <w:t>表决权</w:t>
                  </w:r>
                </w:p>
              </w:txbxContent>
            </v:textbox>
          </v:shape>
        </w:pict>
      </w:r>
      <w:r w:rsidRPr="00CB4B9E">
        <w:rPr>
          <w:rFonts w:eastAsia="黑体"/>
          <w:noProof/>
          <w:color w:val="000000" w:themeColor="text1"/>
        </w:rPr>
        <w:pict>
          <v:shape id="_x0000_s1523" type="#_x0000_t202" style="position:absolute;left:0;text-align:left;margin-left:20.95pt;margin-top:4.55pt;width:85.5pt;height:88.5pt;z-index:28" filled="f" fillcolor="silver">
            <v:textbox style="mso-next-textbox:#_x0000_s1523">
              <w:txbxContent>
                <w:p w:rsidR="0075681B" w:rsidRDefault="0075681B" w:rsidP="00736EE4">
                  <w:pPr>
                    <w:jc w:val="center"/>
                  </w:pPr>
                  <w:r>
                    <w:rPr>
                      <w:rFonts w:hint="eastAsia"/>
                    </w:rPr>
                    <w:t>被投资机构</w:t>
                  </w:r>
                  <w:r>
                    <w:rPr>
                      <w:rFonts w:hint="eastAsia"/>
                    </w:rPr>
                    <w:t>D</w:t>
                  </w:r>
                  <w:r>
                    <w:rPr>
                      <w:rFonts w:hint="eastAsia"/>
                    </w:rPr>
                    <w:t>，加拿大，保险业，</w:t>
                  </w:r>
                  <w:r>
                    <w:rPr>
                      <w:rFonts w:hint="eastAsia"/>
                    </w:rPr>
                    <w:t>C</w:t>
                  </w:r>
                  <w:r>
                    <w:rPr>
                      <w:rFonts w:hint="eastAsia"/>
                    </w:rPr>
                    <w:t>持有</w:t>
                  </w:r>
                  <w:r>
                    <w:rPr>
                      <w:rFonts w:hint="eastAsia"/>
                    </w:rPr>
                    <w:t>20%</w:t>
                  </w:r>
                  <w:r>
                    <w:rPr>
                      <w:rFonts w:hint="eastAsia"/>
                    </w:rPr>
                    <w:t>表决权</w:t>
                  </w:r>
                </w:p>
              </w:txbxContent>
            </v:textbox>
          </v:shape>
        </w:pict>
      </w:r>
    </w:p>
    <w:p w:rsidR="00C830A9" w:rsidRPr="009263D7" w:rsidRDefault="00C830A9" w:rsidP="00826512">
      <w:pPr>
        <w:widowControl/>
        <w:tabs>
          <w:tab w:val="num" w:pos="720"/>
          <w:tab w:val="left" w:pos="1080"/>
        </w:tabs>
        <w:spacing w:line="360" w:lineRule="auto"/>
        <w:ind w:firstLineChars="200" w:firstLine="420"/>
        <w:rPr>
          <w:rFonts w:ascii="宋体" w:hAnsi="宋体"/>
          <w:color w:val="000000" w:themeColor="text1"/>
          <w:szCs w:val="21"/>
        </w:rPr>
      </w:pPr>
    </w:p>
    <w:p w:rsidR="00C830A9" w:rsidRPr="009263D7" w:rsidRDefault="00C830A9" w:rsidP="00826512">
      <w:pPr>
        <w:widowControl/>
        <w:tabs>
          <w:tab w:val="num" w:pos="720"/>
          <w:tab w:val="left" w:pos="1080"/>
        </w:tabs>
        <w:spacing w:line="360" w:lineRule="auto"/>
        <w:ind w:firstLineChars="200" w:firstLine="420"/>
        <w:rPr>
          <w:rFonts w:ascii="宋体" w:hAnsi="宋体"/>
          <w:color w:val="000000" w:themeColor="text1"/>
          <w:szCs w:val="21"/>
        </w:rPr>
      </w:pPr>
    </w:p>
    <w:p w:rsidR="00797FC1" w:rsidRPr="009263D7" w:rsidRDefault="00CB4B9E" w:rsidP="008C55F5">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（二）直接投资（10%及以上股权）</w:t>
      </w:r>
    </w:p>
    <w:p w:rsidR="00942889" w:rsidRPr="009263D7" w:rsidRDefault="00CB4B9E" w:rsidP="00942889">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1.</w:t>
      </w:r>
      <w:r w:rsidRPr="00CB4B9E">
        <w:rPr>
          <w:rFonts w:ascii="黑体" w:eastAsia="黑体" w:hAnsi="宋体" w:hint="eastAsia"/>
          <w:color w:val="000000" w:themeColor="text1"/>
          <w:szCs w:val="21"/>
        </w:rPr>
        <w:t>统计内容：</w:t>
      </w:r>
    </w:p>
    <w:p w:rsidR="00A95470" w:rsidRPr="009263D7" w:rsidRDefault="00CB4B9E" w:rsidP="00942889">
      <w:pPr>
        <w:spacing w:line="360" w:lineRule="auto"/>
        <w:ind w:firstLineChars="200" w:firstLine="420"/>
        <w:jc w:val="left"/>
        <w:rPr>
          <w:rFonts w:ascii="宋体" w:hAnsi="宋体"/>
          <w:color w:val="000000" w:themeColor="text1"/>
          <w:szCs w:val="21"/>
        </w:rPr>
      </w:pPr>
      <w:r w:rsidRPr="00CB4B9E">
        <w:rPr>
          <w:rFonts w:ascii="宋体" w:hAnsi="宋体" w:hint="eastAsia"/>
          <w:color w:val="000000" w:themeColor="text1"/>
          <w:szCs w:val="21"/>
        </w:rPr>
        <w:t>在本统计期初或期末，跨境直接持有或通过</w:t>
      </w:r>
      <w:r w:rsidRPr="00CB4B9E">
        <w:rPr>
          <w:rFonts w:ascii="宋体" w:hAnsi="宋体"/>
          <w:color w:val="000000" w:themeColor="text1"/>
          <w:szCs w:val="21"/>
        </w:rPr>
        <w:t>SPV或壳机构持有</w:t>
      </w:r>
      <w:r w:rsidRPr="00CB4B9E">
        <w:rPr>
          <w:rFonts w:ascii="宋体" w:hAnsi="宋体" w:hint="eastAsia"/>
          <w:color w:val="000000" w:themeColor="text1"/>
          <w:szCs w:val="21"/>
        </w:rPr>
        <w:t>一机构表决权≥</w:t>
      </w:r>
      <w:r w:rsidRPr="00CB4B9E">
        <w:rPr>
          <w:rFonts w:ascii="宋体" w:hAnsi="宋体"/>
          <w:color w:val="000000" w:themeColor="text1"/>
          <w:szCs w:val="21"/>
        </w:rPr>
        <w:t>10%</w:t>
      </w:r>
      <w:r w:rsidRPr="00CB4B9E">
        <w:rPr>
          <w:rFonts w:ascii="宋体" w:hAnsi="宋体" w:hint="eastAsia"/>
          <w:color w:val="000000" w:themeColor="text1"/>
          <w:szCs w:val="21"/>
        </w:rPr>
        <w:t>的，包括跨境拨付给另一经济体分支机构的营运资金和在另一经济体的子机构、联营机构和合营机构的股份（不包括非参与性优先股，这部分优先股被视为债券）。与上述机构的债务性投资往来纳入</w:t>
      </w:r>
      <w:r w:rsidRPr="00CB4B9E">
        <w:rPr>
          <w:rFonts w:ascii="宋体" w:hAnsi="宋体"/>
          <w:color w:val="000000" w:themeColor="text1"/>
          <w:szCs w:val="21"/>
        </w:rPr>
        <w:t>B表（证券投资的债务证券部分）或D表（存贷款以及应收应付款等）统计。</w:t>
      </w:r>
    </w:p>
    <w:p w:rsidR="008C55F5" w:rsidRPr="009263D7" w:rsidRDefault="00CB4B9E" w:rsidP="007305A1">
      <w:pPr>
        <w:spacing w:line="360" w:lineRule="auto"/>
        <w:ind w:rightChars="154" w:right="323" w:firstLineChars="200" w:firstLine="420"/>
        <w:rPr>
          <w:rFonts w:ascii="黑体" w:eastAsia="黑体"/>
          <w:color w:val="000000" w:themeColor="text1"/>
          <w:sz w:val="24"/>
        </w:rPr>
      </w:pPr>
      <w:r w:rsidRPr="00CB4B9E">
        <w:rPr>
          <w:rFonts w:ascii="黑体" w:eastAsia="黑体"/>
          <w:color w:val="000000" w:themeColor="text1"/>
          <w:szCs w:val="21"/>
        </w:rPr>
        <w:t>2.</w:t>
      </w:r>
      <w:r w:rsidRPr="00CB4B9E">
        <w:rPr>
          <w:rFonts w:ascii="黑体" w:eastAsia="黑体" w:hAnsi="宋体"/>
          <w:color w:val="000000" w:themeColor="text1"/>
          <w:szCs w:val="21"/>
        </w:rPr>
        <w:t xml:space="preserve"> 相关填报说明：</w:t>
      </w:r>
    </w:p>
    <w:p w:rsidR="00797FC1" w:rsidRPr="009263D7" w:rsidRDefault="00CB4B9E" w:rsidP="001563E3">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A01表：对外直接投资（分为A01-1、A01-2表）</w:t>
      </w:r>
    </w:p>
    <w:tbl>
      <w:tblPr>
        <w:tblW w:w="9440" w:type="dxa"/>
        <w:tblInd w:w="97" w:type="dxa"/>
        <w:tblLook w:val="04A0"/>
      </w:tblPr>
      <w:tblGrid>
        <w:gridCol w:w="4840"/>
        <w:gridCol w:w="4600"/>
      </w:tblGrid>
      <w:tr w:rsidR="00797FC1" w:rsidRPr="009263D7" w:rsidTr="008F6BA8">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797FC1" w:rsidRPr="009263D7" w:rsidRDefault="00CB4B9E" w:rsidP="00B5693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797FC1" w:rsidRPr="009263D7" w:rsidRDefault="00CB4B9E" w:rsidP="00B5693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A11D10" w:rsidRPr="009263D7" w:rsidTr="008F6BA8">
        <w:trPr>
          <w:trHeight w:val="642"/>
        </w:trPr>
        <w:tc>
          <w:tcPr>
            <w:tcW w:w="4840" w:type="dxa"/>
            <w:tcBorders>
              <w:top w:val="single" w:sz="4" w:space="0" w:color="auto"/>
              <w:left w:val="nil"/>
              <w:bottom w:val="single" w:sz="2" w:space="0" w:color="auto"/>
              <w:right w:val="single" w:sz="4" w:space="0" w:color="auto"/>
            </w:tcBorders>
            <w:shd w:val="clear" w:color="auto" w:fill="auto"/>
            <w:vAlign w:val="center"/>
          </w:tcPr>
          <w:p w:rsidR="00A11D10" w:rsidRPr="009263D7" w:rsidDel="00A058EE" w:rsidRDefault="00CB4B9E" w:rsidP="004149E8">
            <w:pPr>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本统计期初或期末，本机构持有非居民机构的普通股、有表决权的股份，且表决权</w:t>
            </w:r>
            <w:r w:rsidRPr="00CB4B9E">
              <w:rPr>
                <w:rFonts w:ascii="宋体" w:hAnsi="宋体" w:hint="eastAsia"/>
                <w:color w:val="000000" w:themeColor="text1"/>
                <w:szCs w:val="21"/>
              </w:rPr>
              <w:t>≥</w:t>
            </w:r>
            <w:r w:rsidRPr="00CB4B9E">
              <w:rPr>
                <w:rFonts w:ascii="宋体" w:hAnsi="宋体"/>
                <w:color w:val="000000" w:themeColor="text1"/>
                <w:szCs w:val="21"/>
              </w:rPr>
              <w:t>10%</w:t>
            </w:r>
            <w:r w:rsidRPr="00CB4B9E">
              <w:rPr>
                <w:rFonts w:ascii="宋体" w:hAnsi="宋体" w:cs="宋体" w:hint="eastAsia"/>
                <w:color w:val="000000" w:themeColor="text1"/>
                <w:kern w:val="0"/>
                <w:sz w:val="18"/>
                <w:szCs w:val="18"/>
              </w:rPr>
              <w:t>，包括代理其他境内机构持有的部分。</w:t>
            </w:r>
          </w:p>
        </w:tc>
        <w:tc>
          <w:tcPr>
            <w:tcW w:w="4600" w:type="dxa"/>
            <w:tcBorders>
              <w:top w:val="single" w:sz="4" w:space="0" w:color="auto"/>
              <w:left w:val="nil"/>
              <w:bottom w:val="single" w:sz="2" w:space="0" w:color="auto"/>
              <w:right w:val="nil"/>
            </w:tcBorders>
            <w:shd w:val="clear" w:color="auto" w:fill="auto"/>
            <w:vAlign w:val="center"/>
          </w:tcPr>
          <w:p w:rsidR="00A11D10" w:rsidRPr="009263D7" w:rsidDel="00A058EE" w:rsidRDefault="00A11D10" w:rsidP="00F12138">
            <w:pPr>
              <w:jc w:val="left"/>
              <w:rPr>
                <w:rFonts w:ascii="宋体" w:hAnsi="宋体" w:cs="宋体"/>
                <w:color w:val="000000" w:themeColor="text1"/>
                <w:kern w:val="0"/>
                <w:sz w:val="18"/>
                <w:szCs w:val="18"/>
              </w:rPr>
            </w:pPr>
          </w:p>
        </w:tc>
      </w:tr>
      <w:tr w:rsidR="004149E8" w:rsidRPr="009263D7" w:rsidTr="008F6BA8">
        <w:trPr>
          <w:trHeight w:val="285"/>
        </w:trPr>
        <w:tc>
          <w:tcPr>
            <w:tcW w:w="4840" w:type="dxa"/>
            <w:tcBorders>
              <w:top w:val="single" w:sz="2" w:space="0" w:color="auto"/>
              <w:left w:val="nil"/>
              <w:bottom w:val="single" w:sz="2" w:space="0" w:color="auto"/>
              <w:right w:val="single" w:sz="4" w:space="0" w:color="auto"/>
            </w:tcBorders>
            <w:shd w:val="clear" w:color="auto" w:fill="auto"/>
            <w:vAlign w:val="center"/>
          </w:tcPr>
          <w:p w:rsidR="004149E8" w:rsidRPr="009263D7" w:rsidRDefault="00CB4B9E" w:rsidP="00C541BF">
            <w:pPr>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2. </w:t>
            </w:r>
            <w:r w:rsidRPr="00CB4B9E">
              <w:rPr>
                <w:rFonts w:ascii="宋体" w:hAnsi="宋体" w:cs="宋体" w:hint="eastAsia"/>
                <w:color w:val="000000" w:themeColor="text1"/>
                <w:kern w:val="0"/>
                <w:sz w:val="18"/>
                <w:szCs w:val="18"/>
              </w:rPr>
              <w:t>本统计期初或期末，本机构持有境外发行的基金，且持有份额</w:t>
            </w:r>
            <w:r w:rsidRPr="00CB4B9E">
              <w:rPr>
                <w:rFonts w:ascii="宋体" w:hAnsi="宋体" w:cs="宋体"/>
                <w:color w:val="000000" w:themeColor="text1"/>
                <w:kern w:val="0"/>
                <w:sz w:val="18"/>
                <w:szCs w:val="18"/>
              </w:rPr>
              <w:t>/单位的比例达到或高于10%，包括代理其他境内机构持有的部分。</w:t>
            </w:r>
          </w:p>
        </w:tc>
        <w:tc>
          <w:tcPr>
            <w:tcW w:w="4600" w:type="dxa"/>
            <w:tcBorders>
              <w:top w:val="single" w:sz="2" w:space="0" w:color="auto"/>
              <w:left w:val="nil"/>
              <w:bottom w:val="single" w:sz="2" w:space="0" w:color="auto"/>
              <w:right w:val="nil"/>
            </w:tcBorders>
            <w:shd w:val="clear" w:color="auto" w:fill="auto"/>
            <w:vAlign w:val="center"/>
          </w:tcPr>
          <w:p w:rsidR="004149E8" w:rsidRPr="009263D7" w:rsidRDefault="004149E8" w:rsidP="00C340FB">
            <w:pPr>
              <w:jc w:val="left"/>
              <w:rPr>
                <w:rFonts w:ascii="宋体" w:hAnsi="宋体" w:cs="宋体"/>
                <w:color w:val="000000" w:themeColor="text1"/>
                <w:kern w:val="0"/>
                <w:sz w:val="18"/>
                <w:szCs w:val="18"/>
              </w:rPr>
            </w:pPr>
          </w:p>
        </w:tc>
      </w:tr>
      <w:tr w:rsidR="004149E8" w:rsidRPr="009263D7" w:rsidTr="008F6BA8">
        <w:trPr>
          <w:trHeight w:val="285"/>
        </w:trPr>
        <w:tc>
          <w:tcPr>
            <w:tcW w:w="4840" w:type="dxa"/>
            <w:tcBorders>
              <w:top w:val="single" w:sz="2" w:space="0" w:color="auto"/>
              <w:left w:val="nil"/>
              <w:bottom w:val="single" w:sz="8" w:space="0" w:color="auto"/>
              <w:right w:val="single" w:sz="4" w:space="0" w:color="auto"/>
            </w:tcBorders>
            <w:shd w:val="clear" w:color="auto" w:fill="auto"/>
            <w:vAlign w:val="center"/>
          </w:tcPr>
          <w:p w:rsidR="004149E8" w:rsidRPr="009263D7" w:rsidRDefault="00CB4B9E" w:rsidP="00C541BF">
            <w:pPr>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3.被投资非居民机构应为有实际经营的机构，而非</w:t>
            </w:r>
            <w:r w:rsidRPr="00CB4B9E">
              <w:rPr>
                <w:rFonts w:ascii="宋体" w:hAnsi="宋体" w:cs="宋体" w:hint="eastAsia"/>
                <w:color w:val="000000" w:themeColor="text1"/>
                <w:kern w:val="0"/>
                <w:sz w:val="18"/>
                <w:szCs w:val="18"/>
              </w:rPr>
              <w:t>境外特殊目的实体（</w:t>
            </w:r>
            <w:r w:rsidRPr="00CB4B9E">
              <w:rPr>
                <w:rFonts w:ascii="宋体" w:hAnsi="宋体" w:cs="宋体"/>
                <w:color w:val="000000" w:themeColor="text1"/>
                <w:kern w:val="0"/>
                <w:sz w:val="18"/>
                <w:szCs w:val="18"/>
              </w:rPr>
              <w:t>SPV）和壳机构。</w:t>
            </w:r>
          </w:p>
        </w:tc>
        <w:tc>
          <w:tcPr>
            <w:tcW w:w="4600" w:type="dxa"/>
            <w:tcBorders>
              <w:top w:val="single" w:sz="2" w:space="0" w:color="auto"/>
              <w:left w:val="nil"/>
              <w:bottom w:val="single" w:sz="8" w:space="0" w:color="auto"/>
              <w:right w:val="nil"/>
            </w:tcBorders>
            <w:shd w:val="clear" w:color="auto" w:fill="auto"/>
            <w:vAlign w:val="center"/>
          </w:tcPr>
          <w:p w:rsidR="004149E8" w:rsidRPr="009263D7" w:rsidRDefault="004149E8" w:rsidP="00C340FB">
            <w:pPr>
              <w:jc w:val="left"/>
              <w:rPr>
                <w:rFonts w:ascii="宋体" w:hAnsi="宋体" w:cs="宋体"/>
                <w:color w:val="000000" w:themeColor="text1"/>
                <w:kern w:val="0"/>
                <w:sz w:val="18"/>
                <w:szCs w:val="18"/>
              </w:rPr>
            </w:pPr>
          </w:p>
        </w:tc>
      </w:tr>
    </w:tbl>
    <w:p w:rsidR="00797FC1" w:rsidRPr="009263D7" w:rsidRDefault="00CB4B9E" w:rsidP="00797FC1">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A0101.境外</w:t>
      </w:r>
      <w:r w:rsidRPr="00CB4B9E">
        <w:rPr>
          <w:rFonts w:ascii="黑体" w:eastAsia="黑体" w:hAnsi="宋体" w:hint="eastAsia"/>
          <w:color w:val="000000" w:themeColor="text1"/>
          <w:szCs w:val="21"/>
        </w:rPr>
        <w:t>被投资机构代码：</w:t>
      </w:r>
      <w:r w:rsidRPr="00CB4B9E">
        <w:rPr>
          <w:rFonts w:ascii="宋体" w:hAnsi="宋体" w:hint="eastAsia"/>
          <w:color w:val="000000" w:themeColor="text1"/>
          <w:szCs w:val="21"/>
        </w:rPr>
        <w:t>指可以唯一标识对外直接投资资金最终投向的境外被投资机构的代码，包括“</w:t>
      </w:r>
      <w:r w:rsidRPr="00CB4B9E">
        <w:rPr>
          <w:rFonts w:ascii="宋体" w:hAnsi="宋体"/>
          <w:color w:val="000000" w:themeColor="text1"/>
          <w:szCs w:val="21"/>
        </w:rPr>
        <w:t xml:space="preserve">SWIFT编码/股票证券代码/其他机构标识码” </w:t>
      </w:r>
      <w:r w:rsidRPr="00CB4B9E">
        <w:rPr>
          <w:rFonts w:ascii="宋体" w:hAnsi="宋体" w:hint="eastAsia"/>
          <w:color w:val="000000" w:themeColor="text1"/>
          <w:szCs w:val="21"/>
        </w:rPr>
        <w:t>等。如果为境外上市企业，代码前需注明交易所编码，如纽交所代码为</w:t>
      </w:r>
      <w:r w:rsidRPr="00CB4B9E">
        <w:rPr>
          <w:rFonts w:ascii="宋体" w:hAnsi="宋体"/>
          <w:color w:val="000000" w:themeColor="text1"/>
          <w:szCs w:val="21"/>
        </w:rPr>
        <w:t>NYSE；多个地区上市可以只填报主要上市地的代码；如只能填报其他机构标识码，需填报境内投资主体的</w:t>
      </w:r>
      <w:r w:rsidRPr="00CB4B9E">
        <w:rPr>
          <w:rFonts w:ascii="宋体" w:hAnsi="宋体" w:hint="eastAsia"/>
          <w:color w:val="000000" w:themeColor="text1"/>
          <w:szCs w:val="21"/>
        </w:rPr>
        <w:t>组织机构代码或统一社会信用代码，再加上公司或集团内部编码等。所谓境外被投资机构，包括：（</w:t>
      </w:r>
      <w:r w:rsidRPr="00CB4B9E">
        <w:rPr>
          <w:rFonts w:ascii="宋体" w:hAnsi="宋体"/>
          <w:color w:val="000000" w:themeColor="text1"/>
          <w:szCs w:val="21"/>
        </w:rPr>
        <w:t>1）</w:t>
      </w:r>
      <w:r w:rsidRPr="00CB4B9E">
        <w:rPr>
          <w:rFonts w:ascii="宋体" w:hAnsi="宋体" w:hint="eastAsia"/>
          <w:color w:val="000000" w:themeColor="text1"/>
          <w:szCs w:val="21"/>
        </w:rPr>
        <w:t>本机构在境外设立或投资的分支机构、子机构、联营或合营机构，包括对上述机构的新设、追加或撤回股本或营运资金投资，但本机构在境外设立代表处不纳入本表统计；（</w:t>
      </w:r>
      <w:r w:rsidRPr="00CB4B9E">
        <w:rPr>
          <w:rFonts w:ascii="宋体" w:hAnsi="宋体"/>
          <w:color w:val="000000" w:themeColor="text1"/>
          <w:szCs w:val="21"/>
        </w:rPr>
        <w:t>2）</w:t>
      </w:r>
      <w:r w:rsidRPr="00CB4B9E">
        <w:rPr>
          <w:rFonts w:ascii="宋体" w:hAnsi="宋体" w:hint="eastAsia"/>
          <w:color w:val="000000" w:themeColor="text1"/>
          <w:szCs w:val="21"/>
        </w:rPr>
        <w:t>本机构在境外证券市场买卖（含一级市场和二级市场）或场外协议买卖某家境外机构的股权，且在本统计期初或期末，持有该境外机构表决权比例≥</w:t>
      </w:r>
      <w:r w:rsidRPr="00CB4B9E">
        <w:rPr>
          <w:rFonts w:ascii="宋体" w:hAnsi="宋体"/>
          <w:color w:val="000000" w:themeColor="text1"/>
          <w:szCs w:val="21"/>
        </w:rPr>
        <w:t>10%的</w:t>
      </w:r>
      <w:r w:rsidRPr="00CB4B9E">
        <w:rPr>
          <w:rFonts w:ascii="宋体" w:hAnsi="宋体" w:hint="eastAsia"/>
          <w:color w:val="000000" w:themeColor="text1"/>
          <w:szCs w:val="21"/>
        </w:rPr>
        <w:t>；（</w:t>
      </w:r>
      <w:r w:rsidRPr="00CB4B9E">
        <w:rPr>
          <w:rFonts w:ascii="宋体" w:hAnsi="宋体"/>
          <w:color w:val="000000" w:themeColor="text1"/>
          <w:szCs w:val="21"/>
        </w:rPr>
        <w:t>3）本机构买卖境外发行的基金，且在本统计期初或期末，持有该境外基金份额或单位≥10%的。</w:t>
      </w:r>
    </w:p>
    <w:p w:rsidR="00797FC1" w:rsidRPr="009263D7" w:rsidRDefault="00CB4B9E" w:rsidP="00797FC1">
      <w:pPr>
        <w:spacing w:line="360" w:lineRule="auto"/>
        <w:ind w:firstLineChars="200" w:firstLine="420"/>
        <w:jc w:val="left"/>
        <w:rPr>
          <w:rFonts w:ascii="宋体" w:hAnsi="宋体"/>
          <w:color w:val="000000" w:themeColor="text1"/>
          <w:szCs w:val="21"/>
        </w:rPr>
      </w:pPr>
      <w:r w:rsidRPr="00CB4B9E">
        <w:rPr>
          <w:rFonts w:ascii="黑体" w:eastAsia="黑体"/>
          <w:color w:val="000000" w:themeColor="text1"/>
        </w:rPr>
        <w:t>A0102.</w:t>
      </w:r>
      <w:r w:rsidRPr="00CB4B9E">
        <w:rPr>
          <w:rFonts w:ascii="黑体" w:eastAsia="黑体" w:hAnsi="宋体"/>
          <w:color w:val="000000" w:themeColor="text1"/>
          <w:szCs w:val="21"/>
        </w:rPr>
        <w:t xml:space="preserve"> </w:t>
      </w:r>
      <w:r w:rsidRPr="00CB4B9E">
        <w:rPr>
          <w:rFonts w:ascii="黑体" w:eastAsia="黑体" w:hAnsi="宋体" w:hint="eastAsia"/>
          <w:color w:val="000000" w:themeColor="text1"/>
          <w:szCs w:val="21"/>
        </w:rPr>
        <w:t>境外被投资机构全称：</w:t>
      </w:r>
      <w:r w:rsidRPr="00CB4B9E">
        <w:rPr>
          <w:rFonts w:ascii="宋体" w:hAnsi="宋体" w:hint="eastAsia"/>
          <w:color w:val="000000" w:themeColor="text1"/>
        </w:rPr>
        <w:t>指上述</w:t>
      </w:r>
      <w:r w:rsidRPr="00CB4B9E">
        <w:rPr>
          <w:rFonts w:ascii="宋体" w:hAnsi="宋体" w:hint="eastAsia"/>
          <w:color w:val="000000" w:themeColor="text1"/>
          <w:szCs w:val="21"/>
        </w:rPr>
        <w:t>境外被投资机构的中文名称或当地注册的英文名称，如为其他语言名称，可不填写外文名称，但必须填写中文名称。</w:t>
      </w:r>
    </w:p>
    <w:p w:rsidR="000C221E" w:rsidRPr="009263D7"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A0103.</w:t>
      </w:r>
      <w:r w:rsidRPr="00CB4B9E">
        <w:rPr>
          <w:rFonts w:ascii="黑体" w:eastAsia="黑体" w:hAnsi="宋体"/>
          <w:color w:val="000000" w:themeColor="text1"/>
          <w:szCs w:val="21"/>
        </w:rPr>
        <w:t xml:space="preserve"> </w:t>
      </w:r>
      <w:r w:rsidRPr="00CB4B9E">
        <w:rPr>
          <w:rFonts w:ascii="黑体" w:eastAsia="黑体" w:hAnsi="宋体" w:hint="eastAsia"/>
          <w:color w:val="000000" w:themeColor="text1"/>
        </w:rPr>
        <w:t>境外被投资机构所属国家</w:t>
      </w:r>
      <w:r w:rsidRPr="00CB4B9E">
        <w:rPr>
          <w:rFonts w:ascii="黑体" w:eastAsia="黑体" w:hAnsi="宋体"/>
          <w:color w:val="000000" w:themeColor="text1"/>
        </w:rPr>
        <w:t>/地区</w:t>
      </w:r>
      <w:r w:rsidRPr="00CB4B9E">
        <w:rPr>
          <w:rFonts w:ascii="黑体" w:eastAsia="黑体" w:hAnsi="宋体" w:hint="eastAsia"/>
          <w:color w:val="000000" w:themeColor="text1"/>
        </w:rPr>
        <w:t>：</w:t>
      </w:r>
      <w:r w:rsidRPr="00CB4B9E">
        <w:rPr>
          <w:rFonts w:ascii="宋体" w:hAnsi="宋体" w:hint="eastAsia"/>
          <w:color w:val="000000" w:themeColor="text1"/>
        </w:rPr>
        <w:t>指上述境外被投资机构注册登记的国家或地区。</w:t>
      </w:r>
    </w:p>
    <w:p w:rsidR="00131CC2"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A0104.</w:t>
      </w:r>
      <w:r w:rsidRPr="00CB4B9E">
        <w:rPr>
          <w:rFonts w:ascii="黑体" w:eastAsia="黑体" w:hAnsi="宋体" w:hint="eastAsia"/>
          <w:color w:val="000000" w:themeColor="text1"/>
        </w:rPr>
        <w:t>境外被投资机构所属行业：</w:t>
      </w:r>
      <w:r w:rsidRPr="00CB4B9E">
        <w:rPr>
          <w:rFonts w:ascii="宋体" w:hAnsi="宋体" w:hint="eastAsia"/>
          <w:color w:val="000000" w:themeColor="text1"/>
        </w:rPr>
        <w:t>根据主营业务，归类为：</w:t>
      </w:r>
      <w:r w:rsidRPr="00CB4B9E">
        <w:rPr>
          <w:rFonts w:ascii="宋体" w:hAnsi="宋体" w:hint="eastAsia"/>
          <w:color w:val="000000" w:themeColor="text1"/>
          <w:szCs w:val="21"/>
        </w:rPr>
        <w:t>①银行；②证券公司（含证券公司、公募或私募基金、期货公司等以资本市场活动为主营业务的机构）；③保险公司；④财务公司；⑤其他类金融机构；⑥非金融类机构。</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lastRenderedPageBreak/>
        <w:t xml:space="preserve">A0105. </w:t>
      </w:r>
      <w:r w:rsidRPr="00CB4B9E">
        <w:rPr>
          <w:rFonts w:ascii="黑体" w:eastAsia="黑体" w:hAnsi="宋体" w:hint="eastAsia"/>
          <w:color w:val="000000" w:themeColor="text1"/>
          <w:szCs w:val="21"/>
        </w:rPr>
        <w:t>境外被投资机构与本机构的关系：</w:t>
      </w:r>
      <w:r w:rsidRPr="00CB4B9E">
        <w:rPr>
          <w:rFonts w:ascii="宋体" w:hAnsi="宋体" w:hint="eastAsia"/>
          <w:color w:val="000000" w:themeColor="text1"/>
          <w:szCs w:val="21"/>
        </w:rPr>
        <w:t>指上述境外被投资机构是本机构的：①境外分支机构（非法人机构）；②境外子机构（法人机构）（本机构持有表决权</w:t>
      </w:r>
      <w:r w:rsidRPr="00CB4B9E">
        <w:rPr>
          <w:rFonts w:ascii="宋体" w:hAnsi="宋体" w:hint="eastAsia"/>
          <w:color w:val="000000" w:themeColor="text1"/>
        </w:rPr>
        <w:t>＞</w:t>
      </w:r>
      <w:r w:rsidRPr="00CB4B9E">
        <w:rPr>
          <w:rFonts w:ascii="宋体" w:hAnsi="宋体"/>
          <w:color w:val="000000" w:themeColor="text1"/>
        </w:rPr>
        <w:t>50%</w:t>
      </w:r>
      <w:r w:rsidRPr="00CB4B9E">
        <w:rPr>
          <w:rFonts w:ascii="宋体" w:hAnsi="宋体" w:hint="eastAsia"/>
          <w:color w:val="000000" w:themeColor="text1"/>
        </w:rPr>
        <w:t>）</w:t>
      </w:r>
      <w:r w:rsidRPr="00CB4B9E">
        <w:rPr>
          <w:rFonts w:ascii="宋体" w:hAnsi="宋体" w:hint="eastAsia"/>
          <w:color w:val="000000" w:themeColor="text1"/>
          <w:szCs w:val="21"/>
        </w:rPr>
        <w:t>；③境外联营或合营机构（法人）（本机构持有表决权</w:t>
      </w:r>
      <w:r w:rsidRPr="00CB4B9E">
        <w:rPr>
          <w:rFonts w:ascii="宋体" w:hAnsi="宋体" w:hint="eastAsia"/>
          <w:color w:val="000000" w:themeColor="text1"/>
        </w:rPr>
        <w:t>≥</w:t>
      </w:r>
      <w:r w:rsidRPr="00CB4B9E">
        <w:rPr>
          <w:rFonts w:ascii="宋体" w:hAnsi="宋体"/>
          <w:color w:val="000000" w:themeColor="text1"/>
        </w:rPr>
        <w:t>10%，但</w:t>
      </w:r>
      <w:r w:rsidRPr="00CB4B9E">
        <w:rPr>
          <w:rFonts w:ascii="宋体" w:hAnsi="宋体" w:hint="eastAsia"/>
          <w:color w:val="000000" w:themeColor="text1"/>
          <w:szCs w:val="21"/>
        </w:rPr>
        <w:t>≤</w:t>
      </w:r>
      <w:r w:rsidRPr="00CB4B9E">
        <w:rPr>
          <w:rFonts w:ascii="宋体" w:hAnsi="宋体"/>
          <w:color w:val="000000" w:themeColor="text1"/>
          <w:szCs w:val="21"/>
        </w:rPr>
        <w:t>50%</w:t>
      </w:r>
      <w:r w:rsidRPr="00CB4B9E">
        <w:rPr>
          <w:rFonts w:ascii="宋体" w:hAnsi="宋体" w:hint="eastAsia"/>
          <w:color w:val="000000" w:themeColor="text1"/>
          <w:szCs w:val="21"/>
        </w:rPr>
        <w:t>）。</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A0106.</w:t>
      </w:r>
      <w:r w:rsidRPr="00CB4B9E">
        <w:rPr>
          <w:color w:val="000000" w:themeColor="text1"/>
        </w:rPr>
        <w:t xml:space="preserve"> </w:t>
      </w:r>
      <w:r w:rsidRPr="00CB4B9E">
        <w:rPr>
          <w:rFonts w:ascii="黑体" w:eastAsia="黑体" w:hAnsi="宋体" w:hint="eastAsia"/>
          <w:color w:val="000000" w:themeColor="text1"/>
        </w:rPr>
        <w:t>最终控制方全称：</w:t>
      </w:r>
      <w:r w:rsidRPr="00CB4B9E">
        <w:rPr>
          <w:rFonts w:ascii="宋体" w:hAnsi="宋体" w:hint="eastAsia"/>
          <w:color w:val="000000" w:themeColor="text1"/>
        </w:rPr>
        <w:t>对上述境外被投资机构具有最终控制权（通过控制权逐级传递）的母公司或个人的中文名称及当地注册的英文名称。如为其他语言名称，可不填写外文名称，</w:t>
      </w:r>
      <w:r w:rsidRPr="00CB4B9E">
        <w:rPr>
          <w:rFonts w:ascii="宋体" w:hAnsi="宋体" w:hint="eastAsia"/>
          <w:color w:val="000000" w:themeColor="text1"/>
          <w:szCs w:val="21"/>
        </w:rPr>
        <w:t>但必须填写中文名称</w:t>
      </w:r>
      <w:r w:rsidRPr="00CB4B9E">
        <w:rPr>
          <w:rFonts w:ascii="宋体" w:hAnsi="宋体" w:hint="eastAsia"/>
          <w:color w:val="000000" w:themeColor="text1"/>
        </w:rPr>
        <w:t>。</w:t>
      </w:r>
    </w:p>
    <w:p w:rsidR="006569E3"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 xml:space="preserve">A0107. </w:t>
      </w:r>
      <w:r w:rsidRPr="00CB4B9E">
        <w:rPr>
          <w:rFonts w:ascii="黑体" w:eastAsia="黑体" w:hAnsi="宋体" w:hint="eastAsia"/>
          <w:color w:val="000000" w:themeColor="text1"/>
        </w:rPr>
        <w:t>最终控制方所属国家</w:t>
      </w:r>
      <w:r w:rsidRPr="00CB4B9E">
        <w:rPr>
          <w:rFonts w:ascii="黑体" w:eastAsia="黑体" w:hAnsi="宋体"/>
          <w:color w:val="000000" w:themeColor="text1"/>
        </w:rPr>
        <w:t>/地区</w:t>
      </w:r>
      <w:r w:rsidRPr="00CB4B9E">
        <w:rPr>
          <w:rFonts w:ascii="黑体" w:eastAsia="黑体" w:hAnsi="宋体" w:hint="eastAsia"/>
          <w:color w:val="000000" w:themeColor="text1"/>
        </w:rPr>
        <w:t>：</w:t>
      </w:r>
      <w:r w:rsidRPr="00CB4B9E">
        <w:rPr>
          <w:rFonts w:ascii="宋体" w:hAnsi="宋体" w:hint="eastAsia"/>
          <w:color w:val="000000" w:themeColor="text1"/>
        </w:rPr>
        <w:t>指上述最终控制方注册登记或常驻（住）的国家或地区。</w:t>
      </w:r>
    </w:p>
    <w:p w:rsidR="00797FC1" w:rsidRPr="009263D7" w:rsidRDefault="00CB4B9E" w:rsidP="00797FC1">
      <w:pPr>
        <w:spacing w:line="360" w:lineRule="auto"/>
        <w:ind w:firstLineChars="200" w:firstLine="420"/>
        <w:jc w:val="left"/>
        <w:rPr>
          <w:color w:val="000000" w:themeColor="text1"/>
        </w:rPr>
      </w:pPr>
      <w:r w:rsidRPr="00CB4B9E">
        <w:rPr>
          <w:rFonts w:ascii="黑体" w:eastAsia="黑体" w:hAnsi="宋体"/>
          <w:color w:val="000000" w:themeColor="text1"/>
        </w:rPr>
        <w:t>A0108.</w:t>
      </w:r>
      <w:r w:rsidRPr="00CB4B9E">
        <w:rPr>
          <w:color w:val="000000" w:themeColor="text1"/>
        </w:rPr>
        <w:t xml:space="preserve"> </w:t>
      </w:r>
      <w:r w:rsidRPr="00CB4B9E">
        <w:rPr>
          <w:rFonts w:ascii="黑体" w:eastAsia="黑体" w:hAnsi="宋体" w:hint="eastAsia"/>
          <w:color w:val="000000" w:themeColor="text1"/>
        </w:rPr>
        <w:t>期末</w:t>
      </w:r>
      <w:r w:rsidRPr="00CB4B9E">
        <w:rPr>
          <w:rFonts w:ascii="黑体" w:eastAsia="黑体" w:hAnsi="宋体"/>
          <w:color w:val="000000" w:themeColor="text1"/>
        </w:rPr>
        <w:t>(</w:t>
      </w:r>
      <w:r w:rsidRPr="00CB4B9E">
        <w:rPr>
          <w:rFonts w:ascii="黑体" w:eastAsia="黑体" w:hAnsi="宋体" w:hint="eastAsia"/>
          <w:color w:val="000000" w:themeColor="text1"/>
        </w:rPr>
        <w:t>本机构</w:t>
      </w:r>
      <w:r w:rsidRPr="00CB4B9E">
        <w:rPr>
          <w:rFonts w:ascii="黑体" w:eastAsia="黑体" w:hAnsi="宋体"/>
          <w:color w:val="000000" w:themeColor="text1"/>
        </w:rPr>
        <w:t>)表决权比例(%)：</w:t>
      </w:r>
      <w:r w:rsidRPr="00CB4B9E">
        <w:rPr>
          <w:rFonts w:hint="eastAsia"/>
          <w:color w:val="000000" w:themeColor="text1"/>
        </w:rPr>
        <w:t>本统计期末（月度末），本机构在境外被投资机构公司经营管理等重大事项的决定权或投票权中所占比例。</w:t>
      </w:r>
    </w:p>
    <w:p w:rsidR="00797FC1" w:rsidRPr="009263D7"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A0109.期末(</w:t>
      </w:r>
      <w:r w:rsidRPr="00CB4B9E">
        <w:rPr>
          <w:rFonts w:ascii="黑体" w:eastAsia="黑体" w:hAnsi="宋体" w:hint="eastAsia"/>
          <w:color w:val="000000" w:themeColor="text1"/>
        </w:rPr>
        <w:t>本机构</w:t>
      </w:r>
      <w:r w:rsidRPr="00CB4B9E">
        <w:rPr>
          <w:rFonts w:ascii="黑体" w:eastAsia="黑体" w:hAnsi="宋体"/>
          <w:color w:val="000000" w:themeColor="text1"/>
        </w:rPr>
        <w:t>)持股比例(%)</w:t>
      </w:r>
      <w:r w:rsidRPr="00CB4B9E">
        <w:rPr>
          <w:rFonts w:ascii="黑体" w:eastAsia="黑体" w:hAnsi="宋体" w:hint="eastAsia"/>
          <w:color w:val="000000" w:themeColor="text1"/>
        </w:rPr>
        <w:t>：</w:t>
      </w:r>
      <w:r w:rsidRPr="00CB4B9E">
        <w:rPr>
          <w:rFonts w:ascii="宋体" w:hAnsi="宋体" w:hint="eastAsia"/>
          <w:color w:val="000000" w:themeColor="text1"/>
        </w:rPr>
        <w:t>本统计期末（月度末），本机构在境外被投资机构（股本）权益中所占的比例。若为境外分支机构，应比照子机构情况填报本机构持股比例，如填报为</w:t>
      </w:r>
      <w:r w:rsidRPr="00CB4B9E">
        <w:rPr>
          <w:rFonts w:ascii="宋体" w:hAnsi="宋体"/>
          <w:color w:val="000000" w:themeColor="text1"/>
        </w:rPr>
        <w:t>100%。</w:t>
      </w:r>
    </w:p>
    <w:p w:rsidR="0094738F" w:rsidRPr="009263D7"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A0110. 本机构是否通过SPV或壳机构持有该境外被投资机构：</w:t>
      </w:r>
      <w:r w:rsidRPr="00CB4B9E">
        <w:rPr>
          <w:rFonts w:ascii="宋体" w:hAnsi="宋体" w:hint="eastAsia"/>
          <w:color w:val="000000" w:themeColor="text1"/>
        </w:rPr>
        <w:t>当境外被投资机构不是本机构境外一级分支机构、子机构、联营机构或合营机构，而是本机构通过境外一级</w:t>
      </w:r>
      <w:r w:rsidRPr="00CB4B9E">
        <w:rPr>
          <w:rFonts w:ascii="宋体" w:hAnsi="宋体"/>
          <w:color w:val="000000" w:themeColor="text1"/>
        </w:rPr>
        <w:t>SPV或壳机构间接持有≥10%表决权时，</w:t>
      </w:r>
      <w:r w:rsidRPr="00CB4B9E">
        <w:rPr>
          <w:rFonts w:ascii="宋体" w:hAnsi="宋体" w:hint="eastAsia"/>
          <w:color w:val="000000" w:themeColor="text1"/>
        </w:rPr>
        <w:t>请选择①是；反之则选择</w:t>
      </w:r>
      <w:r w:rsidRPr="00CB4B9E">
        <w:rPr>
          <w:rFonts w:ascii="宋体" w:hAnsi="宋体"/>
          <w:color w:val="000000" w:themeColor="text1"/>
        </w:rPr>
        <w:t>(0)</w:t>
      </w:r>
      <w:r w:rsidRPr="00CB4B9E">
        <w:rPr>
          <w:rFonts w:ascii="宋体" w:hAnsi="宋体" w:hint="eastAsia"/>
          <w:color w:val="000000" w:themeColor="text1"/>
        </w:rPr>
        <w:t>否。</w:t>
      </w:r>
    </w:p>
    <w:p w:rsidR="0094738F" w:rsidRPr="009263D7" w:rsidRDefault="00CB4B9E" w:rsidP="0094738F">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A0111.</w:t>
      </w:r>
      <w:r w:rsidRPr="00CB4B9E">
        <w:rPr>
          <w:rFonts w:ascii="黑体" w:eastAsia="黑体" w:hAnsi="宋体" w:hint="eastAsia"/>
          <w:color w:val="000000" w:themeColor="text1"/>
        </w:rPr>
        <w:t>该</w:t>
      </w:r>
      <w:r w:rsidRPr="00CB4B9E">
        <w:rPr>
          <w:rFonts w:ascii="黑体" w:eastAsia="黑体" w:hAnsi="宋体"/>
          <w:color w:val="000000" w:themeColor="text1"/>
        </w:rPr>
        <w:t>SPV或壳机构</w:t>
      </w:r>
      <w:r w:rsidRPr="00CB4B9E">
        <w:rPr>
          <w:rFonts w:ascii="黑体" w:eastAsia="黑体" w:hAnsi="宋体" w:hint="eastAsia"/>
          <w:color w:val="000000" w:themeColor="text1"/>
        </w:rPr>
        <w:t>所属国家</w:t>
      </w:r>
      <w:r w:rsidRPr="00CB4B9E">
        <w:rPr>
          <w:rFonts w:ascii="黑体" w:eastAsia="黑体" w:hAnsi="宋体"/>
          <w:color w:val="000000" w:themeColor="text1"/>
        </w:rPr>
        <w:t>/地区</w:t>
      </w:r>
      <w:r w:rsidRPr="00CB4B9E">
        <w:rPr>
          <w:rFonts w:ascii="黑体" w:eastAsia="黑体" w:hAnsi="宋体" w:hint="eastAsia"/>
          <w:color w:val="000000" w:themeColor="text1"/>
        </w:rPr>
        <w:t>：</w:t>
      </w:r>
      <w:r w:rsidRPr="00CB4B9E">
        <w:rPr>
          <w:rFonts w:ascii="宋体" w:hAnsi="宋体" w:hint="eastAsia"/>
          <w:color w:val="000000" w:themeColor="text1"/>
        </w:rPr>
        <w:t>对于</w:t>
      </w:r>
      <w:r w:rsidRPr="00CB4B9E">
        <w:rPr>
          <w:rFonts w:ascii="宋体" w:hAnsi="宋体"/>
          <w:color w:val="000000" w:themeColor="text1"/>
        </w:rPr>
        <w:t>A0110选择“</w:t>
      </w:r>
      <w:r w:rsidRPr="00CB4B9E">
        <w:rPr>
          <w:rFonts w:ascii="宋体" w:hAnsi="宋体" w:hint="eastAsia"/>
          <w:color w:val="000000" w:themeColor="text1"/>
        </w:rPr>
        <w:t>①是”的，填报该境外一级</w:t>
      </w:r>
      <w:r w:rsidRPr="00CB4B9E">
        <w:rPr>
          <w:rFonts w:ascii="宋体" w:hAnsi="宋体"/>
          <w:color w:val="000000" w:themeColor="text1"/>
        </w:rPr>
        <w:t>SPV或壳机构所在国家和地区</w:t>
      </w:r>
      <w:r w:rsidRPr="00CB4B9E">
        <w:rPr>
          <w:rFonts w:ascii="宋体" w:hAnsi="宋体" w:hint="eastAsia"/>
          <w:color w:val="000000" w:themeColor="text1"/>
        </w:rPr>
        <w:t>的代码。</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A0112.</w:t>
      </w:r>
      <w:r w:rsidRPr="00CB4B9E">
        <w:rPr>
          <w:color w:val="000000" w:themeColor="text1"/>
        </w:rPr>
        <w:t xml:space="preserve"> </w:t>
      </w:r>
      <w:r w:rsidRPr="00CB4B9E">
        <w:rPr>
          <w:rFonts w:ascii="黑体" w:eastAsia="黑体" w:hAnsi="宋体" w:hint="eastAsia"/>
          <w:color w:val="000000" w:themeColor="text1"/>
        </w:rPr>
        <w:t>期末会计记账币种（原币）：</w:t>
      </w:r>
      <w:r w:rsidRPr="00CB4B9E">
        <w:rPr>
          <w:rFonts w:ascii="宋体" w:hAnsi="宋体" w:hint="eastAsia"/>
          <w:color w:val="000000" w:themeColor="text1"/>
        </w:rPr>
        <w:t>请按照境外被投资机构当地（所在国家或地区）主要记账本位币填报。如无相关境外被投资机构记账本位币数据，应按照本机构内部使用的记账币种填报。该记账币种适用于</w:t>
      </w:r>
      <w:r w:rsidRPr="00CB4B9E">
        <w:rPr>
          <w:rFonts w:ascii="宋体" w:hAnsi="宋体"/>
          <w:color w:val="000000" w:themeColor="text1"/>
        </w:rPr>
        <w:t>A0113-A0126</w:t>
      </w:r>
      <w:r w:rsidRPr="00CB4B9E">
        <w:rPr>
          <w:rFonts w:ascii="宋体" w:hAnsi="宋体" w:hint="eastAsia"/>
          <w:color w:val="000000" w:themeColor="text1"/>
        </w:rPr>
        <w:t>各项。</w:t>
      </w:r>
    </w:p>
    <w:p w:rsidR="00797FC1" w:rsidRPr="009263D7" w:rsidRDefault="00CB4B9E" w:rsidP="00797FC1">
      <w:pPr>
        <w:spacing w:line="360" w:lineRule="auto"/>
        <w:ind w:rightChars="154" w:right="323" w:firstLineChars="200" w:firstLine="420"/>
        <w:rPr>
          <w:rFonts w:ascii="黑体" w:eastAsia="黑体"/>
          <w:color w:val="000000" w:themeColor="text1"/>
          <w:szCs w:val="21"/>
        </w:rPr>
      </w:pPr>
      <w:r w:rsidRPr="00CB4B9E">
        <w:rPr>
          <w:rFonts w:ascii="黑体" w:eastAsia="黑体"/>
          <w:color w:val="000000" w:themeColor="text1"/>
          <w:szCs w:val="21"/>
        </w:rPr>
        <w:t>A0113</w:t>
      </w:r>
      <w:r w:rsidRPr="00CB4B9E">
        <w:rPr>
          <w:rFonts w:ascii="黑体" w:eastAsia="黑体" w:hint="eastAsia"/>
          <w:color w:val="000000" w:themeColor="text1"/>
          <w:szCs w:val="21"/>
        </w:rPr>
        <w:t>.期末资产：</w:t>
      </w:r>
      <w:r w:rsidRPr="00CB4B9E">
        <w:rPr>
          <w:rFonts w:ascii="宋体" w:hAnsi="宋体" w:hint="eastAsia"/>
          <w:color w:val="000000" w:themeColor="text1"/>
          <w:szCs w:val="21"/>
        </w:rPr>
        <w:t>指对应月度末，境外被投资机构合并资产负债表中的“资产总额”。</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A0114.</w:t>
      </w:r>
      <w:r w:rsidRPr="00CB4B9E">
        <w:rPr>
          <w:rFonts w:ascii="黑体" w:eastAsia="黑体" w:hAnsi="宋体" w:hint="eastAsia"/>
          <w:color w:val="000000" w:themeColor="text1"/>
          <w:szCs w:val="21"/>
        </w:rPr>
        <w:t>期末</w:t>
      </w:r>
      <w:r w:rsidRPr="00CB4B9E">
        <w:rPr>
          <w:rFonts w:ascii="黑体" w:eastAsia="黑体" w:hint="eastAsia"/>
          <w:color w:val="000000" w:themeColor="text1"/>
          <w:szCs w:val="21"/>
        </w:rPr>
        <w:t>负债：</w:t>
      </w:r>
      <w:r w:rsidRPr="00CB4B9E">
        <w:rPr>
          <w:rFonts w:ascii="宋体" w:hAnsi="宋体" w:hint="eastAsia"/>
          <w:color w:val="000000" w:themeColor="text1"/>
          <w:szCs w:val="21"/>
        </w:rPr>
        <w:t>指对应月度末，境外被投资机构合并资产负债表中的“负债总额”。</w:t>
      </w:r>
    </w:p>
    <w:p w:rsidR="00EA2D6E" w:rsidRPr="009263D7" w:rsidRDefault="00CB4B9E" w:rsidP="00797FC1">
      <w:pPr>
        <w:spacing w:line="360" w:lineRule="auto"/>
        <w:ind w:rightChars="154" w:right="323" w:firstLineChars="200" w:firstLine="420"/>
        <w:rPr>
          <w:rFonts w:ascii="黑体" w:eastAsia="黑体"/>
          <w:color w:val="000000" w:themeColor="text1"/>
          <w:szCs w:val="21"/>
        </w:rPr>
      </w:pPr>
      <w:r w:rsidRPr="00CB4B9E">
        <w:rPr>
          <w:rFonts w:ascii="黑体" w:eastAsia="黑体"/>
          <w:color w:val="000000" w:themeColor="text1"/>
          <w:szCs w:val="21"/>
        </w:rPr>
        <w:t>A0115.</w:t>
      </w:r>
      <w:r w:rsidRPr="00CB4B9E">
        <w:rPr>
          <w:rFonts w:ascii="黑体" w:eastAsia="黑体" w:hAnsi="宋体" w:hint="eastAsia"/>
          <w:color w:val="000000" w:themeColor="text1"/>
          <w:szCs w:val="21"/>
        </w:rPr>
        <w:t>本机构拨付的营运资金</w:t>
      </w:r>
      <w:r w:rsidRPr="00CB4B9E">
        <w:rPr>
          <w:rFonts w:ascii="黑体" w:eastAsia="黑体" w:hint="eastAsia"/>
          <w:color w:val="000000" w:themeColor="text1"/>
          <w:szCs w:val="21"/>
        </w:rPr>
        <w:t>：</w:t>
      </w:r>
      <w:r w:rsidRPr="00CB4B9E">
        <w:rPr>
          <w:rFonts w:ascii="宋体" w:hAnsi="宋体" w:hint="eastAsia"/>
          <w:color w:val="000000" w:themeColor="text1"/>
          <w:szCs w:val="21"/>
        </w:rPr>
        <w:t>指对应月度末，境外被投资机构合并资产负债表中记录的母公司（本机构）拨付的“营运资金”。如境外被投资机构将其记为权益，则应纳入</w:t>
      </w:r>
      <w:r w:rsidRPr="00CB4B9E">
        <w:rPr>
          <w:rFonts w:ascii="宋体" w:hAnsi="宋体"/>
          <w:color w:val="000000" w:themeColor="text1"/>
          <w:szCs w:val="21"/>
        </w:rPr>
        <w:t>A0116和A0117下统计</w:t>
      </w:r>
      <w:r w:rsidRPr="00CB4B9E">
        <w:rPr>
          <w:rFonts w:ascii="宋体" w:hAnsi="宋体" w:hint="eastAsia"/>
          <w:color w:val="000000" w:themeColor="text1"/>
          <w:szCs w:val="21"/>
        </w:rPr>
        <w:t>，而不应纳入本项统计。</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 xml:space="preserve">A0116. </w:t>
      </w:r>
      <w:r w:rsidRPr="00CB4B9E">
        <w:rPr>
          <w:rFonts w:ascii="黑体" w:eastAsia="黑体" w:hAnsi="宋体" w:hint="eastAsia"/>
          <w:color w:val="000000" w:themeColor="text1"/>
          <w:szCs w:val="21"/>
        </w:rPr>
        <w:t>期末归属于被投资机构全体股东的权益（总额）</w:t>
      </w:r>
      <w:r w:rsidRPr="00CB4B9E">
        <w:rPr>
          <w:rFonts w:ascii="黑体" w:eastAsia="黑体" w:hint="eastAsia"/>
          <w:color w:val="000000" w:themeColor="text1"/>
          <w:szCs w:val="21"/>
        </w:rPr>
        <w:t>：</w:t>
      </w:r>
      <w:r w:rsidRPr="00CB4B9E">
        <w:rPr>
          <w:rFonts w:ascii="宋体" w:hAnsi="宋体" w:hint="eastAsia"/>
          <w:color w:val="000000" w:themeColor="text1"/>
          <w:szCs w:val="21"/>
        </w:rPr>
        <w:t>指对应月度末，境外被投资机构合并“资产负债表”中归属于其全体股东的权益。该项应等于</w:t>
      </w:r>
      <w:r w:rsidRPr="00CB4B9E">
        <w:rPr>
          <w:rFonts w:ascii="宋体" w:hAnsi="宋体"/>
          <w:color w:val="000000" w:themeColor="text1"/>
          <w:szCs w:val="21"/>
        </w:rPr>
        <w:t>A0117</w:t>
      </w:r>
      <w:r w:rsidRPr="00CB4B9E">
        <w:rPr>
          <w:rFonts w:ascii="宋体" w:hAnsi="宋体" w:hint="eastAsia"/>
          <w:color w:val="000000" w:themeColor="text1"/>
          <w:szCs w:val="21"/>
        </w:rPr>
        <w:t>至</w:t>
      </w:r>
      <w:r w:rsidRPr="00CB4B9E">
        <w:rPr>
          <w:rFonts w:ascii="宋体" w:hAnsi="宋体"/>
          <w:color w:val="000000" w:themeColor="text1"/>
          <w:szCs w:val="21"/>
        </w:rPr>
        <w:t>A0121</w:t>
      </w:r>
      <w:r w:rsidRPr="00CB4B9E">
        <w:rPr>
          <w:rFonts w:ascii="宋体" w:hAnsi="宋体" w:hint="eastAsia"/>
          <w:color w:val="000000" w:themeColor="text1"/>
          <w:szCs w:val="21"/>
        </w:rPr>
        <w:t>项的合计。如境外被投资机构将母公司（本机构）拨付的“营运资金”记为权益，则应纳入本项统计，而不应统计在</w:t>
      </w:r>
      <w:r w:rsidRPr="00CB4B9E">
        <w:rPr>
          <w:rFonts w:ascii="宋体" w:hAnsi="宋体"/>
          <w:color w:val="000000" w:themeColor="text1"/>
          <w:szCs w:val="21"/>
        </w:rPr>
        <w:t>A0115</w:t>
      </w:r>
      <w:r w:rsidRPr="00CB4B9E">
        <w:rPr>
          <w:rFonts w:ascii="宋体" w:hAnsi="宋体" w:hint="eastAsia"/>
          <w:color w:val="000000" w:themeColor="text1"/>
          <w:szCs w:val="21"/>
        </w:rPr>
        <w:t>项下。</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A0117</w:t>
      </w:r>
      <w:r w:rsidRPr="00CB4B9E">
        <w:rPr>
          <w:rFonts w:ascii="黑体" w:eastAsia="黑体" w:hint="eastAsia"/>
          <w:color w:val="000000" w:themeColor="text1"/>
          <w:szCs w:val="21"/>
        </w:rPr>
        <w:t>.实收资本：</w:t>
      </w:r>
      <w:r w:rsidRPr="00CB4B9E">
        <w:rPr>
          <w:rFonts w:ascii="宋体" w:hAnsi="宋体" w:hint="eastAsia"/>
          <w:color w:val="000000" w:themeColor="text1"/>
          <w:szCs w:val="21"/>
        </w:rPr>
        <w:t>指期末归属于该境外被投资机构全体股东的权益（总额）中的“实收资本”金额。如境外被投资机构将母公司（本机构）拨付的“营运资金”纳入本项目统计，则应纳入本项</w:t>
      </w:r>
      <w:r w:rsidRPr="00CB4B9E">
        <w:rPr>
          <w:rFonts w:ascii="宋体" w:hAnsi="宋体" w:hint="eastAsia"/>
          <w:color w:val="000000" w:themeColor="text1"/>
          <w:szCs w:val="21"/>
        </w:rPr>
        <w:lastRenderedPageBreak/>
        <w:t>统计，而不应统计在</w:t>
      </w:r>
      <w:r w:rsidRPr="00CB4B9E">
        <w:rPr>
          <w:rFonts w:ascii="宋体" w:hAnsi="宋体"/>
          <w:color w:val="000000" w:themeColor="text1"/>
          <w:szCs w:val="21"/>
        </w:rPr>
        <w:t>A0115</w:t>
      </w:r>
      <w:r w:rsidRPr="00CB4B9E">
        <w:rPr>
          <w:rFonts w:ascii="宋体" w:hAnsi="宋体" w:hint="eastAsia"/>
          <w:color w:val="000000" w:themeColor="text1"/>
          <w:szCs w:val="21"/>
        </w:rPr>
        <w:t>项下。</w:t>
      </w:r>
    </w:p>
    <w:p w:rsidR="00797FC1" w:rsidRPr="009263D7" w:rsidRDefault="00CB4B9E" w:rsidP="00797FC1">
      <w:pPr>
        <w:spacing w:line="360" w:lineRule="auto"/>
        <w:ind w:rightChars="154" w:right="323" w:firstLineChars="200" w:firstLine="420"/>
        <w:rPr>
          <w:rFonts w:ascii="黑体" w:eastAsia="黑体"/>
          <w:color w:val="000000" w:themeColor="text1"/>
          <w:szCs w:val="21"/>
        </w:rPr>
      </w:pPr>
      <w:r w:rsidRPr="00CB4B9E">
        <w:rPr>
          <w:rFonts w:ascii="黑体" w:eastAsia="黑体"/>
          <w:color w:val="000000" w:themeColor="text1"/>
          <w:szCs w:val="21"/>
        </w:rPr>
        <w:t>A0118</w:t>
      </w:r>
      <w:r w:rsidRPr="00CB4B9E">
        <w:rPr>
          <w:rFonts w:ascii="黑体" w:eastAsia="黑体" w:hint="eastAsia"/>
          <w:color w:val="000000" w:themeColor="text1"/>
          <w:szCs w:val="21"/>
        </w:rPr>
        <w:t>.资本公积：</w:t>
      </w:r>
      <w:r w:rsidRPr="00CB4B9E">
        <w:rPr>
          <w:rFonts w:ascii="宋体" w:hAnsi="宋体" w:hint="eastAsia"/>
          <w:color w:val="000000" w:themeColor="text1"/>
          <w:szCs w:val="21"/>
        </w:rPr>
        <w:t>指期末归属于该境外被投资机构全体股东的权益（总额）的“资本公积”或对应项目，反映境外被投资机构收到投资者出资额超出其在企业注册资本（或股本）中所占份额的部分，以及直接计入所有者权益的利得和损失等。</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A0119</w:t>
      </w:r>
      <w:r w:rsidRPr="00CB4B9E">
        <w:rPr>
          <w:rFonts w:ascii="黑体" w:eastAsia="黑体" w:hint="eastAsia"/>
          <w:color w:val="000000" w:themeColor="text1"/>
          <w:szCs w:val="21"/>
        </w:rPr>
        <w:t>.盈余公积：</w:t>
      </w:r>
      <w:r w:rsidRPr="00CB4B9E">
        <w:rPr>
          <w:rFonts w:ascii="宋体" w:hAnsi="宋体" w:hint="eastAsia"/>
          <w:color w:val="000000" w:themeColor="text1"/>
          <w:szCs w:val="21"/>
        </w:rPr>
        <w:t>是指期末归属于该境外被投资机构全体股东的权益（总额）中的，按照规定从净利润中提取的各种积累资金，包括法定盈余公积和任意盈余公积。</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A0120</w:t>
      </w:r>
      <w:r w:rsidRPr="00CB4B9E">
        <w:rPr>
          <w:rFonts w:ascii="黑体" w:eastAsia="黑体" w:hint="eastAsia"/>
          <w:color w:val="000000" w:themeColor="text1"/>
          <w:szCs w:val="21"/>
        </w:rPr>
        <w:t>.未分配利润：</w:t>
      </w:r>
      <w:r w:rsidRPr="00CB4B9E">
        <w:rPr>
          <w:rFonts w:ascii="宋体" w:hAnsi="宋体" w:hint="eastAsia"/>
          <w:color w:val="000000" w:themeColor="text1"/>
          <w:szCs w:val="21"/>
        </w:rPr>
        <w:t>指期末归属于该境外被投资机构全体股东的权益（总额）中的未分配利润总额。</w:t>
      </w:r>
    </w:p>
    <w:p w:rsidR="002C1085"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A0121.</w:t>
      </w:r>
      <w:r w:rsidRPr="00CB4B9E">
        <w:rPr>
          <w:rFonts w:ascii="黑体" w:eastAsia="黑体" w:hint="eastAsia"/>
          <w:color w:val="000000" w:themeColor="text1"/>
          <w:szCs w:val="21"/>
        </w:rPr>
        <w:t>其他：</w:t>
      </w:r>
      <w:r w:rsidRPr="00CB4B9E">
        <w:rPr>
          <w:rFonts w:ascii="宋体" w:hAnsi="宋体" w:hint="eastAsia"/>
          <w:color w:val="000000" w:themeColor="text1"/>
          <w:szCs w:val="21"/>
        </w:rPr>
        <w:t>指期末归属于该境外被投资机构全体股东的权益（总额）下，未涵盖在</w:t>
      </w:r>
      <w:r w:rsidRPr="00CB4B9E">
        <w:rPr>
          <w:rFonts w:ascii="宋体" w:hAnsi="宋体"/>
          <w:color w:val="000000" w:themeColor="text1"/>
          <w:szCs w:val="21"/>
        </w:rPr>
        <w:t>A0117</w:t>
      </w:r>
      <w:r w:rsidRPr="00CB4B9E">
        <w:rPr>
          <w:rFonts w:ascii="宋体" w:hAnsi="宋体" w:hint="eastAsia"/>
          <w:color w:val="000000" w:themeColor="text1"/>
          <w:szCs w:val="21"/>
        </w:rPr>
        <w:t>至</w:t>
      </w:r>
      <w:r w:rsidRPr="00CB4B9E">
        <w:rPr>
          <w:rFonts w:ascii="宋体" w:hAnsi="宋体"/>
          <w:color w:val="000000" w:themeColor="text1"/>
          <w:szCs w:val="21"/>
        </w:rPr>
        <w:t>A0120</w:t>
      </w:r>
      <w:r w:rsidRPr="00CB4B9E">
        <w:rPr>
          <w:rFonts w:ascii="宋体" w:hAnsi="宋体" w:hint="eastAsia"/>
          <w:color w:val="000000" w:themeColor="text1"/>
          <w:szCs w:val="21"/>
        </w:rPr>
        <w:t>项中的部分，包括但不限于一般准备、外币报表折算差额等。</w:t>
      </w:r>
    </w:p>
    <w:p w:rsidR="00E044A0" w:rsidRPr="009263D7" w:rsidRDefault="00CB4B9E" w:rsidP="00E044A0">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 xml:space="preserve">A0122. </w:t>
      </w:r>
      <w:r w:rsidRPr="00CB4B9E">
        <w:rPr>
          <w:rFonts w:ascii="黑体" w:eastAsia="黑体" w:hint="eastAsia"/>
          <w:color w:val="000000" w:themeColor="text1"/>
          <w:szCs w:val="21"/>
        </w:rPr>
        <w:t>期末少数股东权益：</w:t>
      </w:r>
      <w:r w:rsidRPr="00CB4B9E">
        <w:rPr>
          <w:rFonts w:ascii="宋体" w:hAnsi="宋体" w:hint="eastAsia"/>
          <w:color w:val="000000" w:themeColor="text1"/>
          <w:szCs w:val="21"/>
        </w:rPr>
        <w:t>境外被投资机构合并资产负债表中的少数股东权益。</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color w:val="000000" w:themeColor="text1"/>
          <w:szCs w:val="21"/>
        </w:rPr>
        <w:t>A0123.</w:t>
      </w:r>
      <w:r w:rsidRPr="00CB4B9E">
        <w:rPr>
          <w:rFonts w:ascii="黑体" w:eastAsia="黑体" w:hint="eastAsia"/>
          <w:color w:val="000000" w:themeColor="text1"/>
          <w:szCs w:val="21"/>
        </w:rPr>
        <w:t>本</w:t>
      </w:r>
      <w:r w:rsidRPr="00CB4B9E">
        <w:rPr>
          <w:rFonts w:ascii="黑体" w:eastAsia="黑体" w:hAnsi="宋体" w:hint="eastAsia"/>
          <w:color w:val="000000" w:themeColor="text1"/>
        </w:rPr>
        <w:t>期利润总额：</w:t>
      </w:r>
      <w:r w:rsidRPr="00CB4B9E">
        <w:rPr>
          <w:rFonts w:ascii="宋体" w:hAnsi="宋体" w:hint="eastAsia"/>
          <w:color w:val="000000" w:themeColor="text1"/>
          <w:szCs w:val="21"/>
        </w:rPr>
        <w:t>指当月境外被投资机构合并损益表中“利润总额（税前）”。指当月数，而非累计数。</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color w:val="000000" w:themeColor="text1"/>
          <w:szCs w:val="21"/>
        </w:rPr>
        <w:t>A0124.</w:t>
      </w:r>
      <w:r w:rsidRPr="00CB4B9E">
        <w:rPr>
          <w:rFonts w:ascii="黑体" w:eastAsia="黑体" w:hint="eastAsia"/>
          <w:color w:val="000000" w:themeColor="text1"/>
          <w:szCs w:val="21"/>
        </w:rPr>
        <w:t>本期被投资机构全体股东应享净利润：</w:t>
      </w:r>
      <w:r w:rsidRPr="00CB4B9E">
        <w:rPr>
          <w:rFonts w:ascii="宋体" w:hAnsi="宋体" w:hint="eastAsia"/>
          <w:color w:val="000000" w:themeColor="text1"/>
        </w:rPr>
        <w:t>指当月境外被投资机构合并损益表中的归属于被投资机构全体股东的净利润。</w:t>
      </w:r>
    </w:p>
    <w:p w:rsidR="00797FC1" w:rsidRPr="009263D7" w:rsidRDefault="00CB4B9E" w:rsidP="00192CD5">
      <w:pPr>
        <w:spacing w:line="360" w:lineRule="auto"/>
        <w:ind w:firstLineChars="200" w:firstLine="420"/>
        <w:jc w:val="left"/>
        <w:rPr>
          <w:rFonts w:ascii="黑体" w:eastAsia="黑体"/>
          <w:color w:val="000000" w:themeColor="text1"/>
          <w:szCs w:val="21"/>
        </w:rPr>
      </w:pPr>
      <w:r w:rsidRPr="00CB4B9E">
        <w:rPr>
          <w:rFonts w:ascii="黑体" w:eastAsia="黑体"/>
          <w:color w:val="000000" w:themeColor="text1"/>
          <w:szCs w:val="21"/>
        </w:rPr>
        <w:t>A0125.</w:t>
      </w:r>
      <w:r w:rsidRPr="00CB4B9E">
        <w:rPr>
          <w:rFonts w:ascii="黑体" w:eastAsia="黑体" w:hAnsi="宋体" w:hint="eastAsia"/>
          <w:color w:val="000000" w:themeColor="text1"/>
        </w:rPr>
        <w:t>本期宣告分配（本机构）利润：</w:t>
      </w:r>
      <w:r w:rsidRPr="00CB4B9E">
        <w:rPr>
          <w:rFonts w:ascii="宋体" w:hAnsi="宋体" w:hint="eastAsia"/>
          <w:color w:val="000000" w:themeColor="text1"/>
          <w:szCs w:val="21"/>
        </w:rPr>
        <w:t>本对应月度内，境外被投资机构宣告分配给本机构的利润。对于境外分支机构，应对照全资境外子公司的情况填写。</w:t>
      </w:r>
    </w:p>
    <w:p w:rsidR="00797FC1" w:rsidRPr="009263D7" w:rsidRDefault="00CB4B9E" w:rsidP="00797FC1">
      <w:pPr>
        <w:spacing w:line="360" w:lineRule="auto"/>
        <w:ind w:rightChars="154" w:right="323" w:firstLineChars="200" w:firstLine="420"/>
        <w:rPr>
          <w:rFonts w:ascii="黑体" w:eastAsia="黑体" w:hAnsi="宋体"/>
          <w:color w:val="000000" w:themeColor="text1"/>
        </w:rPr>
      </w:pPr>
      <w:r w:rsidRPr="00CB4B9E">
        <w:rPr>
          <w:rFonts w:ascii="黑体" w:eastAsia="黑体"/>
          <w:color w:val="000000" w:themeColor="text1"/>
          <w:szCs w:val="21"/>
        </w:rPr>
        <w:t>A0126.</w:t>
      </w:r>
      <w:r w:rsidRPr="00CB4B9E">
        <w:rPr>
          <w:rFonts w:ascii="黑体" w:eastAsia="黑体" w:hAnsi="宋体" w:hint="eastAsia"/>
          <w:color w:val="000000" w:themeColor="text1"/>
        </w:rPr>
        <w:t>对所在国缴纳的税金总额：</w:t>
      </w:r>
      <w:r w:rsidRPr="00CB4B9E">
        <w:rPr>
          <w:rFonts w:ascii="宋体" w:hAnsi="宋体" w:hint="eastAsia"/>
          <w:color w:val="000000" w:themeColor="text1"/>
        </w:rPr>
        <w:t>指对应年末，本机构控股（持股＞</w:t>
      </w:r>
      <w:r w:rsidRPr="00CB4B9E">
        <w:rPr>
          <w:rFonts w:ascii="宋体" w:hAnsi="宋体"/>
          <w:color w:val="000000" w:themeColor="text1"/>
        </w:rPr>
        <w:t>50%）的境外</w:t>
      </w:r>
      <w:r w:rsidRPr="00CB4B9E">
        <w:rPr>
          <w:rFonts w:ascii="宋体" w:hAnsi="宋体" w:hint="eastAsia"/>
          <w:color w:val="000000" w:themeColor="text1"/>
        </w:rPr>
        <w:t>被投资机构按照其经营所在国家或地区的法律规定，在当地缴纳的各项税金之和，为当年累计发生数，按境外关联实体记账本位币填报。每年</w:t>
      </w:r>
      <w:r w:rsidR="004A1CC1">
        <w:rPr>
          <w:rFonts w:ascii="宋体" w:hAnsi="宋体" w:hint="eastAsia"/>
          <w:color w:val="000000" w:themeColor="text1"/>
        </w:rPr>
        <w:t>填</w:t>
      </w:r>
      <w:r w:rsidRPr="00CB4B9E">
        <w:rPr>
          <w:rFonts w:ascii="宋体" w:hAnsi="宋体" w:hint="eastAsia"/>
          <w:color w:val="000000" w:themeColor="text1"/>
        </w:rPr>
        <w:t>报一次，仅需在报送</w:t>
      </w:r>
      <w:r w:rsidRPr="00CB4B9E">
        <w:rPr>
          <w:rFonts w:ascii="宋体" w:hAnsi="宋体"/>
          <w:color w:val="000000" w:themeColor="text1"/>
        </w:rPr>
        <w:t>12月报表时填列本年</w:t>
      </w:r>
      <w:r w:rsidR="00FA4DF8">
        <w:rPr>
          <w:rFonts w:ascii="宋体" w:hAnsi="宋体" w:hint="eastAsia"/>
          <w:color w:val="000000" w:themeColor="text1"/>
        </w:rPr>
        <w:t>发生额</w:t>
      </w:r>
      <w:r w:rsidRPr="00CB4B9E">
        <w:rPr>
          <w:rFonts w:ascii="宋体" w:hAnsi="宋体" w:hint="eastAsia"/>
          <w:color w:val="000000" w:themeColor="text1"/>
        </w:rPr>
        <w:t>。</w:t>
      </w:r>
      <w:r w:rsidR="006569E3">
        <w:rPr>
          <w:rFonts w:ascii="宋体" w:hAnsi="宋体" w:hint="eastAsia"/>
          <w:color w:val="000000" w:themeColor="text1"/>
        </w:rPr>
        <w:t>本机构持股≤50%的境外被投资机构不填报此项目。</w:t>
      </w:r>
    </w:p>
    <w:p w:rsidR="00B91272" w:rsidRPr="009263D7" w:rsidRDefault="00CB4B9E" w:rsidP="00B91272">
      <w:pPr>
        <w:spacing w:line="360" w:lineRule="auto"/>
        <w:ind w:rightChars="154" w:right="323" w:firstLineChars="200" w:firstLine="420"/>
        <w:rPr>
          <w:rFonts w:ascii="黑体" w:eastAsia="黑体" w:hAnsi="宋体"/>
          <w:color w:val="000000" w:themeColor="text1"/>
        </w:rPr>
      </w:pPr>
      <w:r w:rsidRPr="00CB4B9E">
        <w:rPr>
          <w:rFonts w:ascii="黑体" w:eastAsia="黑体"/>
          <w:color w:val="000000" w:themeColor="text1"/>
          <w:szCs w:val="21"/>
        </w:rPr>
        <w:t>A0127</w:t>
      </w:r>
      <w:r w:rsidRPr="00CB4B9E">
        <w:rPr>
          <w:rFonts w:ascii="黑体" w:eastAsia="黑体" w:hint="eastAsia"/>
          <w:color w:val="000000" w:themeColor="text1"/>
          <w:szCs w:val="21"/>
        </w:rPr>
        <w:t>.年末从业人数（人）：</w:t>
      </w:r>
      <w:r w:rsidRPr="00CB4B9E">
        <w:rPr>
          <w:rFonts w:ascii="宋体" w:hAnsi="宋体" w:hint="eastAsia"/>
          <w:color w:val="000000" w:themeColor="text1"/>
        </w:rPr>
        <w:t>指对应年末，本机构控股（持股＞</w:t>
      </w:r>
      <w:r w:rsidRPr="00CB4B9E">
        <w:rPr>
          <w:rFonts w:ascii="宋体" w:hAnsi="宋体"/>
          <w:color w:val="000000" w:themeColor="text1"/>
        </w:rPr>
        <w:t>50%）的境外</w:t>
      </w:r>
      <w:r w:rsidRPr="00CB4B9E">
        <w:rPr>
          <w:rFonts w:ascii="宋体" w:hAnsi="宋体" w:hint="eastAsia"/>
          <w:color w:val="000000" w:themeColor="text1"/>
        </w:rPr>
        <w:t>被投资机构雇用的员工总数。</w:t>
      </w:r>
      <w:r w:rsidR="004A1CC1">
        <w:rPr>
          <w:rFonts w:ascii="宋体" w:hAnsi="宋体" w:hint="eastAsia"/>
          <w:color w:val="000000" w:themeColor="text1"/>
        </w:rPr>
        <w:t>每年填报</w:t>
      </w:r>
      <w:r w:rsidR="00FA4DF8">
        <w:rPr>
          <w:rFonts w:ascii="宋体" w:hAnsi="宋体" w:hint="eastAsia"/>
          <w:color w:val="000000" w:themeColor="text1"/>
        </w:rPr>
        <w:t>一次，仅需在报送12月报表时填列本年</w:t>
      </w:r>
      <w:r w:rsidR="004A1CC1">
        <w:rPr>
          <w:rFonts w:ascii="宋体" w:hAnsi="宋体" w:hint="eastAsia"/>
          <w:color w:val="000000" w:themeColor="text1"/>
        </w:rPr>
        <w:t>末数</w:t>
      </w:r>
      <w:r w:rsidRPr="00CB4B9E">
        <w:rPr>
          <w:rFonts w:ascii="宋体" w:hAnsi="宋体" w:hint="eastAsia"/>
          <w:color w:val="000000" w:themeColor="text1"/>
        </w:rPr>
        <w:t>。</w:t>
      </w:r>
      <w:r w:rsidR="00B91272">
        <w:rPr>
          <w:rFonts w:ascii="宋体" w:hAnsi="宋体" w:hint="eastAsia"/>
          <w:color w:val="000000" w:themeColor="text1"/>
        </w:rPr>
        <w:t>本机构持股≤50%的境外被投资机构不填报此项目。</w:t>
      </w:r>
    </w:p>
    <w:p w:rsidR="00174A58" w:rsidRPr="00B91272"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 xml:space="preserve">A0128. </w:t>
      </w:r>
      <w:r w:rsidRPr="00CB4B9E">
        <w:rPr>
          <w:rFonts w:ascii="黑体" w:eastAsia="黑体" w:hint="eastAsia"/>
          <w:color w:val="000000" w:themeColor="text1"/>
          <w:szCs w:val="21"/>
        </w:rPr>
        <w:t>其中：中方雇员数（人）：</w:t>
      </w:r>
      <w:r w:rsidRPr="00CB4B9E">
        <w:rPr>
          <w:rFonts w:ascii="宋体" w:hAnsi="宋体" w:hint="eastAsia"/>
          <w:color w:val="000000" w:themeColor="text1"/>
        </w:rPr>
        <w:t>指对应年末，本机构控股（持股＞</w:t>
      </w:r>
      <w:r w:rsidRPr="00CB4B9E">
        <w:rPr>
          <w:rFonts w:ascii="宋体" w:hAnsi="宋体"/>
          <w:color w:val="000000" w:themeColor="text1"/>
        </w:rPr>
        <w:t>50%）的境外</w:t>
      </w:r>
      <w:r w:rsidRPr="00CB4B9E">
        <w:rPr>
          <w:rFonts w:ascii="宋体" w:hAnsi="宋体" w:hint="eastAsia"/>
          <w:color w:val="000000" w:themeColor="text1"/>
        </w:rPr>
        <w:t>被投资机构所雇用的员工中，由中方投资者派出的雇员人数</w:t>
      </w:r>
      <w:r w:rsidR="006569E3">
        <w:rPr>
          <w:rFonts w:ascii="宋体" w:hAnsi="宋体" w:hint="eastAsia"/>
          <w:color w:val="000000" w:themeColor="text1"/>
        </w:rPr>
        <w:t>。</w:t>
      </w:r>
      <w:r w:rsidR="004A1CC1">
        <w:rPr>
          <w:rFonts w:ascii="宋体" w:hAnsi="宋体" w:hint="eastAsia"/>
          <w:color w:val="000000" w:themeColor="text1"/>
        </w:rPr>
        <w:t>每年填报</w:t>
      </w:r>
      <w:r w:rsidR="00FA4DF8">
        <w:rPr>
          <w:rFonts w:ascii="宋体" w:hAnsi="宋体" w:hint="eastAsia"/>
          <w:color w:val="000000" w:themeColor="text1"/>
        </w:rPr>
        <w:t>一次，仅需在报送12月报表时填列本年</w:t>
      </w:r>
      <w:r w:rsidR="004A1CC1">
        <w:rPr>
          <w:rFonts w:ascii="宋体" w:hAnsi="宋体" w:hint="eastAsia"/>
          <w:color w:val="000000" w:themeColor="text1"/>
        </w:rPr>
        <w:t>年末数</w:t>
      </w:r>
      <w:r w:rsidRPr="00CB4B9E">
        <w:rPr>
          <w:rFonts w:ascii="宋体" w:hAnsi="宋体" w:hint="eastAsia"/>
          <w:color w:val="000000" w:themeColor="text1"/>
        </w:rPr>
        <w:t>。</w:t>
      </w:r>
      <w:r w:rsidR="00B91272">
        <w:rPr>
          <w:rFonts w:ascii="宋体" w:hAnsi="宋体" w:hint="eastAsia"/>
          <w:color w:val="000000" w:themeColor="text1"/>
        </w:rPr>
        <w:t>本机构持股≤50%的境外被投资机构不填报此项目。</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A0129</w:t>
      </w:r>
      <w:r w:rsidRPr="00CB4B9E">
        <w:rPr>
          <w:rFonts w:ascii="黑体" w:eastAsia="黑体" w:hint="eastAsia"/>
          <w:color w:val="000000" w:themeColor="text1"/>
          <w:szCs w:val="21"/>
        </w:rPr>
        <w:t>.可流通股票（份额）的记账币种（原币）：</w:t>
      </w:r>
      <w:r w:rsidRPr="00CB4B9E">
        <w:rPr>
          <w:rFonts w:ascii="宋体" w:hAnsi="宋体" w:hint="eastAsia"/>
          <w:color w:val="000000" w:themeColor="text1"/>
        </w:rPr>
        <w:t>指对应月度末，本机构持有的境外被投资机构可流通股票或基金份额的记账币种。如无可流通股票或基金份额，此项为“</w:t>
      </w:r>
      <w:r w:rsidRPr="00CB4B9E">
        <w:rPr>
          <w:rFonts w:ascii="宋体" w:hAnsi="宋体"/>
          <w:color w:val="000000" w:themeColor="text1"/>
        </w:rPr>
        <w:t>N/A”</w:t>
      </w:r>
      <w:r w:rsidRPr="00CB4B9E">
        <w:rPr>
          <w:rFonts w:ascii="宋体" w:hAnsi="宋体" w:hint="eastAsia"/>
          <w:color w:val="000000" w:themeColor="text1"/>
        </w:rPr>
        <w:t>。</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A0130.</w:t>
      </w:r>
      <w:r w:rsidRPr="00CB4B9E">
        <w:rPr>
          <w:rFonts w:ascii="黑体" w:eastAsia="黑体" w:hint="eastAsia"/>
          <w:color w:val="000000" w:themeColor="text1"/>
          <w:szCs w:val="21"/>
        </w:rPr>
        <w:t>本机构持股（份额）数量：</w:t>
      </w:r>
      <w:r w:rsidRPr="00CB4B9E">
        <w:rPr>
          <w:rFonts w:ascii="宋体" w:hAnsi="宋体" w:hint="eastAsia"/>
          <w:color w:val="000000" w:themeColor="text1"/>
        </w:rPr>
        <w:t>指对应月度末，本机构持有的境外被投资机构可流通股票的</w:t>
      </w:r>
      <w:r w:rsidRPr="00CB4B9E">
        <w:rPr>
          <w:rFonts w:ascii="宋体" w:hAnsi="宋体" w:hint="eastAsia"/>
          <w:color w:val="000000" w:themeColor="text1"/>
        </w:rPr>
        <w:lastRenderedPageBreak/>
        <w:t>股数以及可流通投资基金份额的份数。如无可流通股票或基金份额，此项为零。</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A0131</w:t>
      </w:r>
      <w:r w:rsidRPr="00CB4B9E">
        <w:rPr>
          <w:rFonts w:ascii="黑体" w:eastAsia="黑体" w:hint="eastAsia"/>
          <w:color w:val="000000" w:themeColor="text1"/>
          <w:szCs w:val="21"/>
        </w:rPr>
        <w:t>.每股（每份）市价：</w:t>
      </w:r>
      <w:r w:rsidRPr="00CB4B9E">
        <w:rPr>
          <w:rFonts w:ascii="宋体" w:hAnsi="宋体" w:hint="eastAsia"/>
          <w:color w:val="000000" w:themeColor="text1"/>
        </w:rPr>
        <w:t>指对应月度末最后一个股票交易日每股股票或基金份额的收盘价。如果本机构持有境外被投资机构多个市场发行的股票或基金份额，应按照不同上市地的计价币种和股票</w:t>
      </w:r>
      <w:r w:rsidRPr="00CB4B9E">
        <w:rPr>
          <w:rFonts w:ascii="宋体" w:hAnsi="宋体"/>
          <w:color w:val="000000" w:themeColor="text1"/>
        </w:rPr>
        <w:t>/份额</w:t>
      </w:r>
      <w:r w:rsidRPr="00CB4B9E">
        <w:rPr>
          <w:rFonts w:ascii="宋体" w:hAnsi="宋体" w:hint="eastAsia"/>
          <w:color w:val="000000" w:themeColor="text1"/>
        </w:rPr>
        <w:t>价格分别填报。对于非公开上市但存在月末市值重估的股权或基金份额，应填报相关估值金额。如无可流通股票</w:t>
      </w:r>
      <w:r w:rsidRPr="00CB4B9E">
        <w:rPr>
          <w:rFonts w:ascii="宋体" w:hAnsi="宋体"/>
          <w:color w:val="000000" w:themeColor="text1"/>
        </w:rPr>
        <w:t>/基金份额</w:t>
      </w:r>
      <w:r w:rsidRPr="00CB4B9E">
        <w:rPr>
          <w:rFonts w:ascii="宋体" w:hAnsi="宋体" w:hint="eastAsia"/>
          <w:color w:val="000000" w:themeColor="text1"/>
        </w:rPr>
        <w:t>，此项为零。</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A0132.</w:t>
      </w:r>
      <w:r w:rsidRPr="00CB4B9E">
        <w:rPr>
          <w:rFonts w:ascii="黑体" w:eastAsia="黑体" w:hAnsi="宋体" w:hint="eastAsia"/>
          <w:color w:val="000000" w:themeColor="text1"/>
        </w:rPr>
        <w:t>投资</w:t>
      </w:r>
      <w:r w:rsidRPr="00CB4B9E">
        <w:rPr>
          <w:rFonts w:ascii="黑体" w:eastAsia="黑体" w:hint="eastAsia"/>
          <w:color w:val="000000" w:themeColor="text1"/>
          <w:szCs w:val="21"/>
        </w:rPr>
        <w:t>日期</w:t>
      </w:r>
      <w:r w:rsidRPr="00CB4B9E">
        <w:rPr>
          <w:rFonts w:ascii="黑体" w:eastAsia="黑体" w:hAnsi="宋体" w:hint="eastAsia"/>
          <w:color w:val="000000" w:themeColor="text1"/>
        </w:rPr>
        <w:t>：</w:t>
      </w:r>
      <w:r w:rsidRPr="00CB4B9E">
        <w:rPr>
          <w:rFonts w:ascii="宋体" w:hAnsi="宋体" w:hint="eastAsia"/>
          <w:color w:val="000000" w:themeColor="text1"/>
        </w:rPr>
        <w:t>按对应月度内，本机构对境外被投资机构股权或基金份额投资的实际发生日期填报（如某年某月某日）。如相关投资采用的二级市场买卖股票或基金份额形式，且无法确切逐笔记录，投资日期应填报为对应月份。</w:t>
      </w:r>
    </w:p>
    <w:p w:rsidR="00797FC1" w:rsidRPr="009263D7"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A0133.投资币种（原币）：</w:t>
      </w:r>
      <w:r w:rsidRPr="00CB4B9E">
        <w:rPr>
          <w:rFonts w:ascii="宋体" w:hAnsi="宋体" w:hint="eastAsia"/>
          <w:color w:val="000000" w:themeColor="text1"/>
        </w:rPr>
        <w:t>按照本机构投向境外被投资机构的原始币种填报。如投资涉及多个币种，应按照币种分别填报。请参照数据采集规范最新版本中的相关代码表填报。</w:t>
      </w:r>
    </w:p>
    <w:p w:rsidR="00CD6242" w:rsidRPr="009263D7" w:rsidDel="00CD6242" w:rsidRDefault="00CB4B9E" w:rsidP="00CD6242">
      <w:pPr>
        <w:spacing w:line="360" w:lineRule="auto"/>
        <w:ind w:firstLineChars="200" w:firstLine="420"/>
        <w:jc w:val="left"/>
        <w:rPr>
          <w:rFonts w:ascii="黑体" w:eastAsia="黑体"/>
          <w:color w:val="000000" w:themeColor="text1"/>
          <w:szCs w:val="21"/>
        </w:rPr>
      </w:pPr>
      <w:r w:rsidRPr="00CB4B9E">
        <w:rPr>
          <w:rFonts w:ascii="黑体" w:eastAsia="黑体"/>
          <w:color w:val="000000" w:themeColor="text1"/>
          <w:szCs w:val="21"/>
        </w:rPr>
        <w:t>A0134.</w:t>
      </w:r>
      <w:r w:rsidRPr="00CB4B9E">
        <w:rPr>
          <w:rFonts w:ascii="黑体" w:eastAsia="黑体" w:hAnsi="宋体" w:hint="eastAsia"/>
          <w:color w:val="000000" w:themeColor="text1"/>
        </w:rPr>
        <w:t>投资金额增减（</w:t>
      </w:r>
      <w:r w:rsidRPr="00CB4B9E">
        <w:rPr>
          <w:rFonts w:ascii="黑体" w:eastAsia="黑体" w:hAnsi="宋体"/>
          <w:color w:val="000000" w:themeColor="text1"/>
        </w:rPr>
        <w:t>+或-）：</w:t>
      </w:r>
      <w:r w:rsidRPr="00CB4B9E">
        <w:rPr>
          <w:rFonts w:ascii="宋体" w:hAnsi="宋体" w:hint="eastAsia"/>
          <w:color w:val="000000" w:themeColor="text1"/>
        </w:rPr>
        <w:t>指对应月度内，本机构新增、追加、减少、撤回的股权投资，即以股票或股权、营运资金、利润转增资本或基金份额投资等股权类投资方式实际投入或撤回的金额，按实际投资的原始币种填列。其中，“</w:t>
      </w:r>
      <w:r w:rsidRPr="00CB4B9E">
        <w:rPr>
          <w:rFonts w:ascii="宋体" w:hAnsi="宋体"/>
          <w:color w:val="000000" w:themeColor="text1"/>
        </w:rPr>
        <w:t>+”指本机构新增或追加对境外</w:t>
      </w:r>
      <w:r w:rsidRPr="00CB4B9E">
        <w:rPr>
          <w:rFonts w:ascii="宋体" w:hAnsi="宋体" w:hint="eastAsia"/>
          <w:color w:val="000000" w:themeColor="text1"/>
        </w:rPr>
        <w:t>被投资机构的股权或基金份额投资，“</w:t>
      </w:r>
      <w:r w:rsidRPr="00CB4B9E">
        <w:rPr>
          <w:rFonts w:ascii="宋体" w:hAnsi="宋体"/>
          <w:color w:val="000000" w:themeColor="text1"/>
        </w:rPr>
        <w:t>-”指本机构减少或撤回对境外</w:t>
      </w:r>
      <w:r w:rsidRPr="00CB4B9E">
        <w:rPr>
          <w:rFonts w:ascii="宋体" w:hAnsi="宋体" w:hint="eastAsia"/>
          <w:color w:val="000000" w:themeColor="text1"/>
        </w:rPr>
        <w:t>被投资机构的股权或基金份额投资。如果出资方式为非现金形式，应以其公允价值记录。如果相关投资为非股权类投资，而是公司间借贷等债务类投资往来，则不应纳入本栏统计，应纳入</w:t>
      </w:r>
      <w:r w:rsidRPr="00CB4B9E">
        <w:rPr>
          <w:rFonts w:ascii="宋体" w:hAnsi="宋体"/>
          <w:color w:val="000000" w:themeColor="text1"/>
        </w:rPr>
        <w:t xml:space="preserve"> </w:t>
      </w:r>
      <w:r w:rsidRPr="00CB4B9E">
        <w:rPr>
          <w:rFonts w:ascii="宋体" w:hAnsi="宋体" w:hint="eastAsia"/>
          <w:color w:val="000000" w:themeColor="text1"/>
        </w:rPr>
        <w:t>“</w:t>
      </w:r>
      <w:r w:rsidRPr="00CB4B9E">
        <w:rPr>
          <w:rFonts w:ascii="宋体" w:hAnsi="宋体"/>
          <w:color w:val="000000" w:themeColor="text1"/>
        </w:rPr>
        <w:t>D表：</w:t>
      </w:r>
      <w:r w:rsidRPr="00CB4B9E">
        <w:rPr>
          <w:rFonts w:ascii="宋体" w:hAnsi="宋体" w:hint="eastAsia"/>
          <w:color w:val="000000" w:themeColor="text1"/>
        </w:rPr>
        <w:t>存贷款、应收应付款及非公司制机构股权等往来”统计。如为</w:t>
      </w:r>
      <w:r w:rsidRPr="00CB4B9E">
        <w:rPr>
          <w:rFonts w:ascii="宋体" w:hAnsi="宋体" w:hint="eastAsia"/>
          <w:color w:val="000000" w:themeColor="text1"/>
          <w:szCs w:val="21"/>
        </w:rPr>
        <w:t>可转债形式，则在转换前，统计为债务证券（纳入</w:t>
      </w:r>
      <w:r w:rsidRPr="00CB4B9E">
        <w:rPr>
          <w:rFonts w:ascii="宋体" w:hAnsi="宋体"/>
          <w:color w:val="000000" w:themeColor="text1"/>
          <w:szCs w:val="21"/>
        </w:rPr>
        <w:t>B02表统计）；转换后，统计为股本证券。</w:t>
      </w:r>
      <w:r w:rsidRPr="00CB4B9E">
        <w:rPr>
          <w:rFonts w:ascii="宋体" w:hAnsi="宋体" w:hint="eastAsia"/>
          <w:color w:val="000000" w:themeColor="text1"/>
        </w:rPr>
        <w:t>如采用二级市场买卖股票形式，且交易频繁无法逐笔记录，则可累计记录当月同一币种下对同一机构的投资变动额。</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A0135.</w:t>
      </w:r>
      <w:r w:rsidRPr="00CB4B9E">
        <w:rPr>
          <w:rFonts w:ascii="黑体" w:eastAsia="黑体" w:hint="eastAsia"/>
          <w:color w:val="000000" w:themeColor="text1"/>
          <w:szCs w:val="21"/>
        </w:rPr>
        <w:t xml:space="preserve"> 本机构持有表决权比例增减（％）：</w:t>
      </w:r>
      <w:r w:rsidRPr="00CB4B9E">
        <w:rPr>
          <w:rFonts w:ascii="宋体" w:hAnsi="宋体" w:hint="eastAsia"/>
          <w:color w:val="000000" w:themeColor="text1"/>
          <w:szCs w:val="21"/>
        </w:rPr>
        <w:t>本对应月度内，本机构持有境外被投资机构表决权比例的增减。其中，“</w:t>
      </w:r>
      <w:r w:rsidRPr="00CB4B9E">
        <w:rPr>
          <w:rFonts w:ascii="宋体" w:hAnsi="宋体"/>
          <w:color w:val="000000" w:themeColor="text1"/>
          <w:szCs w:val="21"/>
        </w:rPr>
        <w:t>+”指</w:t>
      </w:r>
      <w:r w:rsidRPr="00CB4B9E">
        <w:rPr>
          <w:rFonts w:ascii="宋体" w:hAnsi="宋体" w:hint="eastAsia"/>
          <w:color w:val="000000" w:themeColor="text1"/>
          <w:szCs w:val="21"/>
        </w:rPr>
        <w:t>本机构持有境外被投资机构的表决权比例增加，“</w:t>
      </w:r>
      <w:r w:rsidRPr="00CB4B9E">
        <w:rPr>
          <w:rFonts w:ascii="宋体" w:hAnsi="宋体"/>
          <w:color w:val="000000" w:themeColor="text1"/>
          <w:szCs w:val="21"/>
        </w:rPr>
        <w:t>-”指</w:t>
      </w:r>
      <w:r w:rsidRPr="00CB4B9E">
        <w:rPr>
          <w:rFonts w:ascii="宋体" w:hAnsi="宋体" w:hint="eastAsia"/>
          <w:color w:val="000000" w:themeColor="text1"/>
          <w:szCs w:val="21"/>
        </w:rPr>
        <w:t>本机构持有境外被投资机构表决权比例减少。对于没有独立的所有者权益或股权资本的境外分支机构，应比照全资境外子公司的情况填写。</w:t>
      </w:r>
    </w:p>
    <w:p w:rsidR="00673667" w:rsidRPr="009263D7" w:rsidRDefault="00CB4B9E" w:rsidP="001C21CA">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A0136.</w:t>
      </w:r>
      <w:r w:rsidRPr="00CB4B9E">
        <w:rPr>
          <w:rFonts w:ascii="黑体" w:eastAsia="黑体" w:hint="eastAsia"/>
          <w:color w:val="000000" w:themeColor="text1"/>
          <w:szCs w:val="21"/>
        </w:rPr>
        <w:t>是否兼并、收购：</w:t>
      </w:r>
      <w:r w:rsidRPr="00CB4B9E">
        <w:rPr>
          <w:rFonts w:ascii="宋体" w:hAnsi="宋体" w:hint="eastAsia"/>
          <w:color w:val="000000" w:themeColor="text1"/>
          <w:szCs w:val="21"/>
        </w:rPr>
        <w:t>指本月内的该笔投资是否为兼并、收购境外被投资机构的活动，请选择：①是，②否。其中，兼并指吸收合并，即本机构合并中国境外原独立于本机构（企业集团）的实体的行为。收购指本机构用现金或者有价证券等收购中国境外原独立于本机构（企业集团）的实体或项目，以获得对该境外实体或项目</w:t>
      </w:r>
      <w:r w:rsidRPr="00CB4B9E">
        <w:rPr>
          <w:rFonts w:ascii="宋体" w:hAnsi="宋体"/>
          <w:color w:val="000000" w:themeColor="text1"/>
          <w:szCs w:val="21"/>
        </w:rPr>
        <w:t>10%</w:t>
      </w:r>
      <w:r w:rsidRPr="00CB4B9E">
        <w:rPr>
          <w:rFonts w:ascii="宋体" w:hAnsi="宋体" w:hint="eastAsia"/>
          <w:color w:val="000000" w:themeColor="text1"/>
          <w:szCs w:val="21"/>
        </w:rPr>
        <w:t>及以上的所有权或</w:t>
      </w:r>
      <w:r w:rsidRPr="00CB4B9E">
        <w:rPr>
          <w:rFonts w:ascii="宋体" w:hAnsi="宋体"/>
          <w:color w:val="000000" w:themeColor="text1"/>
          <w:szCs w:val="21"/>
        </w:rPr>
        <w:t>50%以上的</w:t>
      </w:r>
      <w:r w:rsidRPr="00CB4B9E">
        <w:rPr>
          <w:rFonts w:ascii="宋体" w:hAnsi="宋体" w:hint="eastAsia"/>
          <w:color w:val="000000" w:themeColor="text1"/>
          <w:szCs w:val="21"/>
        </w:rPr>
        <w:t>控制权。兼并、收购包括但不限于场外协议购买、股票市场（含二级市场）购买等形式。</w:t>
      </w:r>
    </w:p>
    <w:p w:rsidR="00797FC1"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A0137</w:t>
      </w:r>
      <w:r w:rsidRPr="00CB4B9E">
        <w:rPr>
          <w:rFonts w:ascii="黑体" w:eastAsia="黑体" w:hint="eastAsia"/>
          <w:color w:val="000000" w:themeColor="text1"/>
          <w:szCs w:val="21"/>
        </w:rPr>
        <w:t>.出资方式：</w:t>
      </w:r>
      <w:r w:rsidRPr="00CB4B9E">
        <w:rPr>
          <w:rFonts w:ascii="宋体" w:hAnsi="宋体" w:hint="eastAsia"/>
          <w:color w:val="000000" w:themeColor="text1"/>
          <w:szCs w:val="21"/>
        </w:rPr>
        <w:t>指本月内的该笔投资，属于（</w:t>
      </w:r>
      <w:r w:rsidRPr="00CB4B9E">
        <w:rPr>
          <w:rFonts w:ascii="宋体" w:hAnsi="宋体"/>
          <w:color w:val="000000" w:themeColor="text1"/>
          <w:szCs w:val="21"/>
        </w:rPr>
        <w:t>1）现金</w:t>
      </w:r>
      <w:r w:rsidRPr="00CB4B9E">
        <w:rPr>
          <w:rFonts w:ascii="宋体" w:hAnsi="宋体" w:hint="eastAsia"/>
          <w:color w:val="000000" w:themeColor="text1"/>
          <w:szCs w:val="21"/>
        </w:rPr>
        <w:t>；（</w:t>
      </w:r>
      <w:r w:rsidRPr="00CB4B9E">
        <w:rPr>
          <w:rFonts w:ascii="宋体" w:hAnsi="宋体"/>
          <w:color w:val="000000" w:themeColor="text1"/>
          <w:szCs w:val="21"/>
        </w:rPr>
        <w:t>2）实物</w:t>
      </w:r>
      <w:r w:rsidRPr="00CB4B9E">
        <w:rPr>
          <w:rFonts w:ascii="宋体" w:hAnsi="宋体" w:hint="eastAsia"/>
          <w:color w:val="000000" w:themeColor="text1"/>
          <w:szCs w:val="21"/>
        </w:rPr>
        <w:t>；（</w:t>
      </w:r>
      <w:r w:rsidRPr="00CB4B9E">
        <w:rPr>
          <w:rFonts w:ascii="宋体" w:hAnsi="宋体"/>
          <w:color w:val="000000" w:themeColor="text1"/>
          <w:szCs w:val="21"/>
        </w:rPr>
        <w:t>3）无形资产</w:t>
      </w:r>
      <w:r w:rsidRPr="00CB4B9E">
        <w:rPr>
          <w:rFonts w:ascii="宋体" w:hAnsi="宋体" w:hint="eastAsia"/>
          <w:color w:val="000000" w:themeColor="text1"/>
          <w:szCs w:val="21"/>
        </w:rPr>
        <w:t>；（</w:t>
      </w:r>
      <w:r w:rsidRPr="00CB4B9E">
        <w:rPr>
          <w:rFonts w:ascii="宋体" w:hAnsi="宋体"/>
          <w:color w:val="000000" w:themeColor="text1"/>
          <w:szCs w:val="21"/>
        </w:rPr>
        <w:t>4）股权出资</w:t>
      </w:r>
      <w:r w:rsidRPr="00CB4B9E">
        <w:rPr>
          <w:rFonts w:ascii="宋体" w:hAnsi="宋体" w:hint="eastAsia"/>
          <w:color w:val="000000" w:themeColor="text1"/>
          <w:szCs w:val="21"/>
        </w:rPr>
        <w:t>；（</w:t>
      </w:r>
      <w:r w:rsidRPr="00CB4B9E">
        <w:rPr>
          <w:rFonts w:ascii="宋体" w:hAnsi="宋体"/>
          <w:color w:val="000000" w:themeColor="text1"/>
          <w:szCs w:val="21"/>
        </w:rPr>
        <w:t>5）其他。</w:t>
      </w:r>
    </w:p>
    <w:p w:rsidR="0038029C" w:rsidRPr="009263D7" w:rsidRDefault="00CB4B9E" w:rsidP="00797FC1">
      <w:pPr>
        <w:spacing w:line="360" w:lineRule="auto"/>
        <w:ind w:rightChars="154" w:right="323" w:firstLineChars="200" w:firstLine="420"/>
        <w:rPr>
          <w:rFonts w:ascii="黑体" w:eastAsia="黑体"/>
          <w:color w:val="000000" w:themeColor="text1"/>
          <w:szCs w:val="21"/>
        </w:rPr>
      </w:pPr>
      <w:r w:rsidRPr="00CB4B9E">
        <w:rPr>
          <w:rFonts w:ascii="黑体" w:eastAsia="黑体"/>
          <w:color w:val="000000" w:themeColor="text1"/>
          <w:szCs w:val="21"/>
        </w:rPr>
        <w:t>BIZCODE</w:t>
      </w:r>
      <w:r w:rsidRPr="00CB4B9E">
        <w:rPr>
          <w:rFonts w:ascii="黑体" w:eastAsia="黑体" w:hint="eastAsia"/>
          <w:color w:val="000000" w:themeColor="text1"/>
          <w:szCs w:val="21"/>
        </w:rPr>
        <w:t>业务编号</w:t>
      </w:r>
      <w:r w:rsidR="0038029C">
        <w:rPr>
          <w:rFonts w:ascii="黑体" w:eastAsia="黑体" w:hint="eastAsia"/>
          <w:color w:val="000000" w:themeColor="text1"/>
          <w:szCs w:val="21"/>
        </w:rPr>
        <w:t>:</w:t>
      </w:r>
      <w:r w:rsidRPr="00CB4B9E">
        <w:rPr>
          <w:rFonts w:ascii="宋体" w:hAnsi="宋体" w:hint="eastAsia"/>
          <w:color w:val="000000" w:themeColor="text1"/>
          <w:szCs w:val="21"/>
        </w:rPr>
        <w:t xml:space="preserve"> 该笔投资对应的资本项目系统中协议登记的业务编号</w:t>
      </w:r>
      <w:r w:rsidR="0038029C">
        <w:rPr>
          <w:rFonts w:ascii="宋体" w:hAnsi="宋体" w:hint="eastAsia"/>
          <w:color w:val="000000" w:themeColor="text1"/>
          <w:szCs w:val="21"/>
        </w:rPr>
        <w:t>。</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lastRenderedPageBreak/>
        <w:t xml:space="preserve">A0138. </w:t>
      </w:r>
      <w:r w:rsidRPr="00CB4B9E">
        <w:rPr>
          <w:rFonts w:ascii="黑体" w:eastAsia="黑体" w:hint="eastAsia"/>
          <w:color w:val="000000" w:themeColor="text1"/>
          <w:szCs w:val="21"/>
        </w:rPr>
        <w:t>备注：</w:t>
      </w:r>
      <w:r w:rsidRPr="00CB4B9E">
        <w:rPr>
          <w:rFonts w:ascii="宋体" w:hAnsi="宋体" w:hint="eastAsia"/>
          <w:color w:val="000000" w:themeColor="text1"/>
          <w:szCs w:val="21"/>
        </w:rPr>
        <w:t>其它需说明的情况（如与本表原则说明不一致的情况）。</w:t>
      </w:r>
    </w:p>
    <w:p w:rsidR="00797FC1" w:rsidRPr="009263D7" w:rsidRDefault="00797FC1" w:rsidP="00797FC1">
      <w:pPr>
        <w:widowControl/>
        <w:tabs>
          <w:tab w:val="num" w:pos="720"/>
          <w:tab w:val="left" w:pos="1080"/>
        </w:tabs>
        <w:spacing w:line="360" w:lineRule="auto"/>
        <w:ind w:firstLineChars="200" w:firstLine="482"/>
        <w:rPr>
          <w:rFonts w:ascii="黑体" w:eastAsia="黑体"/>
          <w:b/>
          <w:color w:val="000000" w:themeColor="text1"/>
          <w:sz w:val="24"/>
        </w:rPr>
      </w:pPr>
    </w:p>
    <w:p w:rsidR="00797FC1" w:rsidRPr="009263D7" w:rsidRDefault="00CB4B9E" w:rsidP="00EC1567">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A02表：外国来华直接投资（分为A02-1、A02-2、A02-3表）</w:t>
      </w:r>
    </w:p>
    <w:tbl>
      <w:tblPr>
        <w:tblW w:w="9440" w:type="dxa"/>
        <w:tblInd w:w="97" w:type="dxa"/>
        <w:tblLook w:val="04A0"/>
      </w:tblPr>
      <w:tblGrid>
        <w:gridCol w:w="4840"/>
        <w:gridCol w:w="4600"/>
      </w:tblGrid>
      <w:tr w:rsidR="00797FC1"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797FC1" w:rsidRPr="009263D7" w:rsidRDefault="00CB4B9E" w:rsidP="00B5693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797FC1" w:rsidRPr="009263D7" w:rsidRDefault="00CB4B9E" w:rsidP="00B5693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797FC1" w:rsidRPr="009263D7" w:rsidTr="008F6BA8">
        <w:trPr>
          <w:trHeight w:val="720"/>
        </w:trPr>
        <w:tc>
          <w:tcPr>
            <w:tcW w:w="4840" w:type="dxa"/>
            <w:tcBorders>
              <w:top w:val="nil"/>
              <w:left w:val="nil"/>
              <w:bottom w:val="single" w:sz="2" w:space="0" w:color="auto"/>
              <w:right w:val="single" w:sz="4" w:space="0" w:color="auto"/>
            </w:tcBorders>
            <w:shd w:val="clear" w:color="auto" w:fill="auto"/>
            <w:vAlign w:val="center"/>
          </w:tcPr>
          <w:p w:rsidR="00797FC1" w:rsidRPr="009263D7" w:rsidRDefault="00CB4B9E" w:rsidP="00FF282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 本统计期初或期末，</w:t>
            </w:r>
            <w:r w:rsidRPr="00CB4B9E">
              <w:rPr>
                <w:rFonts w:ascii="宋体" w:hAnsi="宋体" w:cs="宋体" w:hint="eastAsia"/>
                <w:color w:val="000000" w:themeColor="text1"/>
                <w:kern w:val="0"/>
                <w:sz w:val="18"/>
                <w:szCs w:val="18"/>
              </w:rPr>
              <w:t>非居民在境内设立的分支机构、子机构和联营或合营机构与境外投资者的股权投资往来。</w:t>
            </w:r>
          </w:p>
        </w:tc>
        <w:tc>
          <w:tcPr>
            <w:tcW w:w="4600" w:type="dxa"/>
            <w:tcBorders>
              <w:top w:val="nil"/>
              <w:left w:val="nil"/>
              <w:bottom w:val="single" w:sz="2" w:space="0" w:color="auto"/>
              <w:right w:val="nil"/>
            </w:tcBorders>
            <w:shd w:val="clear" w:color="auto" w:fill="auto"/>
            <w:vAlign w:val="center"/>
          </w:tcPr>
          <w:p w:rsidR="00797FC1" w:rsidRPr="009263D7" w:rsidRDefault="00CB4B9E" w:rsidP="00BA4162">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1. </w:t>
            </w:r>
            <w:r w:rsidRPr="00CB4B9E">
              <w:rPr>
                <w:rFonts w:ascii="宋体" w:hAnsi="宋体" w:cs="宋体" w:hint="eastAsia"/>
                <w:color w:val="000000" w:themeColor="text1"/>
                <w:kern w:val="0"/>
                <w:sz w:val="18"/>
                <w:szCs w:val="18"/>
              </w:rPr>
              <w:t>非居民在境内的分支机构、子机构和联营机构与境内的各类往来。</w:t>
            </w:r>
          </w:p>
        </w:tc>
      </w:tr>
      <w:tr w:rsidR="004C3F6F" w:rsidRPr="009263D7" w:rsidTr="008F6BA8">
        <w:trPr>
          <w:trHeight w:val="468"/>
        </w:trPr>
        <w:tc>
          <w:tcPr>
            <w:tcW w:w="4840" w:type="dxa"/>
            <w:tcBorders>
              <w:top w:val="single" w:sz="2" w:space="0" w:color="auto"/>
              <w:left w:val="nil"/>
              <w:bottom w:val="single" w:sz="2" w:space="0" w:color="auto"/>
              <w:right w:val="single" w:sz="2" w:space="0" w:color="auto"/>
            </w:tcBorders>
            <w:shd w:val="clear" w:color="auto" w:fill="auto"/>
            <w:vAlign w:val="center"/>
          </w:tcPr>
          <w:p w:rsidR="004C3F6F" w:rsidRPr="009263D7" w:rsidRDefault="00CB4B9E" w:rsidP="00C95B29">
            <w:pPr>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2. </w:t>
            </w:r>
            <w:r w:rsidRPr="00CB4B9E">
              <w:rPr>
                <w:rFonts w:ascii="宋体" w:hAnsi="宋体" w:cs="宋体" w:hint="eastAsia"/>
                <w:color w:val="000000" w:themeColor="text1"/>
                <w:kern w:val="0"/>
                <w:sz w:val="18"/>
                <w:szCs w:val="18"/>
              </w:rPr>
              <w:t>本统计期初或期末，非居民持有境内机构的普通股和有表决权的股份≥</w:t>
            </w:r>
            <w:r w:rsidRPr="00CB4B9E">
              <w:rPr>
                <w:rFonts w:ascii="宋体" w:hAnsi="宋体" w:cs="宋体"/>
                <w:color w:val="000000" w:themeColor="text1"/>
                <w:kern w:val="0"/>
                <w:sz w:val="18"/>
                <w:szCs w:val="18"/>
              </w:rPr>
              <w:t>10%。</w:t>
            </w:r>
          </w:p>
        </w:tc>
        <w:tc>
          <w:tcPr>
            <w:tcW w:w="4600" w:type="dxa"/>
            <w:tcBorders>
              <w:top w:val="single" w:sz="2" w:space="0" w:color="auto"/>
              <w:left w:val="single" w:sz="2" w:space="0" w:color="auto"/>
              <w:bottom w:val="single" w:sz="2" w:space="0" w:color="auto"/>
              <w:right w:val="nil"/>
            </w:tcBorders>
            <w:shd w:val="clear" w:color="auto" w:fill="auto"/>
            <w:vAlign w:val="center"/>
          </w:tcPr>
          <w:p w:rsidR="004C3F6F" w:rsidRPr="009263D7" w:rsidRDefault="00CB4B9E" w:rsidP="00C903ED">
            <w:pPr>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2.非居民持有本机构的普通股、有表决权的股份，但在统计期内其表决权比例持续&lt;10%。</w:t>
            </w:r>
          </w:p>
        </w:tc>
      </w:tr>
      <w:tr w:rsidR="004C3F6F" w:rsidRPr="009263D7" w:rsidTr="008F6BA8">
        <w:trPr>
          <w:trHeight w:val="468"/>
        </w:trPr>
        <w:tc>
          <w:tcPr>
            <w:tcW w:w="4840" w:type="dxa"/>
            <w:tcBorders>
              <w:top w:val="single" w:sz="2" w:space="0" w:color="auto"/>
              <w:left w:val="nil"/>
              <w:bottom w:val="single" w:sz="8" w:space="0" w:color="auto"/>
              <w:right w:val="single" w:sz="4" w:space="0" w:color="auto"/>
            </w:tcBorders>
            <w:shd w:val="clear" w:color="auto" w:fill="auto"/>
            <w:vAlign w:val="center"/>
          </w:tcPr>
          <w:p w:rsidR="004C3F6F" w:rsidRPr="009263D7" w:rsidRDefault="00CB4B9E" w:rsidP="00C95B29">
            <w:pPr>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3．本统计期初或期末，非居民持有境内发行的基金份额/单位比例达到或高于10%。</w:t>
            </w:r>
          </w:p>
        </w:tc>
        <w:tc>
          <w:tcPr>
            <w:tcW w:w="4600" w:type="dxa"/>
            <w:tcBorders>
              <w:top w:val="single" w:sz="2" w:space="0" w:color="auto"/>
              <w:left w:val="nil"/>
              <w:bottom w:val="single" w:sz="8" w:space="0" w:color="auto"/>
              <w:right w:val="nil"/>
            </w:tcBorders>
            <w:shd w:val="clear" w:color="auto" w:fill="auto"/>
            <w:vAlign w:val="center"/>
          </w:tcPr>
          <w:p w:rsidR="004C3F6F" w:rsidRPr="009263D7" w:rsidRDefault="00CB4B9E" w:rsidP="00C903ED">
            <w:pPr>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3．非居民持有本基金管理公司管理的基金份额/单位，但在统计期内其表决权比例持续低于10%。</w:t>
            </w:r>
          </w:p>
        </w:tc>
      </w:tr>
    </w:tbl>
    <w:p w:rsidR="00797FC1" w:rsidRPr="009263D7" w:rsidRDefault="00CB4B9E" w:rsidP="00797FC1">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A0201.</w:t>
      </w:r>
      <w:r w:rsidRPr="00CB4B9E">
        <w:rPr>
          <w:color w:val="000000" w:themeColor="text1"/>
        </w:rPr>
        <w:t xml:space="preserve"> </w:t>
      </w:r>
      <w:r w:rsidRPr="00CB4B9E">
        <w:rPr>
          <w:rFonts w:ascii="黑体" w:eastAsia="黑体" w:hAnsi="宋体" w:hint="eastAsia"/>
          <w:color w:val="000000" w:themeColor="text1"/>
          <w:szCs w:val="21"/>
        </w:rPr>
        <w:t>期末会计记账币种（原币）：</w:t>
      </w:r>
      <w:r w:rsidRPr="00CB4B9E">
        <w:rPr>
          <w:rFonts w:ascii="宋体" w:hAnsi="宋体" w:hint="eastAsia"/>
          <w:color w:val="000000" w:themeColor="text1"/>
          <w:szCs w:val="21"/>
        </w:rPr>
        <w:t>请按照本机构（被投资机构）合并会计账上的记账本位币（人民币）填列。该记账币种适用于从</w:t>
      </w:r>
      <w:r w:rsidRPr="00CB4B9E">
        <w:rPr>
          <w:rFonts w:ascii="宋体" w:hAnsi="宋体"/>
          <w:color w:val="000000" w:themeColor="text1"/>
          <w:szCs w:val="21"/>
        </w:rPr>
        <w:t>A0202-A0215</w:t>
      </w:r>
      <w:r w:rsidRPr="00CB4B9E">
        <w:rPr>
          <w:rFonts w:ascii="宋体" w:hAnsi="宋体" w:hint="eastAsia"/>
          <w:color w:val="000000" w:themeColor="text1"/>
          <w:szCs w:val="21"/>
        </w:rPr>
        <w:t>各项。</w:t>
      </w:r>
    </w:p>
    <w:p w:rsidR="00797FC1" w:rsidRPr="009263D7" w:rsidRDefault="00CB4B9E" w:rsidP="00797FC1">
      <w:pPr>
        <w:spacing w:line="360" w:lineRule="auto"/>
        <w:ind w:rightChars="154" w:right="323" w:firstLineChars="200" w:firstLine="420"/>
        <w:rPr>
          <w:rFonts w:ascii="黑体" w:eastAsia="黑体"/>
          <w:color w:val="000000" w:themeColor="text1"/>
          <w:szCs w:val="21"/>
        </w:rPr>
      </w:pPr>
      <w:r w:rsidRPr="00CB4B9E">
        <w:rPr>
          <w:rFonts w:ascii="黑体" w:eastAsia="黑体"/>
          <w:color w:val="000000" w:themeColor="text1"/>
        </w:rPr>
        <w:t xml:space="preserve">A0202. </w:t>
      </w:r>
      <w:r w:rsidRPr="00CB4B9E">
        <w:rPr>
          <w:rFonts w:ascii="黑体" w:eastAsia="黑体" w:hint="eastAsia"/>
          <w:color w:val="000000" w:themeColor="text1"/>
          <w:szCs w:val="21"/>
        </w:rPr>
        <w:t>期末资产：</w:t>
      </w:r>
      <w:r w:rsidRPr="00CB4B9E">
        <w:rPr>
          <w:rFonts w:ascii="宋体" w:hAnsi="宋体" w:hint="eastAsia"/>
          <w:color w:val="000000" w:themeColor="text1"/>
          <w:szCs w:val="21"/>
        </w:rPr>
        <w:t>指对应月度末，本机构合并资产负债表中的“资产总额”。</w:t>
      </w:r>
    </w:p>
    <w:p w:rsidR="00946106"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 xml:space="preserve">A0203. </w:t>
      </w:r>
      <w:r w:rsidRPr="00CB4B9E">
        <w:rPr>
          <w:rFonts w:ascii="黑体" w:eastAsia="黑体" w:hAnsi="宋体" w:hint="eastAsia"/>
          <w:color w:val="000000" w:themeColor="text1"/>
          <w:szCs w:val="21"/>
        </w:rPr>
        <w:t>期末</w:t>
      </w:r>
      <w:r w:rsidRPr="00CB4B9E">
        <w:rPr>
          <w:rFonts w:ascii="黑体" w:eastAsia="黑体" w:hint="eastAsia"/>
          <w:color w:val="000000" w:themeColor="text1"/>
          <w:szCs w:val="21"/>
        </w:rPr>
        <w:t>负债：</w:t>
      </w:r>
      <w:r w:rsidRPr="00CB4B9E">
        <w:rPr>
          <w:rFonts w:ascii="宋体" w:hAnsi="宋体" w:hint="eastAsia"/>
          <w:color w:val="000000" w:themeColor="text1"/>
          <w:szCs w:val="21"/>
        </w:rPr>
        <w:t>指对应月度末，本机构合并资产负债表中的“负债总额”。</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hint="eastAsia"/>
          <w:color w:val="000000" w:themeColor="text1"/>
          <w:szCs w:val="21"/>
        </w:rPr>
        <w:t>A0204.境外母公司拨付的营运资金：</w:t>
      </w:r>
      <w:r w:rsidRPr="00CB4B9E">
        <w:rPr>
          <w:rFonts w:ascii="宋体" w:hAnsi="宋体" w:hint="eastAsia"/>
          <w:color w:val="000000" w:themeColor="text1"/>
          <w:szCs w:val="21"/>
        </w:rPr>
        <w:t>对于境外投资者拨付给境内分支机构的“营运资金”，如本机构作为负债记录，则需在本项目中填报相关金额。如本机构作为权益记录，则应纳入</w:t>
      </w:r>
      <w:r w:rsidRPr="00CB4B9E">
        <w:rPr>
          <w:rFonts w:ascii="宋体" w:hAnsi="宋体"/>
          <w:color w:val="000000" w:themeColor="text1"/>
          <w:szCs w:val="21"/>
        </w:rPr>
        <w:t>A0205和A0206</w:t>
      </w:r>
      <w:r w:rsidRPr="00CB4B9E">
        <w:rPr>
          <w:rFonts w:ascii="宋体" w:hAnsi="宋体" w:hint="eastAsia"/>
          <w:color w:val="000000" w:themeColor="text1"/>
          <w:szCs w:val="21"/>
        </w:rPr>
        <w:t>下统计，而不应纳入本项统计。</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A0205.</w:t>
      </w:r>
      <w:r w:rsidRPr="00CB4B9E">
        <w:rPr>
          <w:rFonts w:ascii="黑体" w:eastAsia="黑体" w:hAnsi="宋体" w:hint="eastAsia"/>
          <w:color w:val="000000" w:themeColor="text1"/>
          <w:szCs w:val="21"/>
        </w:rPr>
        <w:t>期末归属于本机构全体股东的权益（总额）</w:t>
      </w:r>
      <w:r w:rsidRPr="00CB4B9E">
        <w:rPr>
          <w:rFonts w:ascii="黑体" w:eastAsia="黑体" w:hint="eastAsia"/>
          <w:color w:val="000000" w:themeColor="text1"/>
          <w:szCs w:val="21"/>
        </w:rPr>
        <w:t>：</w:t>
      </w:r>
      <w:r w:rsidRPr="00CB4B9E">
        <w:rPr>
          <w:rFonts w:ascii="宋体" w:hAnsi="宋体" w:hint="eastAsia"/>
          <w:color w:val="000000" w:themeColor="text1"/>
          <w:szCs w:val="21"/>
        </w:rPr>
        <w:t>指对应月度末，本机构合并“资产负债表”中归属于本机构全体股东的权益。该项应等于</w:t>
      </w:r>
      <w:r w:rsidRPr="00CB4B9E">
        <w:rPr>
          <w:rFonts w:ascii="宋体" w:hAnsi="宋体"/>
          <w:color w:val="000000" w:themeColor="text1"/>
          <w:szCs w:val="21"/>
        </w:rPr>
        <w:t>A0206至A0210项目的合计。</w:t>
      </w:r>
      <w:r w:rsidRPr="00CB4B9E">
        <w:rPr>
          <w:rFonts w:ascii="宋体" w:hAnsi="宋体" w:hint="eastAsia"/>
          <w:color w:val="000000" w:themeColor="text1"/>
          <w:szCs w:val="21"/>
        </w:rPr>
        <w:t>对于境外投资者在境内的分支机构，如其将境外投资者拨付的“营运资金”记录为权益，则应纳入本项目统计，而不应统计在</w:t>
      </w:r>
      <w:r w:rsidRPr="00CB4B9E">
        <w:rPr>
          <w:rFonts w:ascii="宋体" w:hAnsi="宋体"/>
          <w:color w:val="000000" w:themeColor="text1"/>
          <w:szCs w:val="21"/>
        </w:rPr>
        <w:t>A0204项下。</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A0206</w:t>
      </w:r>
      <w:r w:rsidRPr="00CB4B9E">
        <w:rPr>
          <w:rFonts w:ascii="黑体" w:eastAsia="黑体" w:hint="eastAsia"/>
          <w:color w:val="000000" w:themeColor="text1"/>
          <w:szCs w:val="21"/>
        </w:rPr>
        <w:t>.实收资本：</w:t>
      </w:r>
      <w:r w:rsidRPr="00CB4B9E">
        <w:rPr>
          <w:rFonts w:ascii="宋体" w:hAnsi="宋体" w:hint="eastAsia"/>
          <w:color w:val="000000" w:themeColor="text1"/>
          <w:szCs w:val="21"/>
        </w:rPr>
        <w:t>指期末归属于本机构全体股东的权益（总额）中的“实收资本”金额。对于境外投资者在境内的分支机构，如其将境外投资者拨付的“营运资金”记录为权益项目，则应纳入本项目统计，而不应统计在</w:t>
      </w:r>
      <w:r w:rsidRPr="00CB4B9E">
        <w:rPr>
          <w:rFonts w:ascii="宋体" w:hAnsi="宋体"/>
          <w:color w:val="000000" w:themeColor="text1"/>
          <w:szCs w:val="21"/>
        </w:rPr>
        <w:t>A0204项下。</w:t>
      </w:r>
    </w:p>
    <w:p w:rsidR="00797FC1" w:rsidRPr="009263D7" w:rsidRDefault="00CB4B9E" w:rsidP="00797FC1">
      <w:pPr>
        <w:spacing w:line="360" w:lineRule="auto"/>
        <w:ind w:rightChars="154" w:right="323" w:firstLineChars="200" w:firstLine="420"/>
        <w:rPr>
          <w:rFonts w:ascii="黑体" w:eastAsia="黑体"/>
          <w:color w:val="000000" w:themeColor="text1"/>
          <w:szCs w:val="21"/>
        </w:rPr>
      </w:pPr>
      <w:r w:rsidRPr="00CB4B9E">
        <w:rPr>
          <w:rFonts w:ascii="黑体" w:eastAsia="黑体"/>
          <w:color w:val="000000" w:themeColor="text1"/>
          <w:szCs w:val="21"/>
        </w:rPr>
        <w:t>A0207</w:t>
      </w:r>
      <w:r w:rsidRPr="00CB4B9E">
        <w:rPr>
          <w:rFonts w:ascii="黑体" w:eastAsia="黑体" w:hint="eastAsia"/>
          <w:color w:val="000000" w:themeColor="text1"/>
          <w:szCs w:val="21"/>
        </w:rPr>
        <w:t>.资本公积：</w:t>
      </w:r>
      <w:r w:rsidRPr="00CB4B9E">
        <w:rPr>
          <w:rFonts w:ascii="宋体" w:hAnsi="宋体" w:hint="eastAsia"/>
          <w:color w:val="000000" w:themeColor="text1"/>
          <w:szCs w:val="21"/>
        </w:rPr>
        <w:t>指期末归属于本机构全体股东的权益（总额）中的“资本公积”金额。是指本机构收到投资者出资额超出其在注册资本（或股本）中所占份额的部分，以及直接计入所有者权益的利得和损失等。</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A0208</w:t>
      </w:r>
      <w:r w:rsidRPr="00CB4B9E">
        <w:rPr>
          <w:rFonts w:ascii="黑体" w:eastAsia="黑体" w:hint="eastAsia"/>
          <w:color w:val="000000" w:themeColor="text1"/>
          <w:szCs w:val="21"/>
        </w:rPr>
        <w:t>.盈余公积：</w:t>
      </w:r>
      <w:r w:rsidRPr="00CB4B9E">
        <w:rPr>
          <w:rFonts w:ascii="宋体" w:hAnsi="宋体" w:hint="eastAsia"/>
          <w:color w:val="000000" w:themeColor="text1"/>
          <w:szCs w:val="21"/>
        </w:rPr>
        <w:t>指期末归属于本机构全体股东的权益（总额）中的，按照规定从净利润中提取的各种积累资金，包括法定盈余公积和任意盈余公积。</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A0209</w:t>
      </w:r>
      <w:r w:rsidRPr="00CB4B9E">
        <w:rPr>
          <w:rFonts w:ascii="黑体" w:eastAsia="黑体" w:hint="eastAsia"/>
          <w:color w:val="000000" w:themeColor="text1"/>
          <w:szCs w:val="21"/>
        </w:rPr>
        <w:t>.未分配利润：</w:t>
      </w:r>
      <w:r w:rsidRPr="00CB4B9E">
        <w:rPr>
          <w:rFonts w:ascii="宋体" w:hAnsi="宋体" w:hint="eastAsia"/>
          <w:color w:val="000000" w:themeColor="text1"/>
          <w:szCs w:val="21"/>
        </w:rPr>
        <w:t>指期末归属于本机构全体股东的权益（总额）中未分配利润总额。</w:t>
      </w:r>
    </w:p>
    <w:p w:rsidR="00867B5E"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A0210</w:t>
      </w:r>
      <w:r w:rsidRPr="00CB4B9E">
        <w:rPr>
          <w:rFonts w:ascii="黑体" w:eastAsia="黑体" w:hint="eastAsia"/>
          <w:color w:val="000000" w:themeColor="text1"/>
          <w:szCs w:val="21"/>
        </w:rPr>
        <w:t>.其他：</w:t>
      </w:r>
      <w:r w:rsidRPr="00CB4B9E">
        <w:rPr>
          <w:rFonts w:ascii="宋体" w:hAnsi="宋体" w:hint="eastAsia"/>
          <w:color w:val="000000" w:themeColor="text1"/>
          <w:szCs w:val="21"/>
        </w:rPr>
        <w:t>指期末归属于本机构全体股东的权益（总额）下，未涵盖在</w:t>
      </w:r>
      <w:r w:rsidRPr="00CB4B9E">
        <w:rPr>
          <w:rFonts w:ascii="宋体" w:hAnsi="宋体"/>
          <w:color w:val="000000" w:themeColor="text1"/>
          <w:szCs w:val="21"/>
        </w:rPr>
        <w:t>A0206-A0209</w:t>
      </w:r>
      <w:r w:rsidRPr="00CB4B9E">
        <w:rPr>
          <w:rFonts w:ascii="宋体" w:hAnsi="宋体" w:hint="eastAsia"/>
          <w:color w:val="000000" w:themeColor="text1"/>
          <w:szCs w:val="21"/>
        </w:rPr>
        <w:t>项下的部分，包括但不限于一般准备、外币报表折算差额等。</w:t>
      </w:r>
    </w:p>
    <w:p w:rsidR="00F71372"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lastRenderedPageBreak/>
        <w:t xml:space="preserve">A0211. </w:t>
      </w:r>
      <w:r w:rsidRPr="00CB4B9E">
        <w:rPr>
          <w:rFonts w:ascii="黑体" w:eastAsia="黑体" w:hint="eastAsia"/>
          <w:color w:val="000000" w:themeColor="text1"/>
          <w:szCs w:val="21"/>
        </w:rPr>
        <w:t>期末少数股东权益：</w:t>
      </w:r>
      <w:r w:rsidRPr="00CB4B9E">
        <w:rPr>
          <w:rFonts w:ascii="宋体" w:hAnsi="宋体" w:hint="eastAsia"/>
          <w:color w:val="000000" w:themeColor="text1"/>
          <w:szCs w:val="21"/>
        </w:rPr>
        <w:t>指本机构合并资产负债表中的少数股东权益。</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color w:val="000000" w:themeColor="text1"/>
          <w:szCs w:val="21"/>
        </w:rPr>
        <w:t>A0212.</w:t>
      </w:r>
      <w:r w:rsidRPr="00CB4B9E">
        <w:rPr>
          <w:rFonts w:ascii="黑体" w:eastAsia="黑体" w:hAnsi="宋体"/>
          <w:color w:val="000000" w:themeColor="text1"/>
        </w:rPr>
        <w:t xml:space="preserve"> </w:t>
      </w:r>
      <w:r w:rsidRPr="00CB4B9E">
        <w:rPr>
          <w:rFonts w:ascii="黑体" w:eastAsia="黑体" w:hAnsi="宋体" w:hint="eastAsia"/>
          <w:color w:val="000000" w:themeColor="text1"/>
        </w:rPr>
        <w:t>本期利润总额：</w:t>
      </w:r>
      <w:r w:rsidRPr="00CB4B9E">
        <w:rPr>
          <w:rFonts w:ascii="宋体" w:hAnsi="宋体" w:hint="eastAsia"/>
          <w:color w:val="000000" w:themeColor="text1"/>
          <w:szCs w:val="21"/>
        </w:rPr>
        <w:t>指当月本机构合并损益表中的“利润总额（税前）”。指当月数，而非累计数。</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color w:val="000000" w:themeColor="text1"/>
          <w:szCs w:val="21"/>
        </w:rPr>
        <w:t>A0213.</w:t>
      </w:r>
      <w:r w:rsidRPr="00CB4B9E">
        <w:rPr>
          <w:rFonts w:ascii="黑体" w:eastAsia="黑体" w:hAnsi="宋体"/>
          <w:color w:val="000000" w:themeColor="text1"/>
        </w:rPr>
        <w:t xml:space="preserve"> </w:t>
      </w:r>
      <w:r w:rsidRPr="00CB4B9E">
        <w:rPr>
          <w:rFonts w:ascii="黑体" w:eastAsia="黑体" w:hint="eastAsia"/>
          <w:color w:val="000000" w:themeColor="text1"/>
          <w:szCs w:val="21"/>
        </w:rPr>
        <w:t>本期本机构全体股东应享净利润：</w:t>
      </w:r>
      <w:r w:rsidRPr="00CB4B9E">
        <w:rPr>
          <w:rFonts w:ascii="宋体" w:hAnsi="宋体" w:hint="eastAsia"/>
          <w:color w:val="000000" w:themeColor="text1"/>
        </w:rPr>
        <w:t>指当月</w:t>
      </w:r>
      <w:r w:rsidRPr="00CB4B9E">
        <w:rPr>
          <w:rFonts w:ascii="宋体" w:hAnsi="宋体" w:hint="eastAsia"/>
          <w:color w:val="000000" w:themeColor="text1"/>
          <w:szCs w:val="21"/>
        </w:rPr>
        <w:t>本机构合并损益表中</w:t>
      </w:r>
      <w:r w:rsidRPr="00CB4B9E">
        <w:rPr>
          <w:rFonts w:ascii="宋体" w:hAnsi="宋体" w:hint="eastAsia"/>
          <w:color w:val="000000" w:themeColor="text1"/>
        </w:rPr>
        <w:t>的归属于本机构全体股东的净利润。</w:t>
      </w:r>
    </w:p>
    <w:p w:rsidR="00797FC1" w:rsidRPr="009263D7" w:rsidRDefault="00CB4B9E" w:rsidP="00192CD5">
      <w:pPr>
        <w:spacing w:line="360" w:lineRule="auto"/>
        <w:ind w:firstLineChars="200" w:firstLine="420"/>
        <w:jc w:val="left"/>
        <w:rPr>
          <w:rFonts w:ascii="黑体" w:eastAsia="黑体"/>
          <w:color w:val="000000" w:themeColor="text1"/>
          <w:szCs w:val="21"/>
        </w:rPr>
      </w:pPr>
      <w:r w:rsidRPr="00CB4B9E">
        <w:rPr>
          <w:rFonts w:ascii="黑体" w:eastAsia="黑体"/>
          <w:color w:val="000000" w:themeColor="text1"/>
          <w:szCs w:val="21"/>
        </w:rPr>
        <w:t>A0214.</w:t>
      </w:r>
      <w:r w:rsidRPr="00CB4B9E">
        <w:rPr>
          <w:color w:val="000000" w:themeColor="text1"/>
        </w:rPr>
        <w:t xml:space="preserve"> </w:t>
      </w:r>
      <w:r w:rsidRPr="00CB4B9E">
        <w:rPr>
          <w:rFonts w:ascii="黑体" w:eastAsia="黑体" w:hAnsi="宋体" w:hint="eastAsia"/>
          <w:color w:val="000000" w:themeColor="text1"/>
        </w:rPr>
        <w:t>本期本机构分配给（全体股东）的利润：</w:t>
      </w:r>
      <w:r w:rsidRPr="00CB4B9E">
        <w:rPr>
          <w:rFonts w:ascii="宋体" w:hAnsi="宋体" w:hint="eastAsia"/>
          <w:color w:val="000000" w:themeColor="text1"/>
          <w:szCs w:val="21"/>
        </w:rPr>
        <w:t>指当月本机构宣告分配给全体股东的利润。</w:t>
      </w:r>
    </w:p>
    <w:p w:rsidR="00797FC1" w:rsidRPr="009263D7" w:rsidRDefault="00CB4B9E" w:rsidP="00797FC1">
      <w:pPr>
        <w:spacing w:line="360" w:lineRule="auto"/>
        <w:ind w:rightChars="154" w:right="323" w:firstLineChars="200" w:firstLine="420"/>
        <w:rPr>
          <w:rFonts w:ascii="黑体" w:eastAsia="黑体" w:hAnsi="宋体"/>
          <w:color w:val="000000" w:themeColor="text1"/>
        </w:rPr>
      </w:pPr>
      <w:r w:rsidRPr="00CB4B9E">
        <w:rPr>
          <w:rFonts w:ascii="黑体" w:eastAsia="黑体"/>
          <w:color w:val="000000" w:themeColor="text1"/>
          <w:szCs w:val="21"/>
        </w:rPr>
        <w:t>A0215.</w:t>
      </w:r>
      <w:r w:rsidRPr="00CB4B9E">
        <w:rPr>
          <w:rFonts w:ascii="黑体" w:eastAsia="黑体" w:hAnsi="宋体" w:hint="eastAsia"/>
          <w:color w:val="000000" w:themeColor="text1"/>
        </w:rPr>
        <w:t>本机构在境内缴纳的税金总额：</w:t>
      </w:r>
      <w:r w:rsidRPr="00CB4B9E">
        <w:rPr>
          <w:rFonts w:ascii="宋体" w:hAnsi="宋体" w:hint="eastAsia"/>
          <w:color w:val="000000" w:themeColor="text1"/>
          <w:szCs w:val="21"/>
        </w:rPr>
        <w:t>指对应</w:t>
      </w:r>
      <w:r w:rsidRPr="00CB4B9E">
        <w:rPr>
          <w:rFonts w:ascii="宋体" w:hAnsi="宋体" w:hint="eastAsia"/>
          <w:color w:val="000000" w:themeColor="text1"/>
        </w:rPr>
        <w:t>年末，被境外投资者控股（持股＞</w:t>
      </w:r>
      <w:r w:rsidRPr="00CB4B9E">
        <w:rPr>
          <w:rFonts w:ascii="宋体" w:hAnsi="宋体"/>
          <w:color w:val="000000" w:themeColor="text1"/>
        </w:rPr>
        <w:t>50%）的</w:t>
      </w:r>
      <w:r w:rsidRPr="00CB4B9E">
        <w:rPr>
          <w:rFonts w:ascii="宋体" w:hAnsi="宋体" w:hint="eastAsia"/>
          <w:color w:val="000000" w:themeColor="text1"/>
        </w:rPr>
        <w:t>本</w:t>
      </w:r>
      <w:r w:rsidRPr="00CB4B9E">
        <w:rPr>
          <w:rFonts w:ascii="宋体" w:hAnsi="宋体" w:hint="eastAsia"/>
          <w:color w:val="000000" w:themeColor="text1"/>
          <w:szCs w:val="21"/>
        </w:rPr>
        <w:t>机构</w:t>
      </w:r>
      <w:r w:rsidRPr="00CB4B9E">
        <w:rPr>
          <w:rFonts w:ascii="宋体" w:hAnsi="宋体" w:hint="eastAsia"/>
          <w:color w:val="000000" w:themeColor="text1"/>
        </w:rPr>
        <w:t>按照中国大陆法律规定，在当地缴纳的各项税金之和，为当年累计发生数，按</w:t>
      </w:r>
      <w:r w:rsidRPr="00CB4B9E">
        <w:rPr>
          <w:rFonts w:ascii="宋体" w:hAnsi="宋体" w:hint="eastAsia"/>
          <w:color w:val="000000" w:themeColor="text1"/>
          <w:szCs w:val="21"/>
        </w:rPr>
        <w:t>本机构</w:t>
      </w:r>
      <w:r w:rsidRPr="00CB4B9E">
        <w:rPr>
          <w:rFonts w:ascii="宋体" w:hAnsi="宋体" w:hint="eastAsia"/>
          <w:color w:val="000000" w:themeColor="text1"/>
        </w:rPr>
        <w:t>会计账的记账本位币填列；</w:t>
      </w:r>
      <w:r w:rsidRPr="00CB4B9E">
        <w:rPr>
          <w:rFonts w:ascii="宋体" w:hAnsi="宋体" w:hint="eastAsia"/>
          <w:color w:val="000000" w:themeColor="text1"/>
          <w:szCs w:val="21"/>
        </w:rPr>
        <w:t>每年填报一次</w:t>
      </w:r>
      <w:r w:rsidR="004A1CC1">
        <w:rPr>
          <w:rFonts w:ascii="宋体" w:hAnsi="宋体" w:hint="eastAsia"/>
          <w:color w:val="000000" w:themeColor="text1"/>
          <w:szCs w:val="21"/>
        </w:rPr>
        <w:t>，</w:t>
      </w:r>
      <w:r w:rsidR="004A1CC1" w:rsidRPr="00A06CFC">
        <w:rPr>
          <w:rFonts w:ascii="宋体" w:hAnsi="宋体" w:hint="eastAsia"/>
          <w:color w:val="000000" w:themeColor="text1"/>
        </w:rPr>
        <w:t>仅需在报送</w:t>
      </w:r>
      <w:r w:rsidR="004A1CC1" w:rsidRPr="00A06CFC">
        <w:rPr>
          <w:rFonts w:ascii="宋体" w:hAnsi="宋体"/>
          <w:color w:val="000000" w:themeColor="text1"/>
        </w:rPr>
        <w:t>12</w:t>
      </w:r>
      <w:r w:rsidR="004A1CC1">
        <w:rPr>
          <w:rFonts w:ascii="宋体" w:hAnsi="宋体"/>
          <w:color w:val="000000" w:themeColor="text1"/>
        </w:rPr>
        <w:t>月报表时填列本年</w:t>
      </w:r>
      <w:r w:rsidR="004A1CC1">
        <w:rPr>
          <w:rFonts w:ascii="宋体" w:hAnsi="宋体" w:hint="eastAsia"/>
          <w:color w:val="000000" w:themeColor="text1"/>
        </w:rPr>
        <w:t>发生额</w:t>
      </w:r>
      <w:r w:rsidRPr="00CB4B9E">
        <w:rPr>
          <w:rFonts w:ascii="宋体" w:hAnsi="宋体" w:hint="eastAsia"/>
          <w:color w:val="000000" w:themeColor="text1"/>
        </w:rPr>
        <w:t>。如本机构未被境外投资者控股（持股≤</w:t>
      </w:r>
      <w:r w:rsidRPr="00CB4B9E">
        <w:rPr>
          <w:rFonts w:ascii="宋体" w:hAnsi="宋体"/>
          <w:color w:val="000000" w:themeColor="text1"/>
        </w:rPr>
        <w:t>50%</w:t>
      </w:r>
      <w:r w:rsidRPr="00CB4B9E">
        <w:rPr>
          <w:rFonts w:ascii="宋体" w:hAnsi="宋体" w:hint="eastAsia"/>
          <w:color w:val="000000" w:themeColor="text1"/>
        </w:rPr>
        <w:t>），不填报此项目。</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A0216</w:t>
      </w:r>
      <w:r w:rsidRPr="00CB4B9E">
        <w:rPr>
          <w:rFonts w:ascii="黑体" w:eastAsia="黑体" w:hint="eastAsia"/>
          <w:color w:val="000000" w:themeColor="text1"/>
          <w:szCs w:val="21"/>
        </w:rPr>
        <w:t>.年末从业人数（人）：</w:t>
      </w:r>
      <w:r w:rsidRPr="00CB4B9E">
        <w:rPr>
          <w:rFonts w:ascii="宋体" w:hAnsi="宋体" w:hint="eastAsia"/>
          <w:color w:val="000000" w:themeColor="text1"/>
        </w:rPr>
        <w:t>指对应年末，被境外投资者控股（持股＞</w:t>
      </w:r>
      <w:r w:rsidRPr="00CB4B9E">
        <w:rPr>
          <w:rFonts w:ascii="宋体" w:hAnsi="宋体"/>
          <w:color w:val="000000" w:themeColor="text1"/>
        </w:rPr>
        <w:t>50%）的</w:t>
      </w:r>
      <w:r w:rsidRPr="00CB4B9E">
        <w:rPr>
          <w:rFonts w:ascii="宋体" w:hAnsi="宋体" w:hint="eastAsia"/>
          <w:color w:val="000000" w:themeColor="text1"/>
          <w:szCs w:val="21"/>
        </w:rPr>
        <w:t>本机构</w:t>
      </w:r>
      <w:r w:rsidRPr="00CB4B9E">
        <w:rPr>
          <w:rFonts w:ascii="宋体" w:hAnsi="宋体" w:hint="eastAsia"/>
          <w:color w:val="000000" w:themeColor="text1"/>
        </w:rPr>
        <w:t>雇用的员工总数；</w:t>
      </w:r>
      <w:r w:rsidRPr="00CB4B9E">
        <w:rPr>
          <w:rFonts w:ascii="宋体" w:hAnsi="宋体" w:hint="eastAsia"/>
          <w:color w:val="000000" w:themeColor="text1"/>
          <w:szCs w:val="21"/>
        </w:rPr>
        <w:t>每年填报一次，</w:t>
      </w:r>
      <w:r w:rsidRPr="00CB4B9E">
        <w:rPr>
          <w:rFonts w:ascii="宋体" w:hAnsi="宋体" w:hint="eastAsia"/>
          <w:color w:val="000000" w:themeColor="text1"/>
        </w:rPr>
        <w:t>仅需在报送</w:t>
      </w:r>
      <w:r w:rsidRPr="00CB4B9E">
        <w:rPr>
          <w:rFonts w:ascii="宋体" w:hAnsi="宋体"/>
          <w:color w:val="000000" w:themeColor="text1"/>
        </w:rPr>
        <w:t>12月报表时填列本年末数</w:t>
      </w:r>
      <w:r w:rsidRPr="00CB4B9E">
        <w:rPr>
          <w:rFonts w:ascii="宋体" w:hAnsi="宋体" w:hint="eastAsia"/>
          <w:color w:val="000000" w:themeColor="text1"/>
        </w:rPr>
        <w:t>。如本机构未被境外投资者控股（</w:t>
      </w:r>
      <w:r w:rsidR="00186DE1">
        <w:rPr>
          <w:rFonts w:ascii="宋体" w:hAnsi="宋体" w:hint="eastAsia"/>
          <w:color w:val="000000" w:themeColor="text1"/>
        </w:rPr>
        <w:t>即</w:t>
      </w:r>
      <w:r w:rsidRPr="00CB4B9E">
        <w:rPr>
          <w:rFonts w:ascii="宋体" w:hAnsi="宋体" w:hint="eastAsia"/>
          <w:color w:val="000000" w:themeColor="text1"/>
        </w:rPr>
        <w:t>持股≤</w:t>
      </w:r>
      <w:r w:rsidRPr="00CB4B9E">
        <w:rPr>
          <w:rFonts w:ascii="宋体" w:hAnsi="宋体"/>
          <w:color w:val="000000" w:themeColor="text1"/>
        </w:rPr>
        <w:t>50%</w:t>
      </w:r>
      <w:r w:rsidRPr="00CB4B9E">
        <w:rPr>
          <w:rFonts w:ascii="宋体" w:hAnsi="宋体" w:hint="eastAsia"/>
          <w:color w:val="000000" w:themeColor="text1"/>
        </w:rPr>
        <w:t>），不填报此项目。</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 xml:space="preserve">A0217. </w:t>
      </w:r>
      <w:r w:rsidRPr="00CB4B9E">
        <w:rPr>
          <w:rFonts w:ascii="黑体" w:eastAsia="黑体" w:hint="eastAsia"/>
          <w:color w:val="000000" w:themeColor="text1"/>
          <w:szCs w:val="21"/>
        </w:rPr>
        <w:t>其中：外方雇员数（人）：</w:t>
      </w:r>
      <w:r w:rsidRPr="00CB4B9E">
        <w:rPr>
          <w:rFonts w:ascii="宋体" w:hAnsi="宋体" w:hint="eastAsia"/>
          <w:color w:val="000000" w:themeColor="text1"/>
        </w:rPr>
        <w:t>指对应年末，被境外投资者控股（持股＞</w:t>
      </w:r>
      <w:r w:rsidRPr="00CB4B9E">
        <w:rPr>
          <w:rFonts w:ascii="宋体" w:hAnsi="宋体"/>
          <w:color w:val="000000" w:themeColor="text1"/>
        </w:rPr>
        <w:t>50%）的</w:t>
      </w:r>
      <w:r w:rsidRPr="00CB4B9E">
        <w:rPr>
          <w:rFonts w:ascii="宋体" w:hAnsi="宋体" w:hint="eastAsia"/>
          <w:color w:val="000000" w:themeColor="text1"/>
        </w:rPr>
        <w:t>本机构所雇用的员工中，由外方投资者派出的雇员人数；</w:t>
      </w:r>
      <w:r w:rsidRPr="00CB4B9E">
        <w:rPr>
          <w:rFonts w:ascii="宋体" w:hAnsi="宋体" w:hint="eastAsia"/>
          <w:color w:val="000000" w:themeColor="text1"/>
          <w:szCs w:val="21"/>
        </w:rPr>
        <w:t>每年填报一次</w:t>
      </w:r>
      <w:r w:rsidR="004A1CC1">
        <w:rPr>
          <w:rFonts w:ascii="宋体" w:hAnsi="宋体" w:hint="eastAsia"/>
          <w:color w:val="000000" w:themeColor="text1"/>
          <w:szCs w:val="21"/>
        </w:rPr>
        <w:t>，</w:t>
      </w:r>
      <w:r w:rsidR="004A1CC1" w:rsidRPr="00A06CFC">
        <w:rPr>
          <w:rFonts w:ascii="宋体" w:hAnsi="宋体" w:hint="eastAsia"/>
          <w:color w:val="000000" w:themeColor="text1"/>
        </w:rPr>
        <w:t>仅需在报送</w:t>
      </w:r>
      <w:r w:rsidR="004A1CC1" w:rsidRPr="00A06CFC">
        <w:rPr>
          <w:rFonts w:ascii="宋体" w:hAnsi="宋体"/>
          <w:color w:val="000000" w:themeColor="text1"/>
        </w:rPr>
        <w:t>12月报表时填列本年末数</w:t>
      </w:r>
      <w:r w:rsidRPr="00CB4B9E">
        <w:rPr>
          <w:rFonts w:ascii="宋体" w:hAnsi="宋体" w:hint="eastAsia"/>
          <w:color w:val="000000" w:themeColor="text1"/>
        </w:rPr>
        <w:t>。如本机构未被境外投资者控股（持股≤</w:t>
      </w:r>
      <w:r w:rsidRPr="00CB4B9E">
        <w:rPr>
          <w:rFonts w:ascii="宋体" w:hAnsi="宋体"/>
          <w:color w:val="000000" w:themeColor="text1"/>
        </w:rPr>
        <w:t>50%</w:t>
      </w:r>
      <w:r w:rsidRPr="00CB4B9E">
        <w:rPr>
          <w:rFonts w:ascii="宋体" w:hAnsi="宋体" w:hint="eastAsia"/>
          <w:color w:val="000000" w:themeColor="text1"/>
        </w:rPr>
        <w:t>），不填报此项目。</w:t>
      </w:r>
    </w:p>
    <w:p w:rsidR="00797FC1" w:rsidRPr="009263D7"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A0218.境外投资者代码：</w:t>
      </w:r>
      <w:r w:rsidRPr="00CB4B9E">
        <w:rPr>
          <w:rFonts w:ascii="宋体" w:hAnsi="宋体" w:hint="eastAsia"/>
          <w:color w:val="000000" w:themeColor="text1"/>
          <w:szCs w:val="21"/>
        </w:rPr>
        <w:t>指可以唯一标识该境外投资者的代码，包括“</w:t>
      </w:r>
      <w:r w:rsidRPr="00CB4B9E">
        <w:rPr>
          <w:rFonts w:ascii="宋体" w:hAnsi="宋体"/>
          <w:color w:val="000000" w:themeColor="text1"/>
          <w:szCs w:val="21"/>
        </w:rPr>
        <w:t xml:space="preserve">SWIFT编码/股票证券代码/其他机构标识码” </w:t>
      </w:r>
      <w:r w:rsidRPr="00CB4B9E">
        <w:rPr>
          <w:rFonts w:ascii="宋体" w:hAnsi="宋体" w:hint="eastAsia"/>
          <w:color w:val="000000" w:themeColor="text1"/>
          <w:szCs w:val="21"/>
        </w:rPr>
        <w:t>等。如果该境外投资者为境外上市企业，代码前需注明交易所编码，如纽交所代码为</w:t>
      </w:r>
      <w:r w:rsidRPr="00CB4B9E">
        <w:rPr>
          <w:rFonts w:ascii="宋体" w:hAnsi="宋体"/>
          <w:color w:val="000000" w:themeColor="text1"/>
          <w:szCs w:val="21"/>
        </w:rPr>
        <w:t>NYSE；多个地区上市可以只填报主要上市地的代码；如只能填报其他机构标识码，需填报境内投资主体的金融机构代码，再加上公司或集团内部编码等。所谓境外投资者，指的是有以下投资活动的境外机构或个人，包括：（1）在境内设立或投资一级分支机构、子机构、联营机构</w:t>
      </w:r>
      <w:r w:rsidRPr="00CB4B9E">
        <w:rPr>
          <w:rFonts w:ascii="宋体" w:hAnsi="宋体" w:hint="eastAsia"/>
          <w:color w:val="000000" w:themeColor="text1"/>
          <w:szCs w:val="21"/>
        </w:rPr>
        <w:t>或合营机构，包括对上述境内机构的新设、追加、减少或撤回股权或营运资金投资，但境外机构在境内设立代表处不纳入本表统计；（</w:t>
      </w:r>
      <w:r w:rsidRPr="00CB4B9E">
        <w:rPr>
          <w:rFonts w:ascii="宋体" w:hAnsi="宋体"/>
          <w:color w:val="000000" w:themeColor="text1"/>
          <w:szCs w:val="21"/>
        </w:rPr>
        <w:t>2）在境内外证券市场买卖（含一级市场和二级市场）或场外协议买卖</w:t>
      </w:r>
      <w:r w:rsidRPr="00CB4B9E">
        <w:rPr>
          <w:rFonts w:ascii="宋体" w:hAnsi="宋体" w:hint="eastAsia"/>
          <w:color w:val="000000" w:themeColor="text1"/>
          <w:szCs w:val="21"/>
        </w:rPr>
        <w:t>本机构股权，且在本统计期初或期末，持有本机构表决权≥</w:t>
      </w:r>
      <w:r w:rsidRPr="00CB4B9E">
        <w:rPr>
          <w:rFonts w:ascii="宋体" w:hAnsi="宋体"/>
          <w:color w:val="000000" w:themeColor="text1"/>
          <w:szCs w:val="21"/>
        </w:rPr>
        <w:t>10%的</w:t>
      </w:r>
      <w:r w:rsidRPr="00CB4B9E">
        <w:rPr>
          <w:rFonts w:ascii="宋体" w:hAnsi="宋体" w:hint="eastAsia"/>
          <w:color w:val="000000" w:themeColor="text1"/>
          <w:szCs w:val="21"/>
        </w:rPr>
        <w:t>，但</w:t>
      </w:r>
      <w:r w:rsidRPr="00CB4B9E">
        <w:rPr>
          <w:rFonts w:ascii="宋体" w:hAnsi="宋体" w:hint="eastAsia"/>
          <w:color w:val="000000" w:themeColor="text1"/>
        </w:rPr>
        <w:t>境外结算代理机构（如香港中央结算（代理人））不是本机构的投资者</w:t>
      </w:r>
      <w:r w:rsidRPr="00CB4B9E">
        <w:rPr>
          <w:rFonts w:ascii="宋体" w:hAnsi="宋体" w:hint="eastAsia"/>
          <w:color w:val="000000" w:themeColor="text1"/>
          <w:szCs w:val="21"/>
        </w:rPr>
        <w:t>；（</w:t>
      </w:r>
      <w:r w:rsidRPr="00CB4B9E">
        <w:rPr>
          <w:rFonts w:ascii="宋体" w:hAnsi="宋体"/>
          <w:color w:val="000000" w:themeColor="text1"/>
          <w:szCs w:val="21"/>
        </w:rPr>
        <w:t>3）购买本机构境外发行的基金，且在本统计期初或期末，持有该境外基金份额或单位≥10%的。</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A0219.</w:t>
      </w:r>
      <w:r w:rsidRPr="00CB4B9E">
        <w:rPr>
          <w:color w:val="000000" w:themeColor="text1"/>
        </w:rPr>
        <w:t xml:space="preserve"> </w:t>
      </w:r>
      <w:r w:rsidRPr="00CB4B9E">
        <w:rPr>
          <w:rFonts w:ascii="黑体" w:eastAsia="黑体" w:hAnsi="宋体" w:hint="eastAsia"/>
          <w:color w:val="000000" w:themeColor="text1"/>
        </w:rPr>
        <w:t>境外投资者全称：</w:t>
      </w:r>
      <w:r w:rsidRPr="00CB4B9E">
        <w:rPr>
          <w:rFonts w:ascii="宋体" w:hAnsi="宋体" w:hint="eastAsia"/>
          <w:color w:val="000000" w:themeColor="text1"/>
          <w:szCs w:val="21"/>
        </w:rPr>
        <w:t>指上述境外投资者的中文名称及当地注册的英文名称，如为其他语言名称，可不填写外文名称，但必须填写中文名称。</w:t>
      </w:r>
    </w:p>
    <w:p w:rsidR="000C221E" w:rsidRPr="009263D7"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A0220.</w:t>
      </w:r>
      <w:r w:rsidRPr="00CB4B9E">
        <w:rPr>
          <w:rFonts w:ascii="宋体" w:hAnsi="宋体" w:cs="宋体"/>
          <w:color w:val="000000" w:themeColor="text1"/>
          <w:kern w:val="0"/>
          <w:sz w:val="18"/>
          <w:szCs w:val="18"/>
        </w:rPr>
        <w:t xml:space="preserve"> </w:t>
      </w:r>
      <w:r w:rsidRPr="00CB4B9E">
        <w:rPr>
          <w:rFonts w:ascii="黑体" w:eastAsia="黑体" w:hAnsi="宋体" w:hint="eastAsia"/>
          <w:color w:val="000000" w:themeColor="text1"/>
        </w:rPr>
        <w:t>境外投资者所属国家</w:t>
      </w:r>
      <w:r w:rsidRPr="00CB4B9E">
        <w:rPr>
          <w:rFonts w:ascii="黑体" w:eastAsia="黑体" w:hAnsi="宋体"/>
          <w:color w:val="000000" w:themeColor="text1"/>
        </w:rPr>
        <w:t>/地区</w:t>
      </w:r>
      <w:r w:rsidRPr="00CB4B9E">
        <w:rPr>
          <w:rFonts w:ascii="黑体" w:eastAsia="黑体" w:hAnsi="宋体" w:hint="eastAsia"/>
          <w:color w:val="000000" w:themeColor="text1"/>
        </w:rPr>
        <w:t>：</w:t>
      </w:r>
      <w:r w:rsidRPr="00CB4B9E">
        <w:rPr>
          <w:rFonts w:ascii="宋体" w:hAnsi="宋体" w:hint="eastAsia"/>
          <w:color w:val="000000" w:themeColor="text1"/>
        </w:rPr>
        <w:t>指上述境外投资者注册登记或常住（投资者为个人时）的国家或地区。</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lastRenderedPageBreak/>
        <w:t>A0221.境外投资者</w:t>
      </w:r>
      <w:r w:rsidRPr="00CB4B9E">
        <w:rPr>
          <w:rFonts w:ascii="黑体" w:eastAsia="黑体" w:hAnsi="宋体" w:hint="eastAsia"/>
          <w:color w:val="000000" w:themeColor="text1"/>
        </w:rPr>
        <w:t>所属行业：</w:t>
      </w:r>
      <w:r w:rsidRPr="00CB4B9E">
        <w:rPr>
          <w:rFonts w:ascii="宋体" w:hAnsi="宋体" w:hint="eastAsia"/>
          <w:color w:val="000000" w:themeColor="text1"/>
        </w:rPr>
        <w:t>请按以下九个子行业填列：①</w:t>
      </w:r>
      <w:r w:rsidRPr="00CB4B9E">
        <w:rPr>
          <w:rFonts w:ascii="宋体" w:hAnsi="宋体" w:hint="eastAsia"/>
          <w:color w:val="000000" w:themeColor="text1"/>
          <w:szCs w:val="21"/>
        </w:rPr>
        <w:t>银行；②证券公司（含证券公司、公募或私募基金、期货公司等以资本市场活动为主营业务的机构）；③保险公司；④财务公司；⑤其他类金融机构；⑥非金融类机构；⑦个人；⑧政府；⑨中央银行</w:t>
      </w:r>
      <w:r w:rsidRPr="00CB4B9E">
        <w:rPr>
          <w:rFonts w:ascii="宋体" w:hAnsi="宋体"/>
          <w:color w:val="000000" w:themeColor="text1"/>
          <w:szCs w:val="21"/>
        </w:rPr>
        <w:t>/货币当局</w:t>
      </w:r>
      <w:r w:rsidRPr="00CB4B9E">
        <w:rPr>
          <w:rFonts w:ascii="宋体" w:hAnsi="宋体" w:hint="eastAsia"/>
          <w:color w:val="000000" w:themeColor="text1"/>
          <w:szCs w:val="21"/>
        </w:rPr>
        <w:t>。请按境外投资者的主营业务归类。</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 xml:space="preserve">A0222. </w:t>
      </w:r>
      <w:r w:rsidRPr="00CB4B9E">
        <w:rPr>
          <w:rFonts w:ascii="黑体" w:eastAsia="黑体" w:hAnsi="宋体" w:hint="eastAsia"/>
          <w:color w:val="000000" w:themeColor="text1"/>
        </w:rPr>
        <w:t>境外投资者与本机构的关系：</w:t>
      </w:r>
      <w:r w:rsidRPr="00CB4B9E">
        <w:rPr>
          <w:rFonts w:ascii="宋体" w:hAnsi="宋体" w:hint="eastAsia"/>
          <w:color w:val="000000" w:themeColor="text1"/>
          <w:szCs w:val="21"/>
        </w:rPr>
        <w:t>指本机构是上述境外投资者的：①境内分支机构（非法人）②境内子机构（法人）（境外投资者持有本机构表决权</w:t>
      </w:r>
      <w:r w:rsidRPr="00CB4B9E">
        <w:rPr>
          <w:rFonts w:ascii="宋体" w:hAnsi="宋体" w:hint="eastAsia"/>
          <w:color w:val="000000" w:themeColor="text1"/>
        </w:rPr>
        <w:t>＞</w:t>
      </w:r>
      <w:r w:rsidRPr="00CB4B9E">
        <w:rPr>
          <w:rFonts w:ascii="宋体" w:hAnsi="宋体"/>
          <w:color w:val="000000" w:themeColor="text1"/>
        </w:rPr>
        <w:t>50%</w:t>
      </w:r>
      <w:r w:rsidRPr="00CB4B9E">
        <w:rPr>
          <w:rFonts w:ascii="宋体" w:hAnsi="宋体" w:hint="eastAsia"/>
          <w:color w:val="000000" w:themeColor="text1"/>
        </w:rPr>
        <w:t>）</w:t>
      </w:r>
      <w:r w:rsidRPr="00CB4B9E">
        <w:rPr>
          <w:rFonts w:ascii="宋体" w:hAnsi="宋体" w:hint="eastAsia"/>
          <w:color w:val="000000" w:themeColor="text1"/>
          <w:szCs w:val="21"/>
        </w:rPr>
        <w:t>；③境内联营或合营机构（法人）（境外投资者持有本机构表决权</w:t>
      </w:r>
      <w:r w:rsidRPr="00CB4B9E">
        <w:rPr>
          <w:rFonts w:ascii="宋体" w:hAnsi="宋体" w:hint="eastAsia"/>
          <w:color w:val="000000" w:themeColor="text1"/>
        </w:rPr>
        <w:t>≥</w:t>
      </w:r>
      <w:r w:rsidRPr="00CB4B9E">
        <w:rPr>
          <w:rFonts w:ascii="宋体" w:hAnsi="宋体"/>
          <w:color w:val="000000" w:themeColor="text1"/>
        </w:rPr>
        <w:t>10%，但</w:t>
      </w:r>
      <w:r w:rsidRPr="00CB4B9E">
        <w:rPr>
          <w:rFonts w:ascii="宋体" w:hAnsi="宋体" w:hint="eastAsia"/>
          <w:color w:val="000000" w:themeColor="text1"/>
          <w:szCs w:val="21"/>
        </w:rPr>
        <w:t>≤</w:t>
      </w:r>
      <w:r w:rsidRPr="00CB4B9E">
        <w:rPr>
          <w:rFonts w:ascii="宋体" w:hAnsi="宋体"/>
          <w:color w:val="000000" w:themeColor="text1"/>
          <w:szCs w:val="21"/>
        </w:rPr>
        <w:t>50%</w:t>
      </w:r>
      <w:r w:rsidRPr="00CB4B9E">
        <w:rPr>
          <w:rFonts w:ascii="宋体" w:hAnsi="宋体" w:hint="eastAsia"/>
          <w:color w:val="000000" w:themeColor="text1"/>
          <w:szCs w:val="21"/>
        </w:rPr>
        <w:t>）。</w:t>
      </w:r>
    </w:p>
    <w:p w:rsidR="00797FC1" w:rsidRPr="009263D7" w:rsidRDefault="00CB4B9E" w:rsidP="00797FC1">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A0223.</w:t>
      </w:r>
      <w:r w:rsidRPr="00CB4B9E">
        <w:rPr>
          <w:color w:val="000000" w:themeColor="text1"/>
        </w:rPr>
        <w:t xml:space="preserve"> </w:t>
      </w:r>
      <w:r w:rsidRPr="00CB4B9E">
        <w:rPr>
          <w:rFonts w:ascii="黑体" w:eastAsia="黑体" w:hAnsi="宋体" w:hint="eastAsia"/>
          <w:color w:val="000000" w:themeColor="text1"/>
        </w:rPr>
        <w:t>最终控制方全称：</w:t>
      </w:r>
      <w:r w:rsidRPr="00CB4B9E">
        <w:rPr>
          <w:rFonts w:ascii="宋体" w:hAnsi="宋体" w:hint="eastAsia"/>
          <w:color w:val="000000" w:themeColor="text1"/>
        </w:rPr>
        <w:t>对本机构具有最终控制权（通过控制权逐级传递）的母机构或个人的中文名称及当地注册的英文名称。如为其他语言名称，可不填写外文名称，但必须填写中文名称。</w:t>
      </w:r>
    </w:p>
    <w:p w:rsidR="007022F4"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 xml:space="preserve">A0224. </w:t>
      </w:r>
      <w:r w:rsidRPr="00CB4B9E">
        <w:rPr>
          <w:rFonts w:ascii="黑体" w:eastAsia="黑体" w:hAnsi="宋体" w:hint="eastAsia"/>
          <w:color w:val="000000" w:themeColor="text1"/>
        </w:rPr>
        <w:t>最终控制方所属国家</w:t>
      </w:r>
      <w:r w:rsidRPr="00CB4B9E">
        <w:rPr>
          <w:rFonts w:ascii="黑体" w:eastAsia="黑体" w:hAnsi="宋体"/>
          <w:color w:val="000000" w:themeColor="text1"/>
        </w:rPr>
        <w:t>/地区</w:t>
      </w:r>
      <w:r w:rsidRPr="00CB4B9E">
        <w:rPr>
          <w:rFonts w:ascii="黑体" w:eastAsia="黑体" w:hAnsi="宋体" w:hint="eastAsia"/>
          <w:color w:val="000000" w:themeColor="text1"/>
        </w:rPr>
        <w:t>：</w:t>
      </w:r>
      <w:r w:rsidRPr="00CB4B9E">
        <w:rPr>
          <w:rFonts w:ascii="宋体" w:hAnsi="宋体" w:hint="eastAsia"/>
          <w:color w:val="000000" w:themeColor="text1"/>
        </w:rPr>
        <w:t>指上述最终控制方注册登记或常驻（住）的国家或地区。</w:t>
      </w:r>
    </w:p>
    <w:p w:rsidR="00797FC1" w:rsidRPr="009263D7" w:rsidRDefault="00CB4B9E" w:rsidP="00797FC1">
      <w:pPr>
        <w:spacing w:line="360" w:lineRule="auto"/>
        <w:ind w:firstLineChars="200" w:firstLine="420"/>
        <w:jc w:val="left"/>
        <w:rPr>
          <w:color w:val="000000" w:themeColor="text1"/>
        </w:rPr>
      </w:pPr>
      <w:r w:rsidRPr="00CB4B9E">
        <w:rPr>
          <w:rFonts w:ascii="黑体" w:eastAsia="黑体" w:hAnsi="宋体"/>
          <w:color w:val="000000" w:themeColor="text1"/>
        </w:rPr>
        <w:t>A0225.</w:t>
      </w:r>
      <w:r w:rsidRPr="00CB4B9E">
        <w:rPr>
          <w:color w:val="000000" w:themeColor="text1"/>
        </w:rPr>
        <w:t xml:space="preserve"> </w:t>
      </w:r>
      <w:r w:rsidRPr="00CB4B9E">
        <w:rPr>
          <w:rFonts w:ascii="黑体" w:eastAsia="黑体" w:hAnsi="宋体" w:hint="eastAsia"/>
          <w:color w:val="000000" w:themeColor="text1"/>
        </w:rPr>
        <w:t>期末</w:t>
      </w:r>
      <w:r w:rsidRPr="00CB4B9E">
        <w:rPr>
          <w:rFonts w:ascii="黑体" w:eastAsia="黑体" w:hAnsi="宋体"/>
          <w:color w:val="000000" w:themeColor="text1"/>
        </w:rPr>
        <w:t>(外方)表决权比例(%)：</w:t>
      </w:r>
      <w:r w:rsidRPr="00CB4B9E">
        <w:rPr>
          <w:rFonts w:hint="eastAsia"/>
          <w:color w:val="000000" w:themeColor="text1"/>
        </w:rPr>
        <w:t>对应月度末，境外投资者在本机构经营管理等重大事项的决定权或投票权中所占比例。</w:t>
      </w:r>
    </w:p>
    <w:p w:rsidR="00797FC1" w:rsidRPr="009263D7"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A0226.期末(外方)持股比例(%)</w:t>
      </w:r>
      <w:r w:rsidRPr="00CB4B9E">
        <w:rPr>
          <w:rFonts w:ascii="黑体" w:eastAsia="黑体" w:hAnsi="宋体" w:hint="eastAsia"/>
          <w:color w:val="000000" w:themeColor="text1"/>
        </w:rPr>
        <w:t>：</w:t>
      </w:r>
      <w:r w:rsidRPr="00CB4B9E">
        <w:rPr>
          <w:rFonts w:ascii="宋体" w:hAnsi="宋体" w:hint="eastAsia"/>
          <w:color w:val="000000" w:themeColor="text1"/>
        </w:rPr>
        <w:t>对应月度末，对应境外投资者在本机构权益中所占的比例。对由于没有独立的所有者权益或股权资本的境内分支机构，应比照全资境内子公司的情况记录持股比例情况。如，</w:t>
      </w:r>
      <w:r w:rsidRPr="00CB4B9E">
        <w:rPr>
          <w:rFonts w:ascii="宋体" w:hAnsi="宋体"/>
          <w:color w:val="000000" w:themeColor="text1"/>
        </w:rPr>
        <w:t>100%为境外投资者所有的境内分支机构，外方持股比例为100%。</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A0227</w:t>
      </w:r>
      <w:r w:rsidRPr="00CB4B9E">
        <w:rPr>
          <w:rFonts w:ascii="黑体" w:eastAsia="黑体" w:hint="eastAsia"/>
          <w:color w:val="000000" w:themeColor="text1"/>
          <w:szCs w:val="21"/>
        </w:rPr>
        <w:t>.可流通股票（份额）的记账币种（原币）：</w:t>
      </w:r>
      <w:r w:rsidRPr="00CB4B9E">
        <w:rPr>
          <w:rFonts w:ascii="宋体" w:hAnsi="宋体" w:hint="eastAsia"/>
          <w:color w:val="000000" w:themeColor="text1"/>
        </w:rPr>
        <w:t>指对应月度末，境外投资者持有的本机构可流通股票或基金份额的记账币种。如无可流通股票或基金份额，此项填“</w:t>
      </w:r>
      <w:r w:rsidRPr="00CB4B9E">
        <w:rPr>
          <w:rFonts w:ascii="宋体" w:hAnsi="宋体"/>
          <w:color w:val="000000" w:themeColor="text1"/>
        </w:rPr>
        <w:t>N/A”</w:t>
      </w:r>
      <w:r w:rsidRPr="00CB4B9E">
        <w:rPr>
          <w:rFonts w:ascii="宋体" w:hAnsi="宋体" w:hint="eastAsia"/>
          <w:color w:val="000000" w:themeColor="text1"/>
        </w:rPr>
        <w:t>。</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A0228</w:t>
      </w:r>
      <w:r w:rsidRPr="00CB4B9E">
        <w:rPr>
          <w:rFonts w:ascii="黑体" w:eastAsia="黑体" w:hint="eastAsia"/>
          <w:color w:val="000000" w:themeColor="text1"/>
          <w:szCs w:val="21"/>
        </w:rPr>
        <w:t>.持股(份额)数量：</w:t>
      </w:r>
      <w:r w:rsidRPr="00CB4B9E">
        <w:rPr>
          <w:rFonts w:ascii="宋体" w:hAnsi="宋体" w:hint="eastAsia"/>
          <w:color w:val="000000" w:themeColor="text1"/>
        </w:rPr>
        <w:t>指对应月度末，境外投资者持有的本机构可流通股票的股数或基金份额的份数。如无可流通股票或基金份额，此项为零。</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A0229</w:t>
      </w:r>
      <w:r w:rsidRPr="00CB4B9E">
        <w:rPr>
          <w:rFonts w:ascii="黑体" w:eastAsia="黑体" w:hint="eastAsia"/>
          <w:color w:val="000000" w:themeColor="text1"/>
          <w:szCs w:val="21"/>
        </w:rPr>
        <w:t>.每股（每份）市价：</w:t>
      </w:r>
      <w:r w:rsidRPr="00CB4B9E">
        <w:rPr>
          <w:rFonts w:ascii="宋体" w:hAnsi="宋体" w:hint="eastAsia"/>
          <w:color w:val="000000" w:themeColor="text1"/>
        </w:rPr>
        <w:t>指对应月度末最后一个股票交易日每股股票或基金份额的收盘价。如果对应境外投资者持有本机构多个市场发行的股票或基金份额，应按照不同上市地的计价币种和股票或份额分别填报。对于非公开上市但存在月末市值重估的股权或基金份额，应填报相关估值金额。如无可流通股票或基金份额，此项为零。</w:t>
      </w:r>
    </w:p>
    <w:p w:rsidR="00797FC1" w:rsidRPr="009263D7" w:rsidRDefault="00CB4B9E" w:rsidP="00797FC1">
      <w:pPr>
        <w:spacing w:line="360" w:lineRule="auto"/>
        <w:ind w:rightChars="154" w:right="323" w:firstLineChars="200" w:firstLine="420"/>
        <w:rPr>
          <w:rFonts w:ascii="宋体" w:hAnsi="宋体"/>
          <w:color w:val="000000" w:themeColor="text1"/>
        </w:rPr>
      </w:pPr>
      <w:r w:rsidRPr="00CB4B9E">
        <w:rPr>
          <w:rFonts w:ascii="黑体" w:eastAsia="黑体"/>
          <w:color w:val="000000" w:themeColor="text1"/>
          <w:szCs w:val="21"/>
        </w:rPr>
        <w:t>A0230.</w:t>
      </w:r>
      <w:r w:rsidRPr="00CB4B9E">
        <w:rPr>
          <w:rFonts w:ascii="黑体" w:eastAsia="黑体" w:hAnsi="宋体" w:hint="eastAsia"/>
          <w:color w:val="000000" w:themeColor="text1"/>
        </w:rPr>
        <w:t>投资</w:t>
      </w:r>
      <w:r w:rsidRPr="00CB4B9E">
        <w:rPr>
          <w:rFonts w:ascii="黑体" w:eastAsia="黑体" w:hint="eastAsia"/>
          <w:color w:val="000000" w:themeColor="text1"/>
          <w:szCs w:val="21"/>
        </w:rPr>
        <w:t>日期</w:t>
      </w:r>
      <w:r w:rsidRPr="00CB4B9E">
        <w:rPr>
          <w:rFonts w:ascii="黑体" w:eastAsia="黑体" w:hAnsi="宋体" w:hint="eastAsia"/>
          <w:color w:val="000000" w:themeColor="text1"/>
        </w:rPr>
        <w:t>：</w:t>
      </w:r>
      <w:r w:rsidRPr="00CB4B9E">
        <w:rPr>
          <w:rFonts w:ascii="宋体" w:hAnsi="宋体" w:hint="eastAsia"/>
          <w:color w:val="000000" w:themeColor="text1"/>
        </w:rPr>
        <w:t>按对应月度内，境外投资者投资本机构的实际发生日期填报（如某年某月某日）。如相关投资采用的二级市场买卖股票或基金份额形式，且交易频繁无法确切逐笔记录，投资日期应填报为对应月份。</w:t>
      </w:r>
    </w:p>
    <w:p w:rsidR="00797FC1" w:rsidRPr="009263D7" w:rsidRDefault="00CB4B9E" w:rsidP="00797FC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A0231.投资币种（原币）：</w:t>
      </w:r>
      <w:r w:rsidRPr="00CB4B9E">
        <w:rPr>
          <w:rFonts w:ascii="宋体" w:hAnsi="宋体" w:hint="eastAsia"/>
          <w:color w:val="000000" w:themeColor="text1"/>
        </w:rPr>
        <w:t>按照境外投资者投资本机构的原币币种填报。如投资涉及多个币种，应按照币种分别填报。请参照数据采集规范最新版本中的相关代码表填报。</w:t>
      </w:r>
    </w:p>
    <w:p w:rsidR="00CD6242" w:rsidRPr="009263D7" w:rsidDel="00CD6242" w:rsidRDefault="00CB4B9E" w:rsidP="00CD6242">
      <w:pPr>
        <w:spacing w:line="360" w:lineRule="auto"/>
        <w:ind w:firstLineChars="200" w:firstLine="420"/>
        <w:jc w:val="left"/>
        <w:rPr>
          <w:rFonts w:ascii="黑体" w:eastAsia="黑体" w:hAnsi="宋体"/>
          <w:color w:val="000000" w:themeColor="text1"/>
        </w:rPr>
      </w:pPr>
      <w:r w:rsidRPr="00CB4B9E">
        <w:rPr>
          <w:rFonts w:ascii="黑体" w:eastAsia="黑体"/>
          <w:color w:val="000000" w:themeColor="text1"/>
          <w:szCs w:val="21"/>
        </w:rPr>
        <w:t>A0232.</w:t>
      </w:r>
      <w:r w:rsidRPr="00CB4B9E">
        <w:rPr>
          <w:rFonts w:ascii="黑体" w:eastAsia="黑体" w:hAnsi="宋体" w:hint="eastAsia"/>
          <w:color w:val="000000" w:themeColor="text1"/>
        </w:rPr>
        <w:t>投资金额增减（</w:t>
      </w:r>
      <w:r w:rsidRPr="00CB4B9E">
        <w:rPr>
          <w:rFonts w:ascii="黑体" w:eastAsia="黑体" w:hAnsi="宋体"/>
          <w:color w:val="000000" w:themeColor="text1"/>
        </w:rPr>
        <w:t>+或-）：</w:t>
      </w:r>
      <w:r w:rsidRPr="00CB4B9E">
        <w:rPr>
          <w:rFonts w:ascii="宋体" w:hAnsi="宋体" w:hint="eastAsia"/>
          <w:color w:val="000000" w:themeColor="text1"/>
        </w:rPr>
        <w:t>指对应月度内，境外投资者新增、追加、减少、撤回的股权或基金份额投资，即以股票或股权、营运资金、利润转增资本或基金份额投资等股权类投资方式实际投入或撤回的金额，按实际投资的原始币种填列。其中，“</w:t>
      </w:r>
      <w:r w:rsidRPr="00CB4B9E">
        <w:rPr>
          <w:rFonts w:ascii="宋体" w:hAnsi="宋体"/>
          <w:color w:val="000000" w:themeColor="text1"/>
        </w:rPr>
        <w:t>+”指境外投资者新增或追加对本机构的</w:t>
      </w:r>
      <w:r w:rsidRPr="00CB4B9E">
        <w:rPr>
          <w:rFonts w:ascii="宋体" w:hAnsi="宋体" w:hint="eastAsia"/>
          <w:color w:val="000000" w:themeColor="text1"/>
        </w:rPr>
        <w:t>股权或基金份</w:t>
      </w:r>
      <w:r w:rsidRPr="00CB4B9E">
        <w:rPr>
          <w:rFonts w:ascii="宋体" w:hAnsi="宋体" w:hint="eastAsia"/>
          <w:color w:val="000000" w:themeColor="text1"/>
        </w:rPr>
        <w:lastRenderedPageBreak/>
        <w:t>额投资，“</w:t>
      </w:r>
      <w:r w:rsidRPr="00CB4B9E">
        <w:rPr>
          <w:rFonts w:ascii="宋体" w:hAnsi="宋体"/>
          <w:color w:val="000000" w:themeColor="text1"/>
        </w:rPr>
        <w:t>-”指境外投资者减少或撤回对本机构的</w:t>
      </w:r>
      <w:r w:rsidRPr="00CB4B9E">
        <w:rPr>
          <w:rFonts w:ascii="宋体" w:hAnsi="宋体" w:hint="eastAsia"/>
          <w:color w:val="000000" w:themeColor="text1"/>
        </w:rPr>
        <w:t>股权或基金份额投资。如果出资方式为非现金形式，应以其公允价值记录。如果相关投资为非股权类投资，而是公司间借贷等债务类投资往来，则不应纳入本栏统计，应纳入“</w:t>
      </w:r>
      <w:r w:rsidRPr="00CB4B9E">
        <w:rPr>
          <w:rFonts w:ascii="宋体" w:hAnsi="宋体"/>
          <w:color w:val="000000" w:themeColor="text1"/>
        </w:rPr>
        <w:t>D表：</w:t>
      </w:r>
      <w:r w:rsidRPr="00CB4B9E">
        <w:rPr>
          <w:rFonts w:ascii="宋体" w:hAnsi="宋体" w:hint="eastAsia"/>
          <w:color w:val="000000" w:themeColor="text1"/>
        </w:rPr>
        <w:t>存贷款、应收应付款及非公司制机构股权等往来”统计。如直接投资行为以证券形式发生（如在二级市场买卖股票），且交易频繁无法确切逐笔记录，则可累计记录当月同一币种下同一实体对本机构的投资变动额。</w:t>
      </w:r>
    </w:p>
    <w:p w:rsidR="00797FC1" w:rsidRPr="009263D7" w:rsidRDefault="00CB4B9E" w:rsidP="00CD6242">
      <w:pPr>
        <w:spacing w:line="360" w:lineRule="auto"/>
        <w:ind w:firstLineChars="200" w:firstLine="420"/>
        <w:jc w:val="left"/>
        <w:rPr>
          <w:rFonts w:ascii="宋体" w:hAnsi="宋体"/>
          <w:color w:val="000000" w:themeColor="text1"/>
          <w:szCs w:val="21"/>
        </w:rPr>
      </w:pPr>
      <w:r w:rsidRPr="00CB4B9E">
        <w:rPr>
          <w:rFonts w:ascii="黑体" w:eastAsia="黑体"/>
          <w:color w:val="000000" w:themeColor="text1"/>
          <w:szCs w:val="21"/>
        </w:rPr>
        <w:t xml:space="preserve">A0233. </w:t>
      </w:r>
      <w:r w:rsidRPr="00CB4B9E">
        <w:rPr>
          <w:rFonts w:ascii="黑体" w:eastAsia="黑体" w:hint="eastAsia"/>
          <w:color w:val="000000" w:themeColor="text1"/>
          <w:szCs w:val="21"/>
        </w:rPr>
        <w:t>外方持有表决权比例增减（％）：</w:t>
      </w:r>
      <w:r w:rsidRPr="00CB4B9E">
        <w:rPr>
          <w:rFonts w:ascii="宋体" w:hAnsi="宋体" w:hint="eastAsia"/>
          <w:color w:val="000000" w:themeColor="text1"/>
          <w:szCs w:val="21"/>
        </w:rPr>
        <w:t>本对应月度内，境外投资者持有本机构表决权比例的增减，即月末与月初相比，境外投资者在本机构的权益性资本中占比的变动。其中，“</w:t>
      </w:r>
      <w:r w:rsidRPr="00CB4B9E">
        <w:rPr>
          <w:rFonts w:ascii="宋体" w:hAnsi="宋体"/>
          <w:color w:val="000000" w:themeColor="text1"/>
          <w:szCs w:val="21"/>
        </w:rPr>
        <w:t>+”指境外投资者</w:t>
      </w:r>
      <w:r w:rsidRPr="00CB4B9E">
        <w:rPr>
          <w:rFonts w:ascii="宋体" w:hAnsi="宋体" w:hint="eastAsia"/>
          <w:color w:val="000000" w:themeColor="text1"/>
          <w:szCs w:val="21"/>
        </w:rPr>
        <w:t>持有本机构表决权比例增加，“</w:t>
      </w:r>
      <w:r w:rsidRPr="00CB4B9E">
        <w:rPr>
          <w:rFonts w:ascii="宋体" w:hAnsi="宋体"/>
          <w:color w:val="000000" w:themeColor="text1"/>
          <w:szCs w:val="21"/>
        </w:rPr>
        <w:t>-”指境外投资者</w:t>
      </w:r>
      <w:r w:rsidRPr="00CB4B9E">
        <w:rPr>
          <w:rFonts w:ascii="宋体" w:hAnsi="宋体" w:hint="eastAsia"/>
          <w:color w:val="000000" w:themeColor="text1"/>
          <w:szCs w:val="21"/>
        </w:rPr>
        <w:t>持有本机构表决权比例减少。对于没有独立的所有者权益或股权资本的境内分支机构，应比照全资境内子公司的情况填写。</w:t>
      </w:r>
    </w:p>
    <w:p w:rsidR="005048C5" w:rsidRPr="009263D7" w:rsidRDefault="00CB4B9E" w:rsidP="001A425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A0234.</w:t>
      </w:r>
      <w:r w:rsidRPr="00CB4B9E">
        <w:rPr>
          <w:rFonts w:ascii="黑体" w:eastAsia="黑体" w:hint="eastAsia"/>
          <w:color w:val="000000" w:themeColor="text1"/>
          <w:szCs w:val="21"/>
        </w:rPr>
        <w:t>是否兼并、收购：</w:t>
      </w:r>
      <w:r w:rsidRPr="00CB4B9E">
        <w:rPr>
          <w:rFonts w:ascii="宋体" w:hAnsi="宋体" w:hint="eastAsia"/>
          <w:color w:val="000000" w:themeColor="text1"/>
          <w:szCs w:val="21"/>
        </w:rPr>
        <w:t>指本月内的该笔投资是否为兼并、收购境内机构的活动，请选择①是，②否。其中，兼并指吸收合并，即境外投资者合并中国境内设立的实体或项目。收购指境外投资者用现金或者有价证券等收购中国境内设立的实体或项目，以获得对该境内实体或项目</w:t>
      </w:r>
      <w:r w:rsidRPr="00CB4B9E">
        <w:rPr>
          <w:rFonts w:ascii="宋体" w:hAnsi="宋体"/>
          <w:color w:val="000000" w:themeColor="text1"/>
          <w:szCs w:val="21"/>
        </w:rPr>
        <w:t>10%及以上的所有权或50%以上的控制权。</w:t>
      </w:r>
      <w:r w:rsidRPr="00CB4B9E">
        <w:rPr>
          <w:rFonts w:ascii="宋体" w:hAnsi="宋体" w:hint="eastAsia"/>
          <w:color w:val="000000" w:themeColor="text1"/>
          <w:szCs w:val="21"/>
        </w:rPr>
        <w:t>兼并、收购包括但不限于场外协议购买、股票市场（二级市场）购买等形式。</w:t>
      </w:r>
    </w:p>
    <w:p w:rsidR="00BA36B7" w:rsidRPr="009263D7" w:rsidRDefault="00CB4B9E" w:rsidP="00797FC1">
      <w:pPr>
        <w:spacing w:line="360" w:lineRule="auto"/>
        <w:ind w:rightChars="154" w:right="323" w:firstLineChars="200" w:firstLine="420"/>
        <w:rPr>
          <w:rFonts w:ascii="黑体" w:eastAsia="黑体"/>
          <w:color w:val="000000" w:themeColor="text1"/>
          <w:szCs w:val="21"/>
        </w:rPr>
      </w:pPr>
      <w:r w:rsidRPr="00CB4B9E">
        <w:rPr>
          <w:rFonts w:ascii="黑体" w:eastAsia="黑体" w:hint="eastAsia"/>
          <w:color w:val="000000" w:themeColor="text1"/>
          <w:szCs w:val="21"/>
        </w:rPr>
        <w:t>A0235.出资方式：</w:t>
      </w:r>
      <w:r w:rsidRPr="00CB4B9E">
        <w:rPr>
          <w:rFonts w:ascii="宋体" w:hAnsi="宋体" w:hint="eastAsia"/>
          <w:color w:val="000000" w:themeColor="text1"/>
          <w:szCs w:val="21"/>
        </w:rPr>
        <w:t>指本月内的该笔投资，属于（</w:t>
      </w:r>
      <w:r w:rsidRPr="00CB4B9E">
        <w:rPr>
          <w:rFonts w:ascii="宋体" w:hAnsi="宋体"/>
          <w:color w:val="000000" w:themeColor="text1"/>
          <w:szCs w:val="21"/>
        </w:rPr>
        <w:t>1）现金；（2）实物；（3）无形资产；（4）股权出资；（5）其他。</w:t>
      </w:r>
    </w:p>
    <w:p w:rsidR="00797FC1" w:rsidRPr="009263D7" w:rsidRDefault="00CB4B9E" w:rsidP="00797FC1">
      <w:pPr>
        <w:spacing w:line="360" w:lineRule="auto"/>
        <w:ind w:rightChars="154" w:right="323" w:firstLineChars="200" w:firstLine="420"/>
        <w:rPr>
          <w:rFonts w:ascii="宋体" w:hAnsi="宋体"/>
          <w:color w:val="000000" w:themeColor="text1"/>
          <w:szCs w:val="21"/>
        </w:rPr>
      </w:pPr>
      <w:r w:rsidRPr="00CB4B9E">
        <w:rPr>
          <w:rFonts w:ascii="黑体" w:eastAsia="黑体"/>
          <w:color w:val="000000" w:themeColor="text1"/>
          <w:szCs w:val="21"/>
        </w:rPr>
        <w:t xml:space="preserve">A0236. </w:t>
      </w:r>
      <w:r w:rsidRPr="00CB4B9E">
        <w:rPr>
          <w:rFonts w:ascii="黑体" w:eastAsia="黑体" w:hint="eastAsia"/>
          <w:color w:val="000000" w:themeColor="text1"/>
          <w:szCs w:val="21"/>
        </w:rPr>
        <w:t>备注：</w:t>
      </w:r>
      <w:r w:rsidRPr="00CB4B9E">
        <w:rPr>
          <w:rFonts w:ascii="宋体" w:hAnsi="宋体" w:hint="eastAsia"/>
          <w:color w:val="000000" w:themeColor="text1"/>
          <w:szCs w:val="21"/>
        </w:rPr>
        <w:t>其它需说明的情况（如与本表原则说明不一致的情况）。</w:t>
      </w:r>
    </w:p>
    <w:p w:rsidR="00AB496C" w:rsidRPr="009263D7" w:rsidRDefault="00AB496C" w:rsidP="00797FC1">
      <w:pPr>
        <w:spacing w:line="360" w:lineRule="auto"/>
        <w:ind w:rightChars="154" w:right="323" w:firstLineChars="200" w:firstLine="420"/>
        <w:rPr>
          <w:rFonts w:ascii="宋体" w:hAnsi="宋体"/>
          <w:color w:val="000000" w:themeColor="text1"/>
          <w:szCs w:val="21"/>
        </w:rPr>
      </w:pPr>
    </w:p>
    <w:p w:rsidR="00A66487" w:rsidRPr="009263D7" w:rsidRDefault="00CB4B9E" w:rsidP="00A66487">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 xml:space="preserve">3. </w:t>
      </w:r>
      <w:r w:rsidRPr="00CB4B9E">
        <w:rPr>
          <w:rFonts w:ascii="黑体" w:eastAsia="黑体" w:hAnsi="宋体" w:hint="eastAsia"/>
          <w:color w:val="000000" w:themeColor="text1"/>
          <w:szCs w:val="21"/>
        </w:rPr>
        <w:t>直接投资统计的相关概念：</w:t>
      </w:r>
      <w:r w:rsidRPr="00CB4B9E">
        <w:rPr>
          <w:rFonts w:ascii="黑体" w:eastAsia="黑体" w:hAnsi="宋体"/>
          <w:color w:val="000000" w:themeColor="text1"/>
          <w:szCs w:val="21"/>
        </w:rPr>
        <w:t xml:space="preserve"> </w:t>
      </w:r>
    </w:p>
    <w:p w:rsidR="00A66487" w:rsidRPr="009263D7" w:rsidRDefault="00CB4B9E" w:rsidP="00A66487">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根据国际货币基金组织《国际收支与国际投资头寸手册》（第六版），直接投资是指一经济体的居民拥有另一经济体的机构（公司或非公司制企业，不含国际组织）</w:t>
      </w:r>
      <w:r w:rsidRPr="00CB4B9E">
        <w:rPr>
          <w:rFonts w:ascii="宋体" w:hAnsi="宋体"/>
          <w:color w:val="000000" w:themeColor="text1"/>
          <w:szCs w:val="21"/>
        </w:rPr>
        <w:t>10%或以上的表决权，</w:t>
      </w:r>
      <w:r w:rsidRPr="00CB4B9E">
        <w:rPr>
          <w:rFonts w:ascii="宋体" w:hAnsi="宋体" w:hint="eastAsia"/>
          <w:color w:val="000000" w:themeColor="text1"/>
          <w:szCs w:val="21"/>
        </w:rPr>
        <w:t>从而能够对被投资机构实施管理上的控制或重大影响。直接投资交易不仅包括投资者与被投资机构初次建立直接投资关系的交易，也包括随后的所有交易。拥有直接投资关系的各方之间的交易流量和头寸均属于直接投资统计范畴。</w:t>
      </w:r>
    </w:p>
    <w:p w:rsidR="00A66487" w:rsidRPr="009263D7" w:rsidRDefault="00CB4B9E" w:rsidP="00A66487">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1）直接投资关系：一经济体的居民</w:t>
      </w:r>
      <w:r w:rsidRPr="00CB4B9E">
        <w:rPr>
          <w:rFonts w:ascii="宋体" w:hAnsi="宋体" w:hint="eastAsia"/>
          <w:color w:val="000000" w:themeColor="text1"/>
          <w:szCs w:val="21"/>
        </w:rPr>
        <w:t>拥有另一经济体的机构</w:t>
      </w:r>
      <w:r w:rsidRPr="00CB4B9E">
        <w:rPr>
          <w:rFonts w:ascii="宋体" w:hAnsi="宋体"/>
          <w:color w:val="000000" w:themeColor="text1"/>
          <w:szCs w:val="21"/>
        </w:rPr>
        <w:t>10%或以上的表决权，能对被投资</w:t>
      </w:r>
      <w:r w:rsidRPr="00CB4B9E">
        <w:rPr>
          <w:rFonts w:ascii="宋体" w:hAnsi="宋体" w:hint="eastAsia"/>
          <w:color w:val="000000" w:themeColor="text1"/>
          <w:szCs w:val="21"/>
        </w:rPr>
        <w:t>机构实施管理上的控制或重大影响，直接投资关系便告成立。具体包括三类，</w:t>
      </w:r>
      <w:r w:rsidRPr="00CB4B9E">
        <w:rPr>
          <w:rFonts w:ascii="宋体" w:hAnsi="宋体"/>
          <w:color w:val="000000" w:themeColor="text1"/>
          <w:szCs w:val="21"/>
        </w:rPr>
        <w:t>A.投资者对其直接或间接拥有10%或10%</w:t>
      </w:r>
      <w:r w:rsidRPr="00CB4B9E">
        <w:rPr>
          <w:rFonts w:ascii="宋体" w:hAnsi="宋体" w:hint="eastAsia"/>
          <w:color w:val="000000" w:themeColor="text1"/>
          <w:szCs w:val="21"/>
        </w:rPr>
        <w:t>以上表决权的被投资机构进行股权投资；</w:t>
      </w:r>
      <w:r w:rsidRPr="00CB4B9E">
        <w:rPr>
          <w:rFonts w:ascii="宋体" w:hAnsi="宋体"/>
          <w:color w:val="000000" w:themeColor="text1"/>
          <w:szCs w:val="21"/>
        </w:rPr>
        <w:t>B.</w:t>
      </w:r>
      <w:r w:rsidRPr="00CB4B9E">
        <w:rPr>
          <w:rFonts w:ascii="宋体" w:hAnsi="宋体" w:hint="eastAsia"/>
          <w:color w:val="000000" w:themeColor="text1"/>
          <w:szCs w:val="21"/>
        </w:rPr>
        <w:t>上述被投资机构对这些直接或间接控制或影响其经营活动的投资者进行股权投资（逆向投资），但前提是该机构持有其投资者的表决权比例低于</w:t>
      </w:r>
      <w:r w:rsidRPr="00CB4B9E">
        <w:rPr>
          <w:rFonts w:ascii="宋体" w:hAnsi="宋体"/>
          <w:color w:val="000000" w:themeColor="text1"/>
          <w:szCs w:val="21"/>
        </w:rPr>
        <w:t>10%</w:t>
      </w:r>
      <w:r w:rsidRPr="00CB4B9E">
        <w:rPr>
          <w:rFonts w:ascii="宋体" w:hAnsi="宋体" w:hint="eastAsia"/>
          <w:color w:val="000000" w:themeColor="text1"/>
          <w:szCs w:val="21"/>
        </w:rPr>
        <w:t>；</w:t>
      </w:r>
      <w:r w:rsidRPr="00CB4B9E">
        <w:rPr>
          <w:rFonts w:ascii="宋体" w:hAnsi="宋体"/>
          <w:color w:val="000000" w:themeColor="text1"/>
          <w:szCs w:val="21"/>
        </w:rPr>
        <w:t>C.</w:t>
      </w:r>
      <w:r w:rsidRPr="00CB4B9E">
        <w:rPr>
          <w:rFonts w:ascii="宋体" w:hAnsi="宋体" w:hint="eastAsia"/>
          <w:color w:val="000000" w:themeColor="text1"/>
          <w:szCs w:val="21"/>
        </w:rPr>
        <w:t>具有同一直接或间接直接投资者，但相互之间拥有表决权不超过</w:t>
      </w:r>
      <w:r w:rsidRPr="00CB4B9E">
        <w:rPr>
          <w:rFonts w:ascii="宋体" w:hAnsi="宋体"/>
          <w:color w:val="000000" w:themeColor="text1"/>
          <w:szCs w:val="21"/>
        </w:rPr>
        <w:t>10%的关联</w:t>
      </w:r>
      <w:r w:rsidRPr="00CB4B9E">
        <w:rPr>
          <w:rFonts w:ascii="宋体" w:hAnsi="宋体" w:hint="eastAsia"/>
          <w:color w:val="000000" w:themeColor="text1"/>
          <w:szCs w:val="21"/>
        </w:rPr>
        <w:t>企业之间的股权投资。</w:t>
      </w:r>
    </w:p>
    <w:p w:rsidR="006B08D6" w:rsidRPr="009263D7" w:rsidRDefault="00CB4B9E" w:rsidP="006B08D6">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lastRenderedPageBreak/>
        <w:t>（</w:t>
      </w:r>
      <w:r w:rsidRPr="00CB4B9E">
        <w:rPr>
          <w:rFonts w:ascii="宋体" w:hAnsi="宋体"/>
          <w:color w:val="000000" w:themeColor="text1"/>
          <w:szCs w:val="21"/>
        </w:rPr>
        <w:t>2）控制和影响：如果一经济体的投资者拥有另一经济体的被投资</w:t>
      </w:r>
      <w:r w:rsidRPr="00CB4B9E">
        <w:rPr>
          <w:rFonts w:ascii="宋体" w:hAnsi="宋体" w:hint="eastAsia"/>
          <w:color w:val="000000" w:themeColor="text1"/>
          <w:szCs w:val="21"/>
        </w:rPr>
        <w:t>机构</w:t>
      </w:r>
      <w:r w:rsidRPr="00CB4B9E">
        <w:rPr>
          <w:rFonts w:ascii="宋体" w:hAnsi="宋体"/>
          <w:color w:val="000000" w:themeColor="text1"/>
          <w:szCs w:val="21"/>
        </w:rPr>
        <w:t>50%以上的表决权，则该投资者实现了对被投资机构的控制,被投资机构是投资者的子公司或分支机构。如果投资者拥有另一经济体的被投资机构10%(含)</w:t>
      </w:r>
      <w:r w:rsidRPr="00CB4B9E">
        <w:rPr>
          <w:rFonts w:ascii="宋体" w:hAnsi="宋体" w:hint="eastAsia"/>
          <w:color w:val="000000" w:themeColor="text1"/>
          <w:szCs w:val="21"/>
        </w:rPr>
        <w:t>到</w:t>
      </w:r>
      <w:r w:rsidRPr="00CB4B9E">
        <w:rPr>
          <w:rFonts w:ascii="宋体" w:hAnsi="宋体"/>
          <w:color w:val="000000" w:themeColor="text1"/>
          <w:szCs w:val="21"/>
        </w:rPr>
        <w:t>50%</w:t>
      </w:r>
      <w:r w:rsidRPr="00CB4B9E">
        <w:rPr>
          <w:rFonts w:ascii="宋体" w:hAnsi="宋体" w:hint="eastAsia"/>
          <w:color w:val="000000" w:themeColor="text1"/>
          <w:szCs w:val="21"/>
        </w:rPr>
        <w:t>（含）的表决权，则该投资者实现了对被投资机构的重大影响</w:t>
      </w:r>
      <w:r w:rsidRPr="00CB4B9E">
        <w:rPr>
          <w:rFonts w:ascii="宋体" w:hAnsi="宋体"/>
          <w:color w:val="000000" w:themeColor="text1"/>
          <w:szCs w:val="21"/>
        </w:rPr>
        <w:t>,该被投资机构是投资者的</w:t>
      </w:r>
      <w:r w:rsidRPr="00CB4B9E">
        <w:rPr>
          <w:rFonts w:ascii="宋体" w:hAnsi="宋体" w:hint="eastAsia"/>
          <w:b/>
          <w:color w:val="000000" w:themeColor="text1"/>
          <w:szCs w:val="21"/>
        </w:rPr>
        <w:t>联营企业</w:t>
      </w:r>
      <w:r w:rsidRPr="00CB4B9E">
        <w:rPr>
          <w:rFonts w:ascii="宋体" w:hAnsi="宋体" w:hint="eastAsia"/>
          <w:color w:val="000000" w:themeColor="text1"/>
          <w:szCs w:val="21"/>
        </w:rPr>
        <w:t>。如果两个投资者各拥有被投资机构</w:t>
      </w:r>
      <w:r w:rsidRPr="00CB4B9E">
        <w:rPr>
          <w:rFonts w:ascii="宋体" w:hAnsi="宋体"/>
          <w:color w:val="000000" w:themeColor="text1"/>
          <w:szCs w:val="21"/>
        </w:rPr>
        <w:t>50%的表决权，该被投资机构是两个投资者的</w:t>
      </w:r>
      <w:r w:rsidRPr="00CB4B9E">
        <w:rPr>
          <w:rFonts w:ascii="宋体" w:hAnsi="宋体" w:hint="eastAsia"/>
          <w:b/>
          <w:color w:val="000000" w:themeColor="text1"/>
          <w:szCs w:val="21"/>
        </w:rPr>
        <w:t>合营企业</w:t>
      </w:r>
      <w:r w:rsidRPr="00CB4B9E">
        <w:rPr>
          <w:rFonts w:ascii="宋体" w:hAnsi="宋体" w:hint="eastAsia"/>
          <w:color w:val="000000" w:themeColor="text1"/>
          <w:szCs w:val="21"/>
        </w:rPr>
        <w:t>。控制或影响可以是直接发生在投资者与被投资机构之间的，也可以通过投资者表决权的传递间接实现。</w:t>
      </w:r>
    </w:p>
    <w:p w:rsidR="00A66487" w:rsidRPr="009263D7" w:rsidRDefault="00CB4B9E" w:rsidP="00A66487">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3</w:t>
      </w:r>
      <w:r w:rsidRPr="00CB4B9E">
        <w:rPr>
          <w:rFonts w:ascii="宋体" w:hAnsi="宋体" w:hint="eastAsia"/>
          <w:color w:val="000000" w:themeColor="text1"/>
          <w:szCs w:val="21"/>
        </w:rPr>
        <w:t>）直接投资者：指能够对另一经济体的居民实体施加控制或重大影响的一个实体或一组关联实体，包括个人、公司型或非公司型的私营企业、公共部门的企业、个人或企业集团、政府或政府机构、房地产机构、信托机构等。</w:t>
      </w:r>
    </w:p>
    <w:p w:rsidR="00A66487" w:rsidRPr="009263D7" w:rsidRDefault="00CB4B9E" w:rsidP="00A66487">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4</w:t>
      </w:r>
      <w:r w:rsidRPr="00CB4B9E">
        <w:rPr>
          <w:rFonts w:ascii="宋体" w:hAnsi="宋体" w:hint="eastAsia"/>
          <w:color w:val="000000" w:themeColor="text1"/>
          <w:szCs w:val="21"/>
        </w:rPr>
        <w:t>）直接投资企业：指受到另一经济体的直接投资者控制或重大影响的实体，可以是公司型或非公司型企业。直接投资企业与直接投资者应是不同经济体的居民。直接投资者拥有直接投资企业</w:t>
      </w:r>
      <w:r w:rsidRPr="00CB4B9E">
        <w:rPr>
          <w:rFonts w:ascii="宋体" w:hAnsi="宋体"/>
          <w:color w:val="000000" w:themeColor="text1"/>
          <w:szCs w:val="21"/>
        </w:rPr>
        <w:t>10%或以上表决权。</w:t>
      </w:r>
    </w:p>
    <w:p w:rsidR="006B08D6" w:rsidRPr="009263D7" w:rsidRDefault="00CB4B9E" w:rsidP="00A66487">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5）关联企业（或关联实体）：相互存在直接或间接的直接投资关系的多个企业，或有同一个直接或间接的直接投资者的多个企业，彼此均互为关联企业。即，一个企业的关联企业包括其直接或间接的直接投资者、直接或间接的直接投资企业及其联属企业。</w:t>
      </w:r>
    </w:p>
    <w:p w:rsidR="00A66487" w:rsidRPr="009263D7" w:rsidRDefault="00CB4B9E" w:rsidP="00A66487">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6）对外直接投资：指我国企业、机构或个人以现金、实物、无形资产等方式获得境外及港澳台地区机构10%及以上表决权，从而获得在被投资企业的长远利益。</w:t>
      </w:r>
    </w:p>
    <w:p w:rsidR="00A66487" w:rsidRPr="009263D7" w:rsidRDefault="00CB4B9E" w:rsidP="00A66487">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7）外国来华直接投资：指境外及港澳台地区企业、机构或个人等，以现金、实物、无形资产等方式获得我国境内机构10%及以上的股权，从而获得长远利益的经济活动。</w:t>
      </w:r>
    </w:p>
    <w:p w:rsidR="00A66487" w:rsidRPr="009263D7" w:rsidRDefault="00CB4B9E" w:rsidP="00A66487">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8</w:t>
      </w:r>
      <w:r w:rsidRPr="00CB4B9E">
        <w:rPr>
          <w:rFonts w:ascii="宋体" w:hAnsi="宋体" w:hint="eastAsia"/>
          <w:color w:val="000000" w:themeColor="text1"/>
          <w:szCs w:val="21"/>
        </w:rPr>
        <w:t>）直接投资统计范畴：</w:t>
      </w:r>
    </w:p>
    <w:p w:rsidR="00A66487" w:rsidRPr="009263D7" w:rsidRDefault="00CB4B9E" w:rsidP="00A66487">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color w:val="000000" w:themeColor="text1"/>
          <w:szCs w:val="21"/>
        </w:rPr>
        <w:t>A.包括：股权（股本资本）投资，包括在分支机构的营运资金，在子公司和联营公司的股份（不包括非参与性优先股，这部分优先股被视为债券）以及其他形式股本资本。</w:t>
      </w:r>
      <w:r w:rsidRPr="00CB4B9E">
        <w:rPr>
          <w:rFonts w:ascii="宋体" w:hAnsi="宋体" w:hint="eastAsia"/>
          <w:color w:val="000000" w:themeColor="text1"/>
          <w:szCs w:val="21"/>
        </w:rPr>
        <w:t>此外，一经济体居民持有另一经济体机构发行的投资基金份额达到或超过</w:t>
      </w:r>
      <w:r w:rsidRPr="00CB4B9E">
        <w:rPr>
          <w:rFonts w:ascii="宋体" w:hAnsi="宋体"/>
          <w:color w:val="000000" w:themeColor="text1"/>
          <w:szCs w:val="21"/>
        </w:rPr>
        <w:t>10%的，也属于本项统计范畴。</w:t>
      </w:r>
    </w:p>
    <w:p w:rsidR="00A66487" w:rsidRPr="009263D7" w:rsidRDefault="00CB4B9E" w:rsidP="00A66487">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color w:val="000000" w:themeColor="text1"/>
          <w:szCs w:val="21"/>
        </w:rPr>
        <w:t>B.包括：利润，包括子公司或联营公司未分配收益中归属于直接投资者的利润（按照直接投资者持股比例折算），和未汇给直接投资者的分支机构利润（按照惯例，如果不能确定这块数据，则分支机构的所有收益都应被视为待分配收益，划归直接投资者所有）；</w:t>
      </w:r>
    </w:p>
    <w:p w:rsidR="00A66487" w:rsidRPr="009263D7" w:rsidRDefault="00CB4B9E" w:rsidP="00A66487">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宋体" w:hAnsi="宋体"/>
          <w:color w:val="000000" w:themeColor="text1"/>
          <w:szCs w:val="21"/>
        </w:rPr>
        <w:t>C.不包括：境内外关联金融机构之间的存贷款和其他债权债务交易。这些债权债务交易属于国际收支统计中证券投资（债券投资）或其他投资（存款、贷款、其他资产或负债，如各类应收应付款）的统计范畴。</w:t>
      </w:r>
    </w:p>
    <w:p w:rsidR="00464B37" w:rsidRPr="009263D7" w:rsidRDefault="00464B37" w:rsidP="00A66487">
      <w:pPr>
        <w:widowControl/>
        <w:tabs>
          <w:tab w:val="num" w:pos="720"/>
          <w:tab w:val="left" w:pos="1080"/>
        </w:tabs>
        <w:spacing w:line="360" w:lineRule="auto"/>
        <w:ind w:firstLineChars="200" w:firstLine="480"/>
        <w:rPr>
          <w:rFonts w:ascii="黑体" w:eastAsia="黑体"/>
          <w:color w:val="000000" w:themeColor="text1"/>
          <w:sz w:val="24"/>
        </w:rPr>
      </w:pPr>
    </w:p>
    <w:p w:rsidR="00FB0F60" w:rsidRPr="009263D7" w:rsidRDefault="00CB4B9E" w:rsidP="00FB0F60">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lastRenderedPageBreak/>
        <w:t>（三）证券投资（10%以下股权和债务证券）</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1.</w:t>
      </w:r>
      <w:r w:rsidRPr="00CB4B9E">
        <w:rPr>
          <w:rFonts w:ascii="黑体" w:eastAsia="黑体" w:hAnsi="宋体" w:hint="eastAsia"/>
          <w:color w:val="000000" w:themeColor="text1"/>
          <w:szCs w:val="21"/>
        </w:rPr>
        <w:t>统计内容：</w:t>
      </w:r>
    </w:p>
    <w:p w:rsidR="00FB0F60" w:rsidRPr="009263D7" w:rsidRDefault="00CB4B9E" w:rsidP="00FB0F60">
      <w:pPr>
        <w:spacing w:line="360" w:lineRule="auto"/>
        <w:ind w:firstLineChars="200" w:firstLine="420"/>
        <w:jc w:val="left"/>
        <w:rPr>
          <w:color w:val="000000" w:themeColor="text1"/>
        </w:rPr>
      </w:pPr>
      <w:r w:rsidRPr="00CB4B9E">
        <w:rPr>
          <w:rFonts w:ascii="宋体" w:hAnsi="宋体" w:hint="eastAsia"/>
          <w:color w:val="000000" w:themeColor="text1"/>
          <w:szCs w:val="21"/>
        </w:rPr>
        <w:t>包括</w:t>
      </w:r>
      <w:r w:rsidRPr="00CB4B9E">
        <w:rPr>
          <w:rFonts w:ascii="宋体" w:hAnsi="宋体" w:hint="eastAsia"/>
          <w:color w:val="000000" w:themeColor="text1"/>
        </w:rPr>
        <w:t>股本证券、投资基金份额</w:t>
      </w:r>
      <w:r w:rsidRPr="00CB4B9E">
        <w:rPr>
          <w:rFonts w:ascii="宋体" w:hAnsi="宋体"/>
          <w:color w:val="000000" w:themeColor="text1"/>
        </w:rPr>
        <w:t>/单位</w:t>
      </w:r>
      <w:r w:rsidRPr="00CB4B9E">
        <w:rPr>
          <w:rFonts w:ascii="宋体" w:hAnsi="宋体" w:hint="eastAsia"/>
          <w:color w:val="000000" w:themeColor="text1"/>
        </w:rPr>
        <w:t>以及债务证券的国际收支交易和头寸情况</w:t>
      </w:r>
      <w:r w:rsidRPr="00CB4B9E">
        <w:rPr>
          <w:rFonts w:hint="eastAsia"/>
          <w:color w:val="000000" w:themeColor="text1"/>
        </w:rPr>
        <w:t>。但不包括本统计期初或期末，境内投资者持有境外非居民发行的股本证券和投资基金份额</w:t>
      </w:r>
      <w:r w:rsidRPr="00CB4B9E">
        <w:rPr>
          <w:rFonts w:ascii="宋体" w:hAnsi="宋体" w:hint="eastAsia"/>
          <w:color w:val="000000" w:themeColor="text1"/>
        </w:rPr>
        <w:t>且表决权达到或超过</w:t>
      </w:r>
      <w:r w:rsidRPr="00CB4B9E">
        <w:rPr>
          <w:rFonts w:ascii="宋体" w:hAnsi="宋体"/>
          <w:color w:val="000000" w:themeColor="text1"/>
        </w:rPr>
        <w:t>10%</w:t>
      </w:r>
      <w:r w:rsidRPr="00CB4B9E">
        <w:rPr>
          <w:rFonts w:ascii="宋体" w:hAnsi="宋体" w:hint="eastAsia"/>
          <w:color w:val="000000" w:themeColor="text1"/>
        </w:rPr>
        <w:t>的，以及非居民持有境内机构的股本证券和投资基金份额且表决权达到或超过</w:t>
      </w:r>
      <w:r w:rsidRPr="00CB4B9E">
        <w:rPr>
          <w:rFonts w:ascii="宋体" w:hAnsi="宋体"/>
          <w:color w:val="000000" w:themeColor="text1"/>
        </w:rPr>
        <w:t>10%</w:t>
      </w:r>
      <w:r w:rsidRPr="00CB4B9E">
        <w:rPr>
          <w:rFonts w:ascii="宋体" w:hAnsi="宋体" w:hint="eastAsia"/>
          <w:color w:val="000000" w:themeColor="text1"/>
        </w:rPr>
        <w:t>的。这两种除外情况应纳入“直接投资（股权部分）”下统计。</w:t>
      </w:r>
    </w:p>
    <w:p w:rsidR="00FB0F60" w:rsidRPr="009263D7" w:rsidRDefault="00CB4B9E" w:rsidP="00FB0F60">
      <w:pPr>
        <w:spacing w:line="360" w:lineRule="auto"/>
        <w:ind w:firstLineChars="200" w:firstLine="420"/>
        <w:jc w:val="left"/>
        <w:rPr>
          <w:rFonts w:ascii="黑体" w:eastAsia="黑体"/>
          <w:color w:val="000000" w:themeColor="text1"/>
        </w:rPr>
      </w:pPr>
      <w:r w:rsidRPr="00CB4B9E">
        <w:rPr>
          <w:rFonts w:ascii="黑体" w:eastAsia="黑体" w:hint="eastAsia"/>
          <w:color w:val="000000" w:themeColor="text1"/>
        </w:rPr>
        <w:t>2.相关填报说明：</w:t>
      </w:r>
    </w:p>
    <w:p w:rsidR="00FB0F60" w:rsidRPr="009263D7" w:rsidRDefault="00CB4B9E" w:rsidP="001563E3">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B01表：</w:t>
      </w:r>
      <w:r w:rsidRPr="00CB4B9E">
        <w:rPr>
          <w:rFonts w:ascii="黑体" w:eastAsia="黑体" w:hint="eastAsia"/>
          <w:bCs/>
          <w:color w:val="000000" w:themeColor="text1"/>
          <w:sz w:val="24"/>
        </w:rPr>
        <w:t>投资境外股本证券和投资基金份额（资产）</w:t>
      </w:r>
    </w:p>
    <w:tbl>
      <w:tblPr>
        <w:tblW w:w="9440" w:type="dxa"/>
        <w:tblInd w:w="97" w:type="dxa"/>
        <w:tblLook w:val="04A0"/>
      </w:tblPr>
      <w:tblGrid>
        <w:gridCol w:w="4840"/>
        <w:gridCol w:w="4600"/>
      </w:tblGrid>
      <w:tr w:rsidR="00FB0F60"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B0F60"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B0F60" w:rsidRPr="009263D7" w:rsidRDefault="00CB4B9E" w:rsidP="00FE1E56">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境内机构或个人持有境内居民在境外发行的上市股份，无论本统计期初或期末持有表决权的高低，均应填报此表。发行主体所属国家</w:t>
            </w:r>
            <w:r w:rsidRPr="00CB4B9E">
              <w:rPr>
                <w:rFonts w:ascii="宋体" w:hAnsi="宋体" w:cs="宋体"/>
                <w:color w:val="000000" w:themeColor="text1"/>
                <w:kern w:val="0"/>
                <w:sz w:val="18"/>
                <w:szCs w:val="18"/>
              </w:rPr>
              <w:t>/地区为“中国”。</w:t>
            </w:r>
          </w:p>
        </w:tc>
        <w:tc>
          <w:tcPr>
            <w:tcW w:w="4600" w:type="dxa"/>
            <w:tcBorders>
              <w:top w:val="nil"/>
              <w:left w:val="nil"/>
              <w:bottom w:val="single" w:sz="4" w:space="0" w:color="auto"/>
              <w:right w:val="nil"/>
            </w:tcBorders>
            <w:shd w:val="clear" w:color="auto" w:fill="auto"/>
            <w:vAlign w:val="center"/>
          </w:tcPr>
          <w:p w:rsidR="00FB0F60" w:rsidRPr="009263D7" w:rsidRDefault="00CB4B9E" w:rsidP="00FE1E56">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境内机构或个人持有居民在境内发行的股本证券（含上市股份和非上市股份），无论本统计期初或期末持有表决权高低，均不需填报此表。</w:t>
            </w:r>
          </w:p>
        </w:tc>
      </w:tr>
      <w:tr w:rsidR="00FB0F60"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B0F60" w:rsidRPr="009263D7" w:rsidRDefault="00CB4B9E" w:rsidP="000B0D8B">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r w:rsidRPr="00CB4B9E">
              <w:rPr>
                <w:rFonts w:ascii="宋体" w:hAnsi="宋体" w:cs="宋体" w:hint="eastAsia"/>
                <w:color w:val="000000" w:themeColor="text1"/>
                <w:kern w:val="0"/>
                <w:sz w:val="18"/>
                <w:szCs w:val="18"/>
              </w:rPr>
              <w:t>境内机构或个人持有非居民在境外发行的股本证券（含上市股份和非上市股份），且本统计期初或期末持有的表决权比例</w:t>
            </w:r>
            <w:r w:rsidRPr="00CB4B9E">
              <w:rPr>
                <w:rFonts w:ascii="宋体" w:hAnsi="宋体" w:hint="eastAsia"/>
                <w:color w:val="000000" w:themeColor="text1"/>
                <w:sz w:val="18"/>
                <w:szCs w:val="18"/>
              </w:rPr>
              <w:t>＜</w:t>
            </w:r>
            <w:r w:rsidRPr="00CB4B9E">
              <w:rPr>
                <w:rFonts w:ascii="宋体" w:hAnsi="宋体" w:cs="宋体"/>
                <w:color w:val="000000" w:themeColor="text1"/>
                <w:kern w:val="0"/>
                <w:sz w:val="18"/>
                <w:szCs w:val="18"/>
              </w:rPr>
              <w:t>10%的。</w:t>
            </w:r>
          </w:p>
        </w:tc>
        <w:tc>
          <w:tcPr>
            <w:tcW w:w="4600" w:type="dxa"/>
            <w:tcBorders>
              <w:top w:val="nil"/>
              <w:left w:val="nil"/>
              <w:bottom w:val="single" w:sz="4" w:space="0" w:color="auto"/>
              <w:right w:val="nil"/>
            </w:tcBorders>
            <w:shd w:val="clear" w:color="auto" w:fill="auto"/>
            <w:vAlign w:val="center"/>
          </w:tcPr>
          <w:p w:rsidR="00FB0F60" w:rsidRPr="009263D7" w:rsidRDefault="00FB0F60" w:rsidP="00FE1E56">
            <w:pPr>
              <w:widowControl/>
              <w:jc w:val="left"/>
              <w:rPr>
                <w:rFonts w:ascii="宋体" w:hAnsi="宋体" w:cs="宋体"/>
                <w:color w:val="000000" w:themeColor="text1"/>
                <w:kern w:val="0"/>
                <w:sz w:val="18"/>
                <w:szCs w:val="18"/>
              </w:rPr>
            </w:pPr>
          </w:p>
        </w:tc>
      </w:tr>
      <w:tr w:rsidR="00FB0F60"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B0F60" w:rsidRPr="009263D7" w:rsidRDefault="00CB4B9E" w:rsidP="009601FA">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3. </w:t>
            </w:r>
            <w:r w:rsidRPr="00CB4B9E">
              <w:rPr>
                <w:rFonts w:ascii="宋体" w:hAnsi="宋体" w:cs="宋体" w:hint="eastAsia"/>
                <w:color w:val="000000" w:themeColor="text1"/>
                <w:kern w:val="0"/>
                <w:sz w:val="18"/>
                <w:szCs w:val="18"/>
              </w:rPr>
              <w:t>境内机构或个人持有非居民在境外发行的基金份额</w:t>
            </w:r>
            <w:r w:rsidRPr="00CB4B9E">
              <w:rPr>
                <w:rFonts w:ascii="宋体" w:hAnsi="宋体" w:cs="宋体"/>
                <w:color w:val="000000" w:themeColor="text1"/>
                <w:kern w:val="0"/>
                <w:sz w:val="18"/>
                <w:szCs w:val="18"/>
              </w:rPr>
              <w:t>/单位</w:t>
            </w:r>
            <w:r w:rsidRPr="00CB4B9E">
              <w:rPr>
                <w:rFonts w:ascii="宋体" w:hAnsi="宋体" w:cs="宋体" w:hint="eastAsia"/>
                <w:color w:val="000000" w:themeColor="text1"/>
                <w:kern w:val="0"/>
                <w:sz w:val="18"/>
                <w:szCs w:val="18"/>
              </w:rPr>
              <w:t>，且本统计期初或期末持有的表决权比例</w:t>
            </w:r>
            <w:r w:rsidRPr="00CB4B9E">
              <w:rPr>
                <w:rFonts w:ascii="宋体" w:hAnsi="宋体" w:hint="eastAsia"/>
                <w:color w:val="000000" w:themeColor="text1"/>
                <w:sz w:val="18"/>
                <w:szCs w:val="18"/>
              </w:rPr>
              <w:t>＜</w:t>
            </w:r>
            <w:r w:rsidRPr="00CB4B9E">
              <w:rPr>
                <w:rFonts w:ascii="宋体" w:hAnsi="宋体" w:cs="宋体"/>
                <w:color w:val="000000" w:themeColor="text1"/>
                <w:kern w:val="0"/>
                <w:sz w:val="18"/>
                <w:szCs w:val="18"/>
              </w:rPr>
              <w:t>10%的</w:t>
            </w:r>
            <w:r w:rsidRPr="00CB4B9E">
              <w:rPr>
                <w:rFonts w:ascii="宋体" w:hAnsi="宋体" w:cs="宋体" w:hint="eastAsia"/>
                <w:color w:val="000000" w:themeColor="text1"/>
                <w:kern w:val="0"/>
                <w:sz w:val="18"/>
                <w:szCs w:val="18"/>
              </w:rPr>
              <w:t>。</w:t>
            </w:r>
          </w:p>
        </w:tc>
        <w:tc>
          <w:tcPr>
            <w:tcW w:w="4600" w:type="dxa"/>
            <w:tcBorders>
              <w:top w:val="nil"/>
              <w:left w:val="nil"/>
              <w:bottom w:val="single" w:sz="4" w:space="0" w:color="auto"/>
              <w:right w:val="nil"/>
            </w:tcBorders>
            <w:shd w:val="clear" w:color="auto" w:fill="auto"/>
            <w:vAlign w:val="center"/>
          </w:tcPr>
          <w:p w:rsidR="00FB0F60" w:rsidRPr="009263D7" w:rsidRDefault="00FB0F60" w:rsidP="00235AA1">
            <w:pPr>
              <w:widowControl/>
              <w:jc w:val="left"/>
              <w:rPr>
                <w:rFonts w:ascii="宋体" w:hAnsi="宋体" w:cs="宋体"/>
                <w:color w:val="000000" w:themeColor="text1"/>
                <w:kern w:val="0"/>
                <w:sz w:val="18"/>
                <w:szCs w:val="18"/>
              </w:rPr>
            </w:pPr>
          </w:p>
        </w:tc>
      </w:tr>
      <w:tr w:rsidR="00FB0F60" w:rsidRPr="009263D7">
        <w:trPr>
          <w:trHeight w:val="240"/>
        </w:trPr>
        <w:tc>
          <w:tcPr>
            <w:tcW w:w="4840" w:type="dxa"/>
            <w:tcBorders>
              <w:top w:val="single" w:sz="4" w:space="0" w:color="auto"/>
              <w:left w:val="nil"/>
              <w:bottom w:val="single" w:sz="8" w:space="0" w:color="auto"/>
              <w:right w:val="single" w:sz="4" w:space="0" w:color="auto"/>
            </w:tcBorders>
            <w:shd w:val="clear" w:color="auto" w:fill="auto"/>
            <w:vAlign w:val="center"/>
          </w:tcPr>
          <w:p w:rsidR="00423A61" w:rsidRPr="009263D7" w:rsidRDefault="00CB4B9E" w:rsidP="00423A6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4. </w:t>
            </w:r>
            <w:r w:rsidRPr="00CB4B9E">
              <w:rPr>
                <w:rFonts w:ascii="宋体" w:hAnsi="宋体" w:cs="宋体" w:hint="eastAsia"/>
                <w:color w:val="000000" w:themeColor="text1"/>
                <w:kern w:val="0"/>
                <w:sz w:val="18"/>
                <w:szCs w:val="18"/>
              </w:rPr>
              <w:t>境内机构或个人应按照以下先后顺序确定是否报送相关投资：</w:t>
            </w:r>
          </w:p>
          <w:p w:rsidR="00423A61" w:rsidRPr="009263D7" w:rsidRDefault="00CB4B9E" w:rsidP="00423A6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——有境内托管人的，由境内托管人负责代为报送，本机构（委托人）不再重复申报；</w:t>
            </w:r>
          </w:p>
          <w:p w:rsidR="00423A61" w:rsidRPr="009263D7" w:rsidRDefault="00CB4B9E" w:rsidP="00423A6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无境内托管人，但相关对外业务由境内代理人</w:t>
            </w:r>
            <w:r w:rsidRPr="00CB4B9E">
              <w:rPr>
                <w:rFonts w:ascii="宋体" w:hAnsi="宋体" w:cs="宋体" w:hint="eastAsia"/>
                <w:color w:val="000000" w:themeColor="text1"/>
                <w:kern w:val="0"/>
                <w:sz w:val="18"/>
                <w:szCs w:val="18"/>
              </w:rPr>
              <w:t>（或管理人）</w:t>
            </w:r>
            <w:r w:rsidRPr="00CB4B9E">
              <w:rPr>
                <w:rFonts w:ascii="宋体" w:hAnsi="宋体" w:cs="宋体"/>
                <w:color w:val="000000" w:themeColor="text1"/>
                <w:kern w:val="0"/>
                <w:sz w:val="18"/>
                <w:szCs w:val="18"/>
              </w:rPr>
              <w:t>以本机构</w:t>
            </w:r>
            <w:r w:rsidRPr="00CB4B9E">
              <w:rPr>
                <w:rFonts w:ascii="宋体" w:hAnsi="宋体" w:cs="宋体" w:hint="eastAsia"/>
                <w:color w:val="000000" w:themeColor="text1"/>
                <w:kern w:val="0"/>
                <w:sz w:val="18"/>
                <w:szCs w:val="18"/>
              </w:rPr>
              <w:t>或相关产品</w:t>
            </w:r>
            <w:r w:rsidRPr="00CB4B9E">
              <w:rPr>
                <w:rFonts w:ascii="宋体" w:hAnsi="宋体" w:cs="宋体"/>
                <w:color w:val="000000" w:themeColor="text1"/>
                <w:kern w:val="0"/>
                <w:sz w:val="18"/>
                <w:szCs w:val="18"/>
              </w:rPr>
              <w:t>名义投资的，由</w:t>
            </w:r>
            <w:r w:rsidRPr="00CB4B9E">
              <w:rPr>
                <w:rFonts w:ascii="宋体" w:hAnsi="宋体" w:cs="宋体" w:hint="eastAsia"/>
                <w:color w:val="000000" w:themeColor="text1"/>
                <w:kern w:val="0"/>
                <w:sz w:val="18"/>
                <w:szCs w:val="18"/>
              </w:rPr>
              <w:t>该</w:t>
            </w:r>
            <w:r w:rsidRPr="00CB4B9E">
              <w:rPr>
                <w:rFonts w:ascii="宋体" w:hAnsi="宋体" w:cs="宋体"/>
                <w:color w:val="000000" w:themeColor="text1"/>
                <w:kern w:val="0"/>
                <w:sz w:val="18"/>
                <w:szCs w:val="18"/>
              </w:rPr>
              <w:t>境内代理人</w:t>
            </w:r>
            <w:r w:rsidRPr="00CB4B9E">
              <w:rPr>
                <w:rFonts w:ascii="宋体" w:hAnsi="宋体" w:cs="宋体" w:hint="eastAsia"/>
                <w:color w:val="000000" w:themeColor="text1"/>
                <w:kern w:val="0"/>
                <w:sz w:val="18"/>
                <w:szCs w:val="18"/>
              </w:rPr>
              <w:t>（或管理人）</w:t>
            </w:r>
            <w:r w:rsidRPr="00CB4B9E">
              <w:rPr>
                <w:rFonts w:ascii="宋体" w:hAnsi="宋体" w:cs="宋体"/>
                <w:color w:val="000000" w:themeColor="text1"/>
                <w:kern w:val="0"/>
                <w:sz w:val="18"/>
                <w:szCs w:val="18"/>
              </w:rPr>
              <w:t>代为报送</w:t>
            </w:r>
            <w:r w:rsidRPr="00CB4B9E">
              <w:rPr>
                <w:rFonts w:ascii="宋体" w:hAnsi="宋体" w:cs="宋体" w:hint="eastAsia"/>
                <w:color w:val="000000" w:themeColor="text1"/>
                <w:kern w:val="0"/>
                <w:sz w:val="18"/>
                <w:szCs w:val="18"/>
              </w:rPr>
              <w:t>，本机构（被代理人）不再重复申报</w:t>
            </w:r>
            <w:r w:rsidRPr="00CB4B9E">
              <w:rPr>
                <w:rFonts w:ascii="宋体" w:hAnsi="宋体" w:cs="宋体"/>
                <w:color w:val="000000" w:themeColor="text1"/>
                <w:kern w:val="0"/>
                <w:sz w:val="18"/>
                <w:szCs w:val="18"/>
              </w:rPr>
              <w:t>；</w:t>
            </w:r>
          </w:p>
          <w:p w:rsidR="00FB0F60" w:rsidRPr="009263D7" w:rsidRDefault="00CB4B9E" w:rsidP="00423A6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既无境内托管人，也无境内代理人</w:t>
            </w:r>
            <w:r w:rsidRPr="00CB4B9E">
              <w:rPr>
                <w:rFonts w:ascii="宋体" w:hAnsi="宋体" w:cs="宋体" w:hint="eastAsia"/>
                <w:color w:val="000000" w:themeColor="text1"/>
                <w:kern w:val="0"/>
                <w:sz w:val="18"/>
                <w:szCs w:val="18"/>
              </w:rPr>
              <w:t>（或管理人）</w:t>
            </w:r>
            <w:r w:rsidRPr="00CB4B9E">
              <w:rPr>
                <w:rFonts w:ascii="宋体" w:hAnsi="宋体" w:cs="宋体"/>
                <w:color w:val="000000" w:themeColor="text1"/>
                <w:kern w:val="0"/>
                <w:sz w:val="18"/>
                <w:szCs w:val="18"/>
              </w:rPr>
              <w:t>的，</w:t>
            </w:r>
            <w:r w:rsidRPr="00CB4B9E">
              <w:rPr>
                <w:rFonts w:ascii="宋体" w:hAnsi="宋体" w:cs="宋体" w:hint="eastAsia"/>
                <w:color w:val="000000" w:themeColor="text1"/>
                <w:kern w:val="0"/>
                <w:sz w:val="18"/>
                <w:szCs w:val="18"/>
              </w:rPr>
              <w:t>本机构</w:t>
            </w:r>
            <w:r w:rsidRPr="00CB4B9E">
              <w:rPr>
                <w:rFonts w:ascii="宋体" w:hAnsi="宋体" w:cs="宋体"/>
                <w:color w:val="000000" w:themeColor="text1"/>
                <w:kern w:val="0"/>
                <w:sz w:val="18"/>
                <w:szCs w:val="18"/>
              </w:rPr>
              <w:t>应报送以自身名义投资的部分，包括以自身名义持有，但使用客户资金对外投资的部分</w:t>
            </w:r>
            <w:r w:rsidRPr="00CB4B9E">
              <w:rPr>
                <w:rFonts w:ascii="宋体" w:hAnsi="宋体" w:cs="宋体" w:hint="eastAsia"/>
                <w:color w:val="000000" w:themeColor="text1"/>
                <w:kern w:val="0"/>
                <w:sz w:val="18"/>
                <w:szCs w:val="18"/>
              </w:rPr>
              <w:t>。</w:t>
            </w:r>
          </w:p>
        </w:tc>
        <w:tc>
          <w:tcPr>
            <w:tcW w:w="4600" w:type="dxa"/>
            <w:tcBorders>
              <w:top w:val="single" w:sz="4" w:space="0" w:color="auto"/>
              <w:left w:val="nil"/>
              <w:bottom w:val="single" w:sz="8" w:space="0" w:color="auto"/>
              <w:right w:val="nil"/>
            </w:tcBorders>
            <w:shd w:val="clear" w:color="auto" w:fill="auto"/>
            <w:vAlign w:val="center"/>
          </w:tcPr>
          <w:p w:rsidR="00FB0F60" w:rsidRPr="009263D7" w:rsidRDefault="00FB0F60" w:rsidP="008E2D8C">
            <w:pPr>
              <w:widowControl/>
              <w:jc w:val="left"/>
              <w:rPr>
                <w:rFonts w:ascii="宋体" w:hAnsi="宋体" w:cs="宋体"/>
                <w:color w:val="000000" w:themeColor="text1"/>
                <w:kern w:val="0"/>
                <w:sz w:val="18"/>
                <w:szCs w:val="18"/>
              </w:rPr>
            </w:pPr>
          </w:p>
        </w:tc>
      </w:tr>
    </w:tbl>
    <w:p w:rsidR="00FB0F60" w:rsidRPr="009263D7" w:rsidRDefault="00FB0F60" w:rsidP="00FB0F60">
      <w:pPr>
        <w:spacing w:line="280" w:lineRule="exact"/>
        <w:ind w:leftChars="-1" w:left="1062" w:hangingChars="591" w:hanging="1064"/>
        <w:rPr>
          <w:rFonts w:ascii="宋体" w:hAnsi="宋体" w:cs="宋体"/>
          <w:color w:val="000000" w:themeColor="text1"/>
          <w:kern w:val="0"/>
          <w:sz w:val="18"/>
          <w:szCs w:val="18"/>
        </w:rPr>
      </w:pP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B0101.</w:t>
      </w:r>
      <w:r w:rsidRPr="00CB4B9E">
        <w:rPr>
          <w:rFonts w:ascii="黑体" w:eastAsia="黑体" w:hAnsi="宋体" w:hint="eastAsia"/>
          <w:color w:val="000000" w:themeColor="text1"/>
          <w:szCs w:val="21"/>
        </w:rPr>
        <w:t>填报机构身份</w:t>
      </w:r>
      <w:r w:rsidRPr="00CB4B9E">
        <w:rPr>
          <w:rFonts w:ascii="黑体" w:eastAsia="黑体" w:hAnsi="宋体" w:hint="eastAsia"/>
          <w:color w:val="000000" w:themeColor="text1"/>
        </w:rPr>
        <w:t>：</w:t>
      </w:r>
      <w:r w:rsidRPr="00CB4B9E">
        <w:rPr>
          <w:rFonts w:ascii="宋体" w:hAnsi="宋体" w:hint="eastAsia"/>
          <w:color w:val="000000" w:themeColor="text1"/>
          <w:szCs w:val="21"/>
        </w:rPr>
        <w:t>请按以下两种情况填列：</w:t>
      </w:r>
      <w:r w:rsidRPr="00CB4B9E">
        <w:rPr>
          <w:rFonts w:ascii="宋体" w:hAnsi="宋体" w:hint="eastAsia"/>
          <w:color w:val="000000" w:themeColor="text1"/>
        </w:rPr>
        <w:t>①以自身名义投资（无境内托管人、代理人或管理人）；②是代理人或管理人，以客户或产品名义投资。</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B0102.被代理人/委托人</w:t>
      </w:r>
      <w:r w:rsidRPr="00CB4B9E">
        <w:rPr>
          <w:rFonts w:ascii="黑体" w:eastAsia="黑体" w:hAnsi="宋体" w:hint="eastAsia"/>
          <w:color w:val="000000" w:themeColor="text1"/>
          <w:szCs w:val="21"/>
        </w:rPr>
        <w:t>所属国家</w:t>
      </w:r>
      <w:r w:rsidRPr="00CB4B9E">
        <w:rPr>
          <w:rFonts w:ascii="黑体" w:eastAsia="黑体" w:hAnsi="宋体"/>
          <w:color w:val="000000" w:themeColor="text1"/>
          <w:szCs w:val="21"/>
        </w:rPr>
        <w:t>/地区：</w:t>
      </w:r>
      <w:r w:rsidRPr="00CB4B9E">
        <w:rPr>
          <w:rFonts w:ascii="宋体" w:hAnsi="宋体" w:hint="eastAsia"/>
          <w:color w:val="000000" w:themeColor="text1"/>
        </w:rPr>
        <w:t>被代理人或委托人必须为中国居民，本项应填“中国”。</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B0103.被代理人/委托人</w:t>
      </w:r>
      <w:r w:rsidRPr="00CB4B9E">
        <w:rPr>
          <w:rFonts w:ascii="黑体" w:eastAsia="黑体" w:hAnsi="宋体" w:hint="eastAsia"/>
          <w:color w:val="000000" w:themeColor="text1"/>
          <w:szCs w:val="21"/>
        </w:rPr>
        <w:t>所属部门：</w:t>
      </w:r>
      <w:r w:rsidRPr="00CB4B9E">
        <w:rPr>
          <w:rFonts w:ascii="宋体" w:hAnsi="宋体" w:hint="eastAsia"/>
          <w:color w:val="000000" w:themeColor="text1"/>
        </w:rPr>
        <w:t>指本机构所代理的客户所属部门。请按以下五个子部门填列：①政府；②中央银行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请按客户的主营业务归类。</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B0104.</w:t>
      </w:r>
      <w:r w:rsidRPr="00CB4B9E">
        <w:rPr>
          <w:rFonts w:ascii="黑体" w:eastAsia="黑体" w:hAnsi="宋体" w:hint="eastAsia"/>
          <w:color w:val="000000" w:themeColor="text1"/>
          <w:szCs w:val="21"/>
        </w:rPr>
        <w:t>投资类型</w:t>
      </w:r>
      <w:r w:rsidRPr="00CB4B9E">
        <w:rPr>
          <w:rFonts w:ascii="黑体" w:eastAsia="黑体" w:hAnsi="宋体" w:hint="eastAsia"/>
          <w:color w:val="000000" w:themeColor="text1"/>
        </w:rPr>
        <w:t>：</w:t>
      </w:r>
      <w:r w:rsidRPr="00CB4B9E">
        <w:rPr>
          <w:rFonts w:ascii="宋体" w:hAnsi="宋体" w:hint="eastAsia"/>
          <w:color w:val="000000" w:themeColor="text1"/>
          <w:szCs w:val="21"/>
        </w:rPr>
        <w:t>包括：①上市普通股；</w:t>
      </w:r>
      <w:r w:rsidRPr="00CB4B9E">
        <w:rPr>
          <w:rFonts w:ascii="宋体" w:hAnsi="宋体" w:hint="eastAsia"/>
          <w:color w:val="000000" w:themeColor="text1"/>
        </w:rPr>
        <w:t>②</w:t>
      </w:r>
      <w:r w:rsidRPr="00CB4B9E">
        <w:rPr>
          <w:rFonts w:ascii="宋体" w:hAnsi="宋体" w:hint="eastAsia"/>
          <w:color w:val="000000" w:themeColor="text1"/>
          <w:szCs w:val="21"/>
        </w:rPr>
        <w:t>非上市普通股（但可交易）；</w:t>
      </w:r>
      <w:r w:rsidRPr="00CB4B9E">
        <w:rPr>
          <w:rFonts w:ascii="宋体" w:hAnsi="宋体" w:hint="eastAsia"/>
          <w:color w:val="000000" w:themeColor="text1"/>
        </w:rPr>
        <w:t>③</w:t>
      </w:r>
      <w:r w:rsidRPr="00CB4B9E">
        <w:rPr>
          <w:rFonts w:ascii="宋体" w:hAnsi="宋体" w:hint="eastAsia"/>
          <w:color w:val="000000" w:themeColor="text1"/>
          <w:szCs w:val="21"/>
        </w:rPr>
        <w:t>货币市场基金份额</w:t>
      </w:r>
      <w:r w:rsidRPr="00CB4B9E">
        <w:rPr>
          <w:rFonts w:ascii="宋体" w:hAnsi="宋体"/>
          <w:color w:val="000000" w:themeColor="text1"/>
          <w:szCs w:val="21"/>
        </w:rPr>
        <w:t>/单位；④非货币市场基金份额/单位</w:t>
      </w:r>
      <w:r w:rsidRPr="00CB4B9E">
        <w:rPr>
          <w:rFonts w:ascii="宋体" w:hAnsi="宋体" w:hint="eastAsia"/>
          <w:color w:val="000000" w:themeColor="text1"/>
          <w:szCs w:val="21"/>
        </w:rPr>
        <w:t>；</w:t>
      </w:r>
      <w:r w:rsidRPr="00CB4B9E">
        <w:rPr>
          <w:rFonts w:ascii="宋体" w:hAnsi="宋体" w:hint="eastAsia"/>
          <w:color w:val="000000" w:themeColor="text1"/>
        </w:rPr>
        <w:t>⑤参与性优先股</w:t>
      </w:r>
      <w:r w:rsidRPr="00CB4B9E">
        <w:rPr>
          <w:rFonts w:ascii="宋体" w:hAnsi="宋体" w:hint="eastAsia"/>
          <w:color w:val="000000" w:themeColor="text1"/>
          <w:szCs w:val="21"/>
        </w:rPr>
        <w:t>。</w:t>
      </w:r>
      <w:r w:rsidR="00B91272">
        <w:rPr>
          <w:rFonts w:ascii="宋体" w:hAnsi="宋体" w:hint="eastAsia"/>
          <w:color w:val="000000" w:themeColor="text1"/>
        </w:rPr>
        <w:t>其中，参与性优先股为股本证券，纳入本表统计；非</w:t>
      </w:r>
      <w:r w:rsidR="00B91272">
        <w:rPr>
          <w:rFonts w:ascii="宋体" w:hAnsi="宋体" w:hint="eastAsia"/>
          <w:color w:val="000000" w:themeColor="text1"/>
        </w:rPr>
        <w:lastRenderedPageBreak/>
        <w:t>参与性优先股为债务类工具，不应纳入本表统计，应纳入债务证券统计。</w:t>
      </w:r>
      <w:r w:rsidRPr="00CB4B9E">
        <w:rPr>
          <w:rFonts w:ascii="宋体" w:hAnsi="宋体" w:hint="eastAsia"/>
          <w:color w:val="000000" w:themeColor="text1"/>
          <w:szCs w:val="21"/>
        </w:rPr>
        <w:t>可转债在转换前，统计为债务证券；转换后，统计为股本证券。</w:t>
      </w:r>
    </w:p>
    <w:p w:rsidR="00085F9E"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B0104CODE.业务类型：</w:t>
      </w:r>
      <w:r w:rsidRPr="00CB4B9E">
        <w:rPr>
          <w:rFonts w:ascii="宋体" w:hAnsi="宋体" w:hint="eastAsia"/>
          <w:color w:val="000000" w:themeColor="text1"/>
          <w:szCs w:val="21"/>
        </w:rPr>
        <w:t>包括：①基金互认；</w:t>
      </w:r>
      <w:r w:rsidRPr="00CB4B9E">
        <w:rPr>
          <w:rFonts w:ascii="宋体" w:hAnsi="宋体" w:hint="eastAsia"/>
          <w:color w:val="000000" w:themeColor="text1"/>
        </w:rPr>
        <w:t>②沪港通；③深港通；</w:t>
      </w:r>
      <w:r w:rsidRPr="00CB4B9E">
        <w:rPr>
          <w:rFonts w:ascii="宋体" w:hAnsi="宋体"/>
          <w:color w:val="000000" w:themeColor="text1"/>
        </w:rPr>
        <w:fldChar w:fldCharType="begin"/>
      </w:r>
      <w:r w:rsidRPr="00CB4B9E">
        <w:rPr>
          <w:rFonts w:ascii="宋体" w:hAnsi="宋体"/>
          <w:color w:val="000000" w:themeColor="text1"/>
        </w:rPr>
        <w:instrText xml:space="preserve"> = 9 \* GB3 </w:instrText>
      </w:r>
      <w:r w:rsidRPr="00CB4B9E">
        <w:rPr>
          <w:rFonts w:ascii="宋体" w:hAnsi="宋体"/>
          <w:color w:val="000000" w:themeColor="text1"/>
        </w:rPr>
        <w:fldChar w:fldCharType="separate"/>
      </w:r>
      <w:r w:rsidRPr="00CB4B9E">
        <w:rPr>
          <w:rFonts w:ascii="宋体" w:hAnsi="宋体" w:hint="eastAsia"/>
          <w:noProof/>
          <w:color w:val="000000" w:themeColor="text1"/>
        </w:rPr>
        <w:t>⑨</w:t>
      </w:r>
      <w:r w:rsidRPr="00CB4B9E">
        <w:rPr>
          <w:rFonts w:ascii="宋体" w:hAnsi="宋体"/>
          <w:color w:val="000000" w:themeColor="text1"/>
        </w:rPr>
        <w:fldChar w:fldCharType="end"/>
      </w:r>
      <w:r w:rsidRPr="00CB4B9E">
        <w:rPr>
          <w:rFonts w:ascii="宋体" w:hAnsi="宋体" w:hint="eastAsia"/>
          <w:color w:val="000000" w:themeColor="text1"/>
        </w:rPr>
        <w:t>其他。</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B0105.发行地</w:t>
      </w:r>
      <w:r w:rsidRPr="00CB4B9E">
        <w:rPr>
          <w:rFonts w:ascii="黑体" w:eastAsia="黑体" w:hAnsi="宋体" w:hint="eastAsia"/>
          <w:color w:val="000000" w:themeColor="text1"/>
        </w:rPr>
        <w:t>：</w:t>
      </w:r>
      <w:r w:rsidRPr="00CB4B9E">
        <w:rPr>
          <w:rFonts w:ascii="宋体" w:hAnsi="宋体" w:hint="eastAsia"/>
          <w:color w:val="000000" w:themeColor="text1"/>
        </w:rPr>
        <w:t>请参照数据采集规范最新版本中的相关代码表，填写相关上市股份和投资基金份额</w:t>
      </w:r>
      <w:r w:rsidRPr="00CB4B9E">
        <w:rPr>
          <w:rFonts w:ascii="宋体" w:hAnsi="宋体"/>
          <w:color w:val="000000" w:themeColor="text1"/>
        </w:rPr>
        <w:t>/单位发行场所所在的国家/地区代码</w:t>
      </w:r>
      <w:r w:rsidRPr="00CB4B9E">
        <w:rPr>
          <w:rFonts w:ascii="宋体" w:hAnsi="宋体" w:hint="eastAsia"/>
          <w:color w:val="000000" w:themeColor="text1"/>
        </w:rPr>
        <w:t>。对于非上市股份或基金份额，应填写发行人注册所在的国家</w:t>
      </w:r>
      <w:r w:rsidRPr="00CB4B9E">
        <w:rPr>
          <w:rFonts w:ascii="宋体" w:hAnsi="宋体"/>
          <w:color w:val="000000" w:themeColor="text1"/>
        </w:rPr>
        <w:t>/地区。</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B0106.证券代码（逐支报送使用）：</w:t>
      </w:r>
      <w:r w:rsidRPr="00CB4B9E">
        <w:rPr>
          <w:rFonts w:ascii="Calibri" w:hAnsi="Calibri" w:hint="eastAsia"/>
          <w:color w:val="000000" w:themeColor="text1"/>
        </w:rPr>
        <w:t>对于选择报送逐支证券信息的，请填写此项。</w:t>
      </w:r>
      <w:r w:rsidRPr="00CB4B9E">
        <w:rPr>
          <w:rFonts w:ascii="宋体" w:hAnsi="宋体" w:hint="eastAsia"/>
          <w:color w:val="000000" w:themeColor="text1"/>
          <w:szCs w:val="21"/>
        </w:rPr>
        <w:t>指相关股份或基金份额</w:t>
      </w:r>
      <w:r w:rsidRPr="00CB4B9E">
        <w:rPr>
          <w:rFonts w:ascii="宋体" w:hAnsi="宋体"/>
          <w:color w:val="000000" w:themeColor="text1"/>
          <w:szCs w:val="21"/>
        </w:rPr>
        <w:t>/单位</w:t>
      </w:r>
      <w:r w:rsidRPr="00CB4B9E">
        <w:rPr>
          <w:rFonts w:ascii="宋体" w:hAnsi="宋体" w:hint="eastAsia"/>
          <w:color w:val="000000" w:themeColor="text1"/>
          <w:szCs w:val="21"/>
        </w:rPr>
        <w:t>的代码。其中，境外上市的股份或投资基金份额</w:t>
      </w:r>
      <w:r w:rsidRPr="00CB4B9E">
        <w:rPr>
          <w:rFonts w:ascii="宋体" w:hAnsi="宋体"/>
          <w:color w:val="000000" w:themeColor="text1"/>
          <w:szCs w:val="21"/>
        </w:rPr>
        <w:t>/单位</w:t>
      </w:r>
      <w:r w:rsidRPr="00CB4B9E">
        <w:rPr>
          <w:rFonts w:ascii="宋体" w:hAnsi="宋体" w:hint="eastAsia"/>
          <w:color w:val="000000" w:themeColor="text1"/>
          <w:szCs w:val="21"/>
        </w:rPr>
        <w:t>，应优先填写国际证券代码（</w:t>
      </w:r>
      <w:r w:rsidRPr="00CB4B9E">
        <w:rPr>
          <w:rFonts w:ascii="宋体" w:hAnsi="宋体"/>
          <w:color w:val="000000" w:themeColor="text1"/>
          <w:szCs w:val="21"/>
        </w:rPr>
        <w:t>International Securities Identification Number,简称ISIN码）</w:t>
      </w:r>
      <w:r w:rsidRPr="00CB4B9E">
        <w:rPr>
          <w:rFonts w:ascii="宋体" w:hAnsi="宋体" w:hint="eastAsia"/>
          <w:color w:val="000000" w:themeColor="text1"/>
          <w:szCs w:val="21"/>
        </w:rPr>
        <w:t>。如无</w:t>
      </w:r>
      <w:r w:rsidRPr="00CB4B9E">
        <w:rPr>
          <w:rFonts w:ascii="宋体" w:hAnsi="宋体"/>
          <w:color w:val="000000" w:themeColor="text1"/>
          <w:szCs w:val="21"/>
        </w:rPr>
        <w:t>ISIN码</w:t>
      </w:r>
      <w:r w:rsidRPr="00CB4B9E">
        <w:rPr>
          <w:rFonts w:ascii="宋体" w:hAnsi="宋体" w:hint="eastAsia"/>
          <w:color w:val="000000" w:themeColor="text1"/>
          <w:szCs w:val="21"/>
        </w:rPr>
        <w:t>，按照相关市场唯一通用的编码填列。对于协议购买境外非上市股份或基金份额</w:t>
      </w:r>
      <w:r w:rsidRPr="00CB4B9E">
        <w:rPr>
          <w:rFonts w:ascii="宋体" w:hAnsi="宋体"/>
          <w:color w:val="000000" w:themeColor="text1"/>
          <w:szCs w:val="21"/>
        </w:rPr>
        <w:t>/单位</w:t>
      </w:r>
      <w:r w:rsidRPr="00CB4B9E">
        <w:rPr>
          <w:rFonts w:ascii="宋体" w:hAnsi="宋体" w:hint="eastAsia"/>
          <w:color w:val="000000" w:themeColor="text1"/>
          <w:szCs w:val="21"/>
        </w:rPr>
        <w:t>的，应填列内部使用的唯一代码。</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B0107.证券发行主体名称（逐支报送使用）</w:t>
      </w:r>
      <w:r w:rsidRPr="00CB4B9E">
        <w:rPr>
          <w:rFonts w:ascii="黑体" w:eastAsia="黑体" w:hAnsi="宋体" w:hint="eastAsia"/>
          <w:color w:val="000000" w:themeColor="text1"/>
        </w:rPr>
        <w:t>：</w:t>
      </w:r>
      <w:r w:rsidRPr="00CB4B9E">
        <w:rPr>
          <w:rFonts w:ascii="Calibri" w:hAnsi="Calibri" w:hint="eastAsia"/>
          <w:color w:val="000000" w:themeColor="text1"/>
        </w:rPr>
        <w:t>对于选择报送逐支证券信息的，请填写此项。指</w:t>
      </w:r>
      <w:r w:rsidRPr="00CB4B9E">
        <w:rPr>
          <w:rFonts w:ascii="宋体" w:hAnsi="宋体" w:hint="eastAsia"/>
          <w:color w:val="000000" w:themeColor="text1"/>
        </w:rPr>
        <w:t>发行相关股本证券或投资基金份额</w:t>
      </w:r>
      <w:r w:rsidRPr="00CB4B9E">
        <w:rPr>
          <w:rFonts w:ascii="宋体" w:hAnsi="宋体"/>
          <w:color w:val="000000" w:themeColor="text1"/>
        </w:rPr>
        <w:t>/单位的非居民或居民机构的</w:t>
      </w:r>
      <w:r w:rsidRPr="00CB4B9E">
        <w:rPr>
          <w:rFonts w:ascii="宋体" w:hAnsi="宋体" w:hint="eastAsia"/>
          <w:color w:val="000000" w:themeColor="text1"/>
          <w:szCs w:val="21"/>
        </w:rPr>
        <w:t>中文名称及当地注册的英文名称。如为其他语言名称，可不填写外文名称，但必须填写中文名称。</w:t>
      </w:r>
    </w:p>
    <w:p w:rsidR="001D2E46" w:rsidRPr="009263D7" w:rsidRDefault="00CB4B9E" w:rsidP="007D7380">
      <w:pPr>
        <w:tabs>
          <w:tab w:val="left" w:pos="5670"/>
        </w:tabs>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B0108.发行主体所属国家/地区</w:t>
      </w:r>
      <w:r w:rsidRPr="00CB4B9E">
        <w:rPr>
          <w:rFonts w:ascii="黑体" w:eastAsia="黑体" w:hAnsi="宋体" w:hint="eastAsia"/>
          <w:color w:val="000000" w:themeColor="text1"/>
        </w:rPr>
        <w:t>：</w:t>
      </w:r>
      <w:r w:rsidRPr="00CB4B9E">
        <w:rPr>
          <w:rFonts w:ascii="宋体" w:hAnsi="宋体" w:hint="eastAsia"/>
          <w:color w:val="000000" w:themeColor="text1"/>
        </w:rPr>
        <w:t>填写相关非居民</w:t>
      </w:r>
      <w:r w:rsidRPr="00CB4B9E">
        <w:rPr>
          <w:rFonts w:ascii="宋体" w:hAnsi="宋体"/>
          <w:color w:val="000000" w:themeColor="text1"/>
        </w:rPr>
        <w:t>/境外上市居民发行主体的注册</w:t>
      </w:r>
      <w:r w:rsidRPr="00CB4B9E">
        <w:rPr>
          <w:rFonts w:ascii="宋体" w:hAnsi="宋体" w:hint="eastAsia"/>
          <w:color w:val="000000" w:themeColor="text1"/>
        </w:rPr>
        <w:t>所在的国家</w:t>
      </w:r>
      <w:r w:rsidRPr="00CB4B9E">
        <w:rPr>
          <w:rFonts w:ascii="宋体" w:hAnsi="宋体"/>
          <w:color w:val="000000" w:themeColor="text1"/>
        </w:rPr>
        <w:t>/地区</w:t>
      </w:r>
      <w:r w:rsidRPr="00CB4B9E">
        <w:rPr>
          <w:rFonts w:ascii="宋体" w:hAnsi="宋体" w:hint="eastAsia"/>
          <w:color w:val="000000" w:themeColor="text1"/>
        </w:rPr>
        <w:t>代码。对于无法判定其注册地的，应填写其经营所在地国家</w:t>
      </w:r>
      <w:r w:rsidRPr="00CB4B9E">
        <w:rPr>
          <w:rFonts w:ascii="宋体" w:hAnsi="宋体"/>
          <w:color w:val="000000" w:themeColor="text1"/>
        </w:rPr>
        <w:t>/地区</w:t>
      </w:r>
      <w:r w:rsidRPr="00CB4B9E">
        <w:rPr>
          <w:rFonts w:ascii="宋体" w:hAnsi="宋体" w:hint="eastAsia"/>
          <w:color w:val="000000" w:themeColor="text1"/>
        </w:rPr>
        <w:t>代码。对于注册地或经营地均无法判定的，应填写相关工具发行场所所在地的国家</w:t>
      </w:r>
      <w:r w:rsidRPr="00CB4B9E">
        <w:rPr>
          <w:rFonts w:ascii="宋体" w:hAnsi="宋体"/>
          <w:color w:val="000000" w:themeColor="text1"/>
        </w:rPr>
        <w:t>/地区</w:t>
      </w:r>
      <w:r w:rsidRPr="00CB4B9E">
        <w:rPr>
          <w:rFonts w:ascii="宋体" w:hAnsi="宋体" w:hint="eastAsia"/>
          <w:color w:val="000000" w:themeColor="text1"/>
        </w:rPr>
        <w:t>代码。比如，持有的是中国银行在香港发行的</w:t>
      </w:r>
      <w:r w:rsidRPr="00CB4B9E">
        <w:rPr>
          <w:rFonts w:ascii="宋体" w:hAnsi="宋体"/>
          <w:color w:val="000000" w:themeColor="text1"/>
        </w:rPr>
        <w:t>H股，其发行主体所属国家/地区应为中国</w:t>
      </w:r>
      <w:r w:rsidRPr="00CB4B9E">
        <w:rPr>
          <w:rFonts w:ascii="宋体" w:hAnsi="宋体" w:hint="eastAsia"/>
          <w:color w:val="000000" w:themeColor="text1"/>
        </w:rPr>
        <w:t>；持有中银香港在香港发行的</w:t>
      </w:r>
      <w:r w:rsidRPr="00CB4B9E">
        <w:rPr>
          <w:rFonts w:ascii="宋体" w:hAnsi="宋体"/>
          <w:color w:val="000000" w:themeColor="text1"/>
        </w:rPr>
        <w:t>H股，其发行主体所属国家/地区应为香港</w:t>
      </w:r>
      <w:r w:rsidRPr="00CB4B9E">
        <w:rPr>
          <w:rFonts w:ascii="宋体" w:hAnsi="宋体" w:hint="eastAsia"/>
          <w:color w:val="000000" w:themeColor="text1"/>
        </w:rPr>
        <w:t>。</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B0109.发行主体所属部门</w:t>
      </w:r>
      <w:r w:rsidRPr="00CB4B9E">
        <w:rPr>
          <w:rFonts w:ascii="黑体" w:eastAsia="黑体" w:hAnsi="宋体" w:hint="eastAsia"/>
          <w:color w:val="000000" w:themeColor="text1"/>
        </w:rPr>
        <w:t>：</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。请按发行主体的主营业务归类。</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B0110.</w:t>
      </w:r>
      <w:r w:rsidRPr="00CB4B9E">
        <w:rPr>
          <w:rFonts w:ascii="黑体" w:eastAsia="黑体" w:hAnsi="宋体" w:hint="eastAsia"/>
          <w:color w:val="000000" w:themeColor="text1"/>
        </w:rPr>
        <w:t>发行主体与本机构的关系：</w:t>
      </w:r>
      <w:r w:rsidRPr="00CB4B9E">
        <w:rPr>
          <w:rFonts w:ascii="宋体" w:hAnsi="宋体" w:hint="eastAsia"/>
          <w:color w:val="000000" w:themeColor="text1"/>
        </w:rPr>
        <w:t>请按以下四种情况填列：①发行主体是本机构的境外直接投资者，即持有本机构表决权≥</w:t>
      </w:r>
      <w:r w:rsidRPr="00CB4B9E">
        <w:rPr>
          <w:rFonts w:ascii="宋体" w:hAnsi="宋体"/>
          <w:color w:val="000000" w:themeColor="text1"/>
        </w:rPr>
        <w:t>10%；②发行主体是</w:t>
      </w:r>
      <w:r w:rsidRPr="00CB4B9E">
        <w:rPr>
          <w:rFonts w:ascii="宋体" w:hAnsi="宋体" w:hint="eastAsia"/>
          <w:color w:val="000000" w:themeColor="text1"/>
        </w:rPr>
        <w:t>本机构的境外直接投资企业，即本机构持有其表决权在</w:t>
      </w:r>
      <w:r w:rsidRPr="00CB4B9E">
        <w:rPr>
          <w:rFonts w:ascii="宋体" w:hAnsi="宋体"/>
          <w:color w:val="000000" w:themeColor="text1"/>
        </w:rPr>
        <w:t>10%及以上的境外分支机构、子机构、联营机构或合营机构</w:t>
      </w:r>
      <w:r w:rsidRPr="00CB4B9E">
        <w:rPr>
          <w:rFonts w:ascii="宋体" w:hAnsi="宋体" w:hint="eastAsia"/>
          <w:color w:val="000000" w:themeColor="text1"/>
        </w:rPr>
        <w:t>；③发行主体是本机构的境外联属机构，即两机构有共同母公司，但相互持有表决权＜</w:t>
      </w:r>
      <w:r w:rsidRPr="00CB4B9E">
        <w:rPr>
          <w:rFonts w:ascii="宋体" w:hAnsi="宋体"/>
          <w:color w:val="000000" w:themeColor="text1"/>
        </w:rPr>
        <w:t>10%或相</w:t>
      </w:r>
      <w:r w:rsidRPr="00CB4B9E">
        <w:rPr>
          <w:rFonts w:ascii="宋体" w:hAnsi="宋体" w:hint="eastAsia"/>
          <w:color w:val="000000" w:themeColor="text1"/>
        </w:rPr>
        <w:t>互不持有表决权；④发行主体与投资者无关联关系，或两机构均处于中国境内。本表中，如果出现②，相关数据不应填入本表，请填入</w:t>
      </w:r>
      <w:r w:rsidRPr="00CB4B9E">
        <w:rPr>
          <w:rFonts w:ascii="宋体" w:hAnsi="宋体"/>
          <w:color w:val="000000" w:themeColor="text1"/>
        </w:rPr>
        <w:t>A01表</w:t>
      </w:r>
      <w:r w:rsidRPr="00CB4B9E">
        <w:rPr>
          <w:rFonts w:ascii="宋体" w:hAnsi="宋体" w:hint="eastAsia"/>
          <w:color w:val="000000" w:themeColor="text1"/>
        </w:rPr>
        <w:t>（对外直接投资）。</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B0111.</w:t>
      </w:r>
      <w:r w:rsidRPr="00CB4B9E">
        <w:rPr>
          <w:rFonts w:ascii="黑体" w:eastAsia="黑体" w:hAnsi="宋体" w:hint="eastAsia"/>
          <w:color w:val="000000" w:themeColor="text1"/>
        </w:rPr>
        <w:t>原始币种：</w:t>
      </w:r>
      <w:r w:rsidRPr="00CB4B9E">
        <w:rPr>
          <w:rFonts w:ascii="宋体" w:hAnsi="宋体" w:hint="eastAsia"/>
          <w:color w:val="000000" w:themeColor="text1"/>
          <w:szCs w:val="21"/>
        </w:rPr>
        <w:t>指相关股本证券或投资基金份额</w:t>
      </w:r>
      <w:r w:rsidRPr="00CB4B9E">
        <w:rPr>
          <w:rFonts w:ascii="宋体" w:hAnsi="宋体"/>
          <w:color w:val="000000" w:themeColor="text1"/>
          <w:szCs w:val="21"/>
        </w:rPr>
        <w:t>/单位的计价币种，</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填列。适用于</w:t>
      </w:r>
      <w:r w:rsidRPr="00CB4B9E">
        <w:rPr>
          <w:rFonts w:ascii="宋体" w:hAnsi="宋体"/>
          <w:color w:val="000000" w:themeColor="text1"/>
          <w:szCs w:val="21"/>
        </w:rPr>
        <w:t>B0112-B0121各项。</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B0112.上月末市值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指上月末所持股本证券或投资基金份额</w:t>
      </w:r>
      <w:r w:rsidRPr="00CB4B9E">
        <w:rPr>
          <w:rFonts w:ascii="宋体" w:hAnsi="宋体"/>
          <w:color w:val="000000" w:themeColor="text1"/>
          <w:szCs w:val="21"/>
        </w:rPr>
        <w:t>/单位的公允价值。应优先使用按上月末公开市场收盘价计算的市场价值。如无市场价值，则按照记账惯例填报公允价值。</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B0113.本月买入金额：</w:t>
      </w:r>
      <w:r w:rsidRPr="00CB4B9E">
        <w:rPr>
          <w:rFonts w:ascii="宋体" w:hAnsi="宋体" w:hint="eastAsia"/>
          <w:color w:val="000000" w:themeColor="text1"/>
          <w:szCs w:val="21"/>
        </w:rPr>
        <w:t>指本月内，对应投资者买入或申购相关股本证券或投资基金份额</w:t>
      </w:r>
      <w:r w:rsidRPr="00CB4B9E">
        <w:rPr>
          <w:rFonts w:ascii="宋体" w:hAnsi="宋体"/>
          <w:color w:val="000000" w:themeColor="text1"/>
          <w:szCs w:val="21"/>
        </w:rPr>
        <w:t>/单位所支</w:t>
      </w:r>
      <w:r w:rsidRPr="00CB4B9E">
        <w:rPr>
          <w:rFonts w:ascii="宋体" w:hAnsi="宋体"/>
          <w:color w:val="000000" w:themeColor="text1"/>
          <w:szCs w:val="21"/>
        </w:rPr>
        <w:lastRenderedPageBreak/>
        <w:t>付的金额，以正值填列。</w:t>
      </w:r>
      <w:r w:rsidRPr="00CB4B9E">
        <w:rPr>
          <w:rFonts w:ascii="宋体" w:hAnsi="宋体" w:hint="eastAsia"/>
          <w:color w:val="000000" w:themeColor="text1"/>
          <w:szCs w:val="21"/>
        </w:rPr>
        <w:t>如出现可转债转换为股本证券的，视为本月卖出相关债券，买入股本证券。</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B0114.本月卖出金额：</w:t>
      </w:r>
      <w:r w:rsidRPr="00CB4B9E">
        <w:rPr>
          <w:rFonts w:ascii="宋体" w:hAnsi="宋体" w:hint="eastAsia"/>
          <w:color w:val="000000" w:themeColor="text1"/>
          <w:szCs w:val="21"/>
        </w:rPr>
        <w:t>指本月内，对应投资者卖出或赎回相关股本证券或投资基金份额</w:t>
      </w:r>
      <w:r w:rsidRPr="00CB4B9E">
        <w:rPr>
          <w:rFonts w:ascii="宋体" w:hAnsi="宋体"/>
          <w:color w:val="000000" w:themeColor="text1"/>
          <w:szCs w:val="21"/>
        </w:rPr>
        <w:t>/单位所获得的金额，以正值填列。</w:t>
      </w:r>
    </w:p>
    <w:p w:rsidR="00FB0F60" w:rsidRPr="009263D7" w:rsidRDefault="00CB4B9E" w:rsidP="00FB0F60">
      <w:pPr>
        <w:spacing w:line="360" w:lineRule="auto"/>
        <w:ind w:firstLineChars="200" w:firstLine="420"/>
        <w:jc w:val="left"/>
        <w:rPr>
          <w:color w:val="000000" w:themeColor="text1"/>
        </w:rPr>
      </w:pPr>
      <w:r w:rsidRPr="00CB4B9E">
        <w:rPr>
          <w:rFonts w:ascii="黑体" w:eastAsia="黑体" w:hAnsi="宋体"/>
          <w:color w:val="000000" w:themeColor="text1"/>
          <w:szCs w:val="21"/>
        </w:rPr>
        <w:t>B0115.本月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反映本月内证券交易买卖因素以外的非交易因素引起的证券价值变动。计算方法为：</w:t>
      </w:r>
      <w:r w:rsidRPr="00CB4B9E">
        <w:rPr>
          <w:color w:val="000000" w:themeColor="text1"/>
        </w:rPr>
        <w:t>B0115=B0118-B0112-</w:t>
      </w:r>
      <w:r w:rsidRPr="00CB4B9E">
        <w:rPr>
          <w:rFonts w:hint="eastAsia"/>
          <w:color w:val="000000" w:themeColor="text1"/>
        </w:rPr>
        <w:t>（</w:t>
      </w:r>
      <w:r w:rsidRPr="00CB4B9E">
        <w:rPr>
          <w:color w:val="000000" w:themeColor="text1"/>
        </w:rPr>
        <w:t>B0113-B0114</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B0116.注销、调整</w:t>
      </w:r>
      <w:r w:rsidRPr="00CB4B9E">
        <w:rPr>
          <w:rFonts w:ascii="黑体" w:eastAsia="黑体" w:hAnsi="宋体" w:hint="eastAsia"/>
          <w:color w:val="000000" w:themeColor="text1"/>
          <w:szCs w:val="21"/>
        </w:rPr>
        <w:t>或重新分类至其他报表统计的金额</w:t>
      </w:r>
      <w:r w:rsidRPr="00CB4B9E">
        <w:rPr>
          <w:rFonts w:ascii="黑体" w:eastAsia="黑体" w:hAnsi="宋体" w:hint="eastAsia"/>
          <w:color w:val="000000" w:themeColor="text1"/>
        </w:rPr>
        <w:t>：</w:t>
      </w:r>
      <w:r w:rsidRPr="00CB4B9E">
        <w:rPr>
          <w:rFonts w:hint="eastAsia"/>
          <w:color w:val="000000" w:themeColor="text1"/>
        </w:rPr>
        <w:t>指非买卖因素和非价值重估因素引起的本月末证券资产数量增减和价值变动。包括但不限于本月注销相关资产，或将相关资产从可流通的证券调整为不可流通的证券，或因本机构期末持有被投资机构表决权比例达到或超过</w:t>
      </w:r>
      <w:r w:rsidRPr="00CB4B9E">
        <w:rPr>
          <w:color w:val="000000" w:themeColor="text1"/>
        </w:rPr>
        <w:t>10%</w:t>
      </w:r>
      <w:r w:rsidRPr="00CB4B9E">
        <w:rPr>
          <w:rFonts w:hint="eastAsia"/>
          <w:color w:val="000000" w:themeColor="text1"/>
        </w:rPr>
        <w:t>而被重新分类至</w:t>
      </w:r>
      <w:r w:rsidRPr="00CB4B9E">
        <w:rPr>
          <w:color w:val="000000" w:themeColor="text1"/>
        </w:rPr>
        <w:t>A01</w:t>
      </w:r>
      <w:r w:rsidRPr="00CB4B9E">
        <w:rPr>
          <w:rFonts w:hint="eastAsia"/>
          <w:color w:val="000000" w:themeColor="text1"/>
        </w:rPr>
        <w:t>表（对外直接投资）统计的金额。其与</w:t>
      </w:r>
      <w:r w:rsidRPr="00CB4B9E">
        <w:rPr>
          <w:color w:val="000000" w:themeColor="text1"/>
        </w:rPr>
        <w:t>B0115</w:t>
      </w:r>
      <w:r w:rsidRPr="00CB4B9E">
        <w:rPr>
          <w:rFonts w:hint="eastAsia"/>
          <w:color w:val="000000" w:themeColor="text1"/>
        </w:rPr>
        <w:t>和</w:t>
      </w:r>
      <w:r w:rsidRPr="00CB4B9E">
        <w:rPr>
          <w:color w:val="000000" w:themeColor="text1"/>
        </w:rPr>
        <w:t>B0117</w:t>
      </w:r>
      <w:r w:rsidRPr="00CB4B9E">
        <w:rPr>
          <w:rFonts w:hint="eastAsia"/>
          <w:color w:val="000000" w:themeColor="text1"/>
        </w:rPr>
        <w:t>项目的关系为：</w:t>
      </w:r>
      <w:r w:rsidRPr="00CB4B9E">
        <w:rPr>
          <w:color w:val="000000" w:themeColor="text1"/>
        </w:rPr>
        <w:t>B0115=B0116+B0117</w:t>
      </w:r>
      <w:r w:rsidRPr="00CB4B9E">
        <w:rPr>
          <w:rFonts w:hint="eastAsia"/>
          <w:color w:val="000000" w:themeColor="text1"/>
        </w:rPr>
        <w:t>。</w:t>
      </w:r>
    </w:p>
    <w:p w:rsidR="00FB0F60" w:rsidRPr="009263D7" w:rsidRDefault="00CB4B9E" w:rsidP="00FB0F60">
      <w:pPr>
        <w:spacing w:line="360" w:lineRule="auto"/>
        <w:ind w:firstLineChars="200" w:firstLine="420"/>
        <w:jc w:val="left"/>
        <w:rPr>
          <w:color w:val="000000" w:themeColor="text1"/>
        </w:rPr>
      </w:pPr>
      <w:r w:rsidRPr="00CB4B9E">
        <w:rPr>
          <w:rFonts w:ascii="黑体" w:eastAsia="黑体" w:hAnsi="宋体"/>
          <w:color w:val="000000" w:themeColor="text1"/>
          <w:szCs w:val="21"/>
        </w:rPr>
        <w:t>B0117.</w:t>
      </w:r>
      <w:r w:rsidRPr="00CB4B9E">
        <w:rPr>
          <w:rFonts w:ascii="黑体" w:eastAsia="黑体" w:hAnsi="宋体" w:hint="eastAsia"/>
          <w:color w:val="000000" w:themeColor="text1"/>
          <w:szCs w:val="21"/>
        </w:rPr>
        <w:t>价值重估因素</w:t>
      </w:r>
      <w:r w:rsidRPr="00CB4B9E">
        <w:rPr>
          <w:rFonts w:ascii="黑体" w:eastAsia="黑体" w:hAnsi="宋体" w:hint="eastAsia"/>
          <w:color w:val="000000" w:themeColor="text1"/>
        </w:rPr>
        <w:t>：</w:t>
      </w:r>
      <w:r w:rsidRPr="00CB4B9E">
        <w:rPr>
          <w:rFonts w:hint="eastAsia"/>
          <w:color w:val="000000" w:themeColor="text1"/>
        </w:rPr>
        <w:t>剔除买卖因素和</w:t>
      </w:r>
      <w:r w:rsidRPr="00CB4B9E">
        <w:rPr>
          <w:color w:val="000000" w:themeColor="text1"/>
        </w:rPr>
        <w:t>B0116</w:t>
      </w:r>
      <w:r w:rsidRPr="00CB4B9E">
        <w:rPr>
          <w:rFonts w:hint="eastAsia"/>
          <w:color w:val="000000" w:themeColor="text1"/>
        </w:rPr>
        <w:t>因素外，月内市场价格或近似参考价格波动带来的资产价值增减。其与</w:t>
      </w:r>
      <w:r w:rsidRPr="00CB4B9E">
        <w:rPr>
          <w:color w:val="000000" w:themeColor="text1"/>
        </w:rPr>
        <w:t>B0115</w:t>
      </w:r>
      <w:r w:rsidRPr="00CB4B9E">
        <w:rPr>
          <w:rFonts w:hint="eastAsia"/>
          <w:color w:val="000000" w:themeColor="text1"/>
        </w:rPr>
        <w:t>和</w:t>
      </w:r>
      <w:r w:rsidRPr="00CB4B9E">
        <w:rPr>
          <w:color w:val="000000" w:themeColor="text1"/>
        </w:rPr>
        <w:t>B0116</w:t>
      </w:r>
      <w:r w:rsidRPr="00CB4B9E">
        <w:rPr>
          <w:rFonts w:hint="eastAsia"/>
          <w:color w:val="000000" w:themeColor="text1"/>
        </w:rPr>
        <w:t>项目的关系为：</w:t>
      </w:r>
      <w:r w:rsidRPr="00CB4B9E">
        <w:rPr>
          <w:color w:val="000000" w:themeColor="text1"/>
        </w:rPr>
        <w:t>B0115=B0116+B0117</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B0118.本月末市值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指本月末股本证券或投资基金份额</w:t>
      </w:r>
      <w:r w:rsidRPr="00CB4B9E">
        <w:rPr>
          <w:rFonts w:ascii="宋体" w:hAnsi="宋体"/>
          <w:color w:val="000000" w:themeColor="text1"/>
          <w:szCs w:val="21"/>
        </w:rPr>
        <w:t>/单位的公允价值。应优先使用按本月末公开市场收盘价计算的市场价值。如无市场价值，则按照记账惯例填报公允价值。</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B0119.本月股息/红利收入</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指本月发生的、投资者会计账的股本证券或投资基金份额</w:t>
      </w:r>
      <w:r w:rsidRPr="00CB4B9E">
        <w:rPr>
          <w:rFonts w:ascii="宋体" w:hAnsi="宋体"/>
          <w:color w:val="000000" w:themeColor="text1"/>
          <w:szCs w:val="21"/>
        </w:rPr>
        <w:t xml:space="preserve">/单位股息/红利收入。 </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B0120.本月末持股（份额）数量</w:t>
      </w:r>
      <w:r w:rsidRPr="00CB4B9E">
        <w:rPr>
          <w:rFonts w:ascii="黑体" w:eastAsia="黑体" w:hAnsi="宋体" w:hint="eastAsia"/>
          <w:color w:val="000000" w:themeColor="text1"/>
          <w:szCs w:val="21"/>
        </w:rPr>
        <w:t>（逐支报送使用）：</w:t>
      </w:r>
      <w:r w:rsidRPr="00CB4B9E">
        <w:rPr>
          <w:rFonts w:ascii="宋体" w:hAnsi="宋体" w:hint="eastAsia"/>
          <w:color w:val="000000" w:themeColor="text1"/>
          <w:szCs w:val="21"/>
        </w:rPr>
        <w:t>对于选择报送逐支证券信息的，请填写此项。指本月末投资者持有相关股本证券或投资基金份额</w:t>
      </w:r>
      <w:r w:rsidRPr="00CB4B9E">
        <w:rPr>
          <w:rFonts w:ascii="宋体" w:hAnsi="宋体"/>
          <w:color w:val="000000" w:themeColor="text1"/>
          <w:szCs w:val="21"/>
        </w:rPr>
        <w:t>/单位的股数或份数，按股/份填列。</w:t>
      </w:r>
    </w:p>
    <w:p w:rsidR="00FB0F60" w:rsidRPr="009263D7" w:rsidRDefault="00CB4B9E" w:rsidP="00FB0F60">
      <w:pPr>
        <w:spacing w:line="360" w:lineRule="auto"/>
        <w:ind w:rightChars="154" w:right="323" w:firstLineChars="200" w:firstLine="420"/>
        <w:rPr>
          <w:rFonts w:ascii="宋体" w:hAnsi="宋体"/>
          <w:color w:val="000000" w:themeColor="text1"/>
        </w:rPr>
      </w:pPr>
      <w:r w:rsidRPr="00CB4B9E">
        <w:rPr>
          <w:rFonts w:ascii="黑体" w:eastAsia="黑体" w:hAnsi="宋体"/>
          <w:color w:val="000000" w:themeColor="text1"/>
          <w:szCs w:val="21"/>
        </w:rPr>
        <w:t>B0121.本月末每股（每份）市价</w:t>
      </w:r>
      <w:r w:rsidRPr="00CB4B9E">
        <w:rPr>
          <w:rFonts w:ascii="黑体" w:eastAsia="黑体" w:hAnsi="宋体" w:hint="eastAsia"/>
          <w:color w:val="000000" w:themeColor="text1"/>
          <w:szCs w:val="21"/>
        </w:rPr>
        <w:t>（逐支报送使用）：</w:t>
      </w:r>
      <w:r w:rsidRPr="00CB4B9E">
        <w:rPr>
          <w:rFonts w:ascii="宋体" w:hAnsi="宋体" w:hint="eastAsia"/>
          <w:color w:val="000000" w:themeColor="text1"/>
          <w:szCs w:val="21"/>
        </w:rPr>
        <w:t>对于选择报送逐支证券信息的，请填写此项。</w:t>
      </w:r>
      <w:r w:rsidRPr="00CB4B9E">
        <w:rPr>
          <w:rFonts w:ascii="宋体" w:hAnsi="宋体" w:hint="eastAsia"/>
          <w:color w:val="000000" w:themeColor="text1"/>
        </w:rPr>
        <w:t>指本月末最后一个交易日每股股票或每份基金（</w:t>
      </w:r>
      <w:r w:rsidRPr="00CB4B9E">
        <w:rPr>
          <w:rFonts w:ascii="宋体" w:hAnsi="宋体" w:hint="eastAsia"/>
          <w:color w:val="000000" w:themeColor="text1"/>
          <w:szCs w:val="21"/>
        </w:rPr>
        <w:t>份额</w:t>
      </w:r>
      <w:r w:rsidRPr="00CB4B9E">
        <w:rPr>
          <w:rFonts w:ascii="宋体" w:hAnsi="宋体"/>
          <w:color w:val="000000" w:themeColor="text1"/>
          <w:szCs w:val="21"/>
        </w:rPr>
        <w:t>/单位）</w:t>
      </w:r>
      <w:r w:rsidRPr="00CB4B9E">
        <w:rPr>
          <w:rFonts w:ascii="宋体" w:hAnsi="宋体" w:hint="eastAsia"/>
          <w:color w:val="000000" w:themeColor="text1"/>
        </w:rPr>
        <w:t>的收盘价。</w:t>
      </w:r>
    </w:p>
    <w:p w:rsidR="00FB0F60" w:rsidRPr="009263D7" w:rsidRDefault="00FB0F60" w:rsidP="00FB0F60">
      <w:pPr>
        <w:spacing w:line="360" w:lineRule="auto"/>
        <w:ind w:firstLineChars="200" w:firstLine="420"/>
        <w:jc w:val="left"/>
        <w:rPr>
          <w:rFonts w:ascii="黑体" w:eastAsia="黑体" w:hAnsi="宋体"/>
          <w:color w:val="000000" w:themeColor="text1"/>
          <w:szCs w:val="21"/>
        </w:rPr>
      </w:pPr>
    </w:p>
    <w:p w:rsidR="00FB0F60" w:rsidRPr="009263D7" w:rsidRDefault="00CB4B9E" w:rsidP="001563E3">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B02表：投资境外债务证券（资产）</w:t>
      </w:r>
    </w:p>
    <w:tbl>
      <w:tblPr>
        <w:tblW w:w="9440" w:type="dxa"/>
        <w:tblInd w:w="97" w:type="dxa"/>
        <w:tblLook w:val="04A0"/>
      </w:tblPr>
      <w:tblGrid>
        <w:gridCol w:w="4840"/>
        <w:gridCol w:w="4600"/>
      </w:tblGrid>
      <w:tr w:rsidR="00FB0F60"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B0F60"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B0F60" w:rsidRPr="009263D7" w:rsidRDefault="00CB4B9E" w:rsidP="0015633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境内机构或个人持有非居民和居民在境外发行的短期和中长期债务证券（不含境外银行承兑汇票），以及非参与性优先股，包括</w:t>
            </w:r>
            <w:r w:rsidRPr="00CB4B9E">
              <w:rPr>
                <w:rFonts w:ascii="宋体" w:hAnsi="宋体" w:cs="宋体"/>
                <w:color w:val="000000" w:themeColor="text1"/>
                <w:kern w:val="0"/>
                <w:sz w:val="18"/>
                <w:szCs w:val="18"/>
              </w:rPr>
              <w:t>根据购回协议出售的债务证券</w:t>
            </w:r>
            <w:r w:rsidRPr="00CB4B9E">
              <w:rPr>
                <w:rFonts w:ascii="宋体" w:hAnsi="宋体" w:cs="宋体" w:hint="eastAsia"/>
                <w:color w:val="000000" w:themeColor="text1"/>
                <w:kern w:val="0"/>
                <w:sz w:val="18"/>
                <w:szCs w:val="18"/>
              </w:rPr>
              <w:t>，以及</w:t>
            </w:r>
            <w:r w:rsidRPr="00CB4B9E">
              <w:rPr>
                <w:rFonts w:ascii="宋体" w:hAnsi="宋体" w:cs="宋体"/>
                <w:color w:val="000000" w:themeColor="text1"/>
                <w:kern w:val="0"/>
                <w:sz w:val="18"/>
                <w:szCs w:val="18"/>
              </w:rPr>
              <w:t>根据证券出借安排“借出”的债务证券。</w:t>
            </w:r>
          </w:p>
        </w:tc>
        <w:tc>
          <w:tcPr>
            <w:tcW w:w="4600" w:type="dxa"/>
            <w:tcBorders>
              <w:top w:val="nil"/>
              <w:left w:val="nil"/>
              <w:bottom w:val="single" w:sz="4" w:space="0" w:color="auto"/>
              <w:right w:val="nil"/>
            </w:tcBorders>
            <w:shd w:val="clear" w:color="auto" w:fill="auto"/>
            <w:vAlign w:val="center"/>
          </w:tcPr>
          <w:p w:rsidR="00FB0F60" w:rsidRPr="009263D7" w:rsidRDefault="00CB4B9E" w:rsidP="00422EA4">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 境内机构或个人根据购回协议</w:t>
            </w:r>
            <w:r w:rsidRPr="00CB4B9E">
              <w:rPr>
                <w:rFonts w:ascii="宋体" w:hAnsi="宋体" w:cs="宋体" w:hint="eastAsia"/>
                <w:color w:val="000000" w:themeColor="text1"/>
                <w:kern w:val="0"/>
                <w:sz w:val="18"/>
                <w:szCs w:val="18"/>
              </w:rPr>
              <w:t>购入的或者</w:t>
            </w:r>
            <w:r w:rsidRPr="00CB4B9E">
              <w:rPr>
                <w:rFonts w:ascii="宋体" w:hAnsi="宋体" w:cs="宋体"/>
                <w:color w:val="000000" w:themeColor="text1"/>
                <w:kern w:val="0"/>
                <w:sz w:val="18"/>
                <w:szCs w:val="18"/>
              </w:rPr>
              <w:t>证券出借安排“借</w:t>
            </w:r>
            <w:r w:rsidRPr="00CB4B9E">
              <w:rPr>
                <w:rFonts w:ascii="宋体" w:hAnsi="宋体" w:cs="宋体" w:hint="eastAsia"/>
                <w:color w:val="000000" w:themeColor="text1"/>
                <w:kern w:val="0"/>
                <w:sz w:val="18"/>
                <w:szCs w:val="18"/>
              </w:rPr>
              <w:t>入</w:t>
            </w:r>
            <w:r w:rsidRPr="00CB4B9E">
              <w:rPr>
                <w:rFonts w:ascii="宋体" w:hAnsi="宋体" w:cs="宋体"/>
                <w:color w:val="000000" w:themeColor="text1"/>
                <w:kern w:val="0"/>
                <w:sz w:val="18"/>
                <w:szCs w:val="18"/>
              </w:rPr>
              <w:t>”的债务证券。</w:t>
            </w:r>
          </w:p>
        </w:tc>
      </w:tr>
      <w:tr w:rsidR="00FB0F60" w:rsidRPr="009263D7">
        <w:trPr>
          <w:trHeight w:val="720"/>
        </w:trPr>
        <w:tc>
          <w:tcPr>
            <w:tcW w:w="4840" w:type="dxa"/>
            <w:tcBorders>
              <w:top w:val="single" w:sz="4" w:space="0" w:color="auto"/>
              <w:left w:val="nil"/>
              <w:bottom w:val="single" w:sz="4" w:space="0" w:color="auto"/>
              <w:right w:val="single" w:sz="4" w:space="0" w:color="auto"/>
            </w:tcBorders>
            <w:shd w:val="clear" w:color="auto" w:fill="auto"/>
            <w:vAlign w:val="center"/>
          </w:tcPr>
          <w:p w:rsidR="0084395E" w:rsidRPr="009263D7" w:rsidRDefault="00CB4B9E" w:rsidP="00335AA7">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r w:rsidRPr="00CB4B9E">
              <w:rPr>
                <w:rFonts w:ascii="宋体" w:hAnsi="宋体" w:cs="宋体" w:hint="eastAsia"/>
                <w:color w:val="000000" w:themeColor="text1"/>
                <w:kern w:val="0"/>
                <w:sz w:val="18"/>
                <w:szCs w:val="18"/>
              </w:rPr>
              <w:t>境内机构或个人应按照以下先后顺序确定是否报送相关投资：</w:t>
            </w:r>
          </w:p>
          <w:p w:rsidR="00FB0F60" w:rsidRPr="009263D7" w:rsidRDefault="00CB4B9E" w:rsidP="00335AA7">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——有境内托管人的，由境内托管人负责代为报送，本机构（委托人）不再重复申报；</w:t>
            </w:r>
          </w:p>
          <w:p w:rsidR="0084395E" w:rsidRPr="009263D7" w:rsidRDefault="00CB4B9E" w:rsidP="00335AA7">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无境内托管人，但相关对外业务</w:t>
            </w:r>
            <w:r w:rsidRPr="00CB4B9E">
              <w:rPr>
                <w:rFonts w:ascii="宋体" w:hAnsi="宋体" w:cs="宋体" w:hint="eastAsia"/>
                <w:color w:val="000000" w:themeColor="text1"/>
                <w:kern w:val="0"/>
                <w:sz w:val="18"/>
                <w:szCs w:val="18"/>
              </w:rPr>
              <w:t>由</w:t>
            </w:r>
            <w:r w:rsidRPr="00CB4B9E">
              <w:rPr>
                <w:rFonts w:ascii="宋体" w:hAnsi="宋体" w:cs="宋体"/>
                <w:color w:val="000000" w:themeColor="text1"/>
                <w:kern w:val="0"/>
                <w:sz w:val="18"/>
                <w:szCs w:val="18"/>
              </w:rPr>
              <w:t>境内代理人</w:t>
            </w:r>
            <w:r w:rsidRPr="00CB4B9E">
              <w:rPr>
                <w:rFonts w:ascii="宋体" w:hAnsi="宋体" w:cs="宋体" w:hint="eastAsia"/>
                <w:color w:val="000000" w:themeColor="text1"/>
                <w:kern w:val="0"/>
                <w:sz w:val="18"/>
                <w:szCs w:val="18"/>
              </w:rPr>
              <w:t>或管理人以本机构或相关产品名义投资</w:t>
            </w:r>
            <w:r w:rsidRPr="00CB4B9E">
              <w:rPr>
                <w:rFonts w:ascii="宋体" w:hAnsi="宋体" w:cs="宋体"/>
                <w:color w:val="000000" w:themeColor="text1"/>
                <w:kern w:val="0"/>
                <w:sz w:val="18"/>
                <w:szCs w:val="18"/>
              </w:rPr>
              <w:t>的，由</w:t>
            </w:r>
            <w:r w:rsidRPr="00CB4B9E">
              <w:rPr>
                <w:rFonts w:ascii="宋体" w:hAnsi="宋体" w:cs="宋体" w:hint="eastAsia"/>
                <w:color w:val="000000" w:themeColor="text1"/>
                <w:kern w:val="0"/>
                <w:sz w:val="18"/>
                <w:szCs w:val="18"/>
              </w:rPr>
              <w:t>该</w:t>
            </w:r>
            <w:r w:rsidRPr="00CB4B9E">
              <w:rPr>
                <w:rFonts w:ascii="宋体" w:hAnsi="宋体" w:cs="宋体"/>
                <w:color w:val="000000" w:themeColor="text1"/>
                <w:kern w:val="0"/>
                <w:sz w:val="18"/>
                <w:szCs w:val="18"/>
              </w:rPr>
              <w:t>境内代理人</w:t>
            </w:r>
            <w:r w:rsidRPr="00CB4B9E">
              <w:rPr>
                <w:rFonts w:ascii="宋体" w:hAnsi="宋体" w:cs="宋体" w:hint="eastAsia"/>
                <w:color w:val="000000" w:themeColor="text1"/>
                <w:kern w:val="0"/>
                <w:sz w:val="18"/>
                <w:szCs w:val="18"/>
              </w:rPr>
              <w:t>或管理人</w:t>
            </w:r>
            <w:r w:rsidRPr="00CB4B9E">
              <w:rPr>
                <w:rFonts w:ascii="宋体" w:hAnsi="宋体" w:cs="宋体"/>
                <w:color w:val="000000" w:themeColor="text1"/>
                <w:kern w:val="0"/>
                <w:sz w:val="18"/>
                <w:szCs w:val="18"/>
              </w:rPr>
              <w:t>代为报送</w:t>
            </w:r>
            <w:r w:rsidRPr="00CB4B9E">
              <w:rPr>
                <w:rFonts w:ascii="宋体" w:hAnsi="宋体" w:cs="宋体" w:hint="eastAsia"/>
                <w:color w:val="000000" w:themeColor="text1"/>
                <w:kern w:val="0"/>
                <w:sz w:val="18"/>
                <w:szCs w:val="18"/>
              </w:rPr>
              <w:t>，本机构（被代理人）不再重复申报</w:t>
            </w:r>
            <w:r w:rsidRPr="00CB4B9E">
              <w:rPr>
                <w:rFonts w:ascii="宋体" w:hAnsi="宋体" w:cs="宋体"/>
                <w:color w:val="000000" w:themeColor="text1"/>
                <w:kern w:val="0"/>
                <w:sz w:val="18"/>
                <w:szCs w:val="18"/>
              </w:rPr>
              <w:t>；</w:t>
            </w:r>
          </w:p>
          <w:p w:rsidR="0084395E" w:rsidRPr="009263D7" w:rsidRDefault="00CB4B9E" w:rsidP="00D54509">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既无境内托管人，也无境内代理人</w:t>
            </w:r>
            <w:r w:rsidRPr="00CB4B9E">
              <w:rPr>
                <w:rFonts w:ascii="宋体" w:hAnsi="宋体" w:cs="宋体" w:hint="eastAsia"/>
                <w:color w:val="000000" w:themeColor="text1"/>
                <w:kern w:val="0"/>
                <w:sz w:val="18"/>
                <w:szCs w:val="18"/>
              </w:rPr>
              <w:t>或管理人</w:t>
            </w:r>
            <w:r w:rsidRPr="00CB4B9E">
              <w:rPr>
                <w:rFonts w:ascii="宋体" w:hAnsi="宋体" w:cs="宋体"/>
                <w:color w:val="000000" w:themeColor="text1"/>
                <w:kern w:val="0"/>
                <w:sz w:val="18"/>
                <w:szCs w:val="18"/>
              </w:rPr>
              <w:t>的，</w:t>
            </w:r>
            <w:r w:rsidRPr="00CB4B9E">
              <w:rPr>
                <w:rFonts w:ascii="宋体" w:hAnsi="宋体" w:cs="宋体" w:hint="eastAsia"/>
                <w:color w:val="000000" w:themeColor="text1"/>
                <w:kern w:val="0"/>
                <w:sz w:val="18"/>
                <w:szCs w:val="18"/>
              </w:rPr>
              <w:t>本机构</w:t>
            </w:r>
            <w:r w:rsidRPr="00CB4B9E">
              <w:rPr>
                <w:rFonts w:ascii="宋体" w:hAnsi="宋体" w:cs="宋体"/>
                <w:color w:val="000000" w:themeColor="text1"/>
                <w:kern w:val="0"/>
                <w:sz w:val="18"/>
                <w:szCs w:val="18"/>
              </w:rPr>
              <w:lastRenderedPageBreak/>
              <w:t>应报送以自身名义投资的部分，包括以自身名义持有，但使用客户资金对外投资的部分</w:t>
            </w:r>
            <w:r w:rsidRPr="00CB4B9E">
              <w:rPr>
                <w:rFonts w:ascii="宋体" w:hAnsi="宋体" w:cs="宋体" w:hint="eastAsia"/>
                <w:color w:val="000000" w:themeColor="text1"/>
                <w:kern w:val="0"/>
                <w:sz w:val="18"/>
                <w:szCs w:val="18"/>
              </w:rPr>
              <w:t>。</w:t>
            </w:r>
          </w:p>
        </w:tc>
        <w:tc>
          <w:tcPr>
            <w:tcW w:w="4600" w:type="dxa"/>
            <w:tcBorders>
              <w:top w:val="single" w:sz="4" w:space="0" w:color="auto"/>
              <w:left w:val="nil"/>
              <w:bottom w:val="single" w:sz="4" w:space="0" w:color="auto"/>
              <w:right w:val="nil"/>
            </w:tcBorders>
            <w:shd w:val="clear" w:color="auto" w:fill="auto"/>
            <w:vAlign w:val="center"/>
          </w:tcPr>
          <w:p w:rsidR="00FB0F60" w:rsidRPr="009263D7" w:rsidRDefault="00CB4B9E" w:rsidP="0015633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lastRenderedPageBreak/>
              <w:t>2.持有或买断的是境外银行承兑汇票的，应纳入F表统计，本表不再涵盖。</w:t>
            </w:r>
          </w:p>
        </w:tc>
      </w:tr>
      <w:tr w:rsidR="005609A0" w:rsidRPr="009263D7">
        <w:trPr>
          <w:trHeight w:val="720"/>
        </w:trPr>
        <w:tc>
          <w:tcPr>
            <w:tcW w:w="4840" w:type="dxa"/>
            <w:tcBorders>
              <w:top w:val="single" w:sz="4" w:space="0" w:color="auto"/>
              <w:left w:val="nil"/>
              <w:bottom w:val="single" w:sz="4" w:space="0" w:color="auto"/>
              <w:right w:val="single" w:sz="4" w:space="0" w:color="auto"/>
            </w:tcBorders>
            <w:shd w:val="clear" w:color="auto" w:fill="auto"/>
            <w:vAlign w:val="center"/>
          </w:tcPr>
          <w:p w:rsidR="005609A0" w:rsidRPr="009263D7" w:rsidRDefault="005609A0" w:rsidP="00335AA7">
            <w:pPr>
              <w:widowControl/>
              <w:jc w:val="left"/>
              <w:rPr>
                <w:rFonts w:ascii="宋体" w:hAnsi="宋体" w:cs="宋体"/>
                <w:color w:val="000000" w:themeColor="text1"/>
                <w:kern w:val="0"/>
                <w:sz w:val="18"/>
                <w:szCs w:val="18"/>
              </w:rPr>
            </w:pPr>
          </w:p>
        </w:tc>
        <w:tc>
          <w:tcPr>
            <w:tcW w:w="4600" w:type="dxa"/>
            <w:tcBorders>
              <w:top w:val="single" w:sz="4" w:space="0" w:color="auto"/>
              <w:left w:val="nil"/>
              <w:bottom w:val="single" w:sz="4" w:space="0" w:color="auto"/>
              <w:right w:val="nil"/>
            </w:tcBorders>
            <w:shd w:val="clear" w:color="auto" w:fill="auto"/>
            <w:vAlign w:val="center"/>
          </w:tcPr>
          <w:p w:rsidR="005609A0" w:rsidRPr="009263D7" w:rsidRDefault="00CB4B9E" w:rsidP="0015633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3.境内机构或个人持有的境内发行的短期和中长期债务证券。</w:t>
            </w:r>
          </w:p>
        </w:tc>
      </w:tr>
    </w:tbl>
    <w:p w:rsidR="00FB0F60" w:rsidRPr="009263D7" w:rsidRDefault="00FB0F60" w:rsidP="00FB0F60">
      <w:pPr>
        <w:spacing w:line="280" w:lineRule="exact"/>
        <w:ind w:leftChars="-1" w:left="1062" w:hangingChars="591" w:hanging="1064"/>
        <w:rPr>
          <w:rFonts w:ascii="宋体" w:hAnsi="宋体" w:cs="宋体"/>
          <w:color w:val="000000" w:themeColor="text1"/>
          <w:kern w:val="0"/>
          <w:sz w:val="18"/>
          <w:szCs w:val="18"/>
        </w:rPr>
      </w:pP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B0201.</w:t>
      </w:r>
      <w:r w:rsidRPr="00CB4B9E">
        <w:rPr>
          <w:rFonts w:ascii="黑体" w:eastAsia="黑体" w:hAnsi="宋体" w:hint="eastAsia"/>
          <w:color w:val="000000" w:themeColor="text1"/>
          <w:szCs w:val="21"/>
        </w:rPr>
        <w:t>填报机构身份</w:t>
      </w:r>
      <w:r w:rsidRPr="00CB4B9E">
        <w:rPr>
          <w:rFonts w:ascii="黑体" w:eastAsia="黑体" w:hAnsi="宋体" w:hint="eastAsia"/>
          <w:color w:val="000000" w:themeColor="text1"/>
        </w:rPr>
        <w:t>：</w:t>
      </w:r>
      <w:r w:rsidRPr="00CB4B9E">
        <w:rPr>
          <w:rFonts w:ascii="宋体" w:hAnsi="宋体" w:hint="eastAsia"/>
          <w:color w:val="000000" w:themeColor="text1"/>
          <w:szCs w:val="21"/>
        </w:rPr>
        <w:t>请按以下两种情况填列：</w:t>
      </w:r>
      <w:r w:rsidRPr="00CB4B9E">
        <w:rPr>
          <w:rFonts w:ascii="宋体" w:hAnsi="宋体" w:hint="eastAsia"/>
          <w:color w:val="000000" w:themeColor="text1"/>
        </w:rPr>
        <w:t>①以自身名义投资（无境内托管人、代理人或管理人）；②是代理人或管理人，以客户或产品名义投资。</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B0202.</w:t>
      </w:r>
      <w:r w:rsidRPr="00CB4B9E">
        <w:rPr>
          <w:rFonts w:ascii="黑体" w:eastAsia="黑体" w:hAnsi="宋体" w:hint="eastAsia"/>
          <w:color w:val="000000" w:themeColor="text1"/>
          <w:szCs w:val="21"/>
        </w:rPr>
        <w:t>被代理人</w:t>
      </w:r>
      <w:r w:rsidRPr="00CB4B9E">
        <w:rPr>
          <w:rFonts w:ascii="黑体" w:eastAsia="黑体" w:hAnsi="宋体"/>
          <w:color w:val="000000" w:themeColor="text1"/>
          <w:szCs w:val="21"/>
        </w:rPr>
        <w:t>/委托人所属国家/地区：</w:t>
      </w:r>
      <w:r w:rsidRPr="00CB4B9E">
        <w:rPr>
          <w:rFonts w:ascii="宋体" w:hAnsi="宋体" w:hint="eastAsia"/>
          <w:color w:val="000000" w:themeColor="text1"/>
        </w:rPr>
        <w:t>被代理人或委托人必须为中国居民，本项应填“中国”。</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B0203.被代理人/委托人</w:t>
      </w:r>
      <w:r w:rsidRPr="00CB4B9E">
        <w:rPr>
          <w:rFonts w:ascii="黑体" w:eastAsia="黑体" w:hAnsi="宋体" w:hint="eastAsia"/>
          <w:color w:val="000000" w:themeColor="text1"/>
          <w:szCs w:val="21"/>
        </w:rPr>
        <w:t>所属部门：</w:t>
      </w:r>
      <w:r w:rsidRPr="00CB4B9E">
        <w:rPr>
          <w:rFonts w:ascii="宋体" w:hAnsi="宋体" w:hint="eastAsia"/>
          <w:color w:val="000000" w:themeColor="text1"/>
        </w:rPr>
        <w:t>指本机构所代理</w:t>
      </w:r>
      <w:r w:rsidRPr="00CB4B9E">
        <w:rPr>
          <w:rFonts w:ascii="宋体" w:hAnsi="宋体"/>
          <w:color w:val="000000" w:themeColor="text1"/>
        </w:rPr>
        <w:t>/托管</w:t>
      </w:r>
      <w:r w:rsidRPr="00CB4B9E">
        <w:rPr>
          <w:rFonts w:ascii="宋体" w:hAnsi="宋体" w:hint="eastAsia"/>
          <w:color w:val="000000" w:themeColor="text1"/>
        </w:rPr>
        <w:t>的客户所属部门。请按以下五个子部门填列：①政府；②中央银行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请按该客户的主营业务归类。</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B0204.发行地：</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，填写相关债务证券发行场所所在国家</w:t>
      </w:r>
      <w:r w:rsidRPr="00CB4B9E">
        <w:rPr>
          <w:rFonts w:ascii="宋体" w:hAnsi="宋体"/>
          <w:color w:val="000000" w:themeColor="text1"/>
          <w:szCs w:val="21"/>
        </w:rPr>
        <w:t>/地区代码。</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B0205.证券代码（逐支报送使用）：</w:t>
      </w:r>
      <w:r w:rsidRPr="00CB4B9E">
        <w:rPr>
          <w:rFonts w:ascii="Calibri" w:hAnsi="Calibri" w:hint="eastAsia"/>
          <w:color w:val="000000" w:themeColor="text1"/>
        </w:rPr>
        <w:t>对于选择报送逐支证券信息的，请填写此项。</w:t>
      </w:r>
      <w:r w:rsidRPr="00CB4B9E">
        <w:rPr>
          <w:rFonts w:ascii="宋体" w:hAnsi="宋体" w:hint="eastAsia"/>
          <w:color w:val="000000" w:themeColor="text1"/>
          <w:szCs w:val="21"/>
        </w:rPr>
        <w:t>指相关债务证券代码。应优先填写国际证券代码（</w:t>
      </w:r>
      <w:r w:rsidRPr="00CB4B9E">
        <w:rPr>
          <w:rFonts w:ascii="宋体" w:hAnsi="宋体"/>
          <w:color w:val="000000" w:themeColor="text1"/>
          <w:szCs w:val="21"/>
        </w:rPr>
        <w:t>International Securities Identification Number,简称ISIN码）</w:t>
      </w:r>
      <w:r w:rsidRPr="00CB4B9E">
        <w:rPr>
          <w:rFonts w:ascii="宋体" w:hAnsi="宋体" w:hint="eastAsia"/>
          <w:color w:val="000000" w:themeColor="text1"/>
          <w:szCs w:val="21"/>
        </w:rPr>
        <w:t>。如无</w:t>
      </w:r>
      <w:r w:rsidRPr="00CB4B9E">
        <w:rPr>
          <w:rFonts w:ascii="宋体" w:hAnsi="宋体"/>
          <w:color w:val="000000" w:themeColor="text1"/>
          <w:szCs w:val="21"/>
        </w:rPr>
        <w:t xml:space="preserve">ISIN </w:t>
      </w:r>
      <w:r w:rsidRPr="00CB4B9E">
        <w:rPr>
          <w:rFonts w:ascii="宋体" w:hAnsi="宋体" w:hint="eastAsia"/>
          <w:color w:val="000000" w:themeColor="text1"/>
          <w:szCs w:val="21"/>
        </w:rPr>
        <w:t>码，按照相关市场唯一通用的编码填列。</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B0206.证券发行主体名称（逐支报送使用）：</w:t>
      </w:r>
      <w:r w:rsidRPr="00CB4B9E">
        <w:rPr>
          <w:rFonts w:ascii="Calibri" w:hAnsi="Calibri" w:hint="eastAsia"/>
          <w:color w:val="000000" w:themeColor="text1"/>
        </w:rPr>
        <w:t>对于选择报送逐支证券信息的，请填写此项。为</w:t>
      </w:r>
      <w:r w:rsidRPr="00CB4B9E">
        <w:rPr>
          <w:rFonts w:ascii="宋体" w:hAnsi="宋体" w:hint="eastAsia"/>
          <w:color w:val="000000" w:themeColor="text1"/>
        </w:rPr>
        <w:t>发行相关短期和中长期债券的非居民或居民机构的</w:t>
      </w:r>
      <w:r w:rsidRPr="00CB4B9E">
        <w:rPr>
          <w:rFonts w:ascii="宋体" w:hAnsi="宋体" w:hint="eastAsia"/>
          <w:color w:val="000000" w:themeColor="text1"/>
          <w:szCs w:val="21"/>
        </w:rPr>
        <w:t>中文名称及当地注册的英文名称。如为其他语言名称，可不填写外文名称，但必须填写中文名称。</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B0207.发行主体所属国家/地区：</w:t>
      </w:r>
      <w:r w:rsidRPr="00CB4B9E">
        <w:rPr>
          <w:rFonts w:ascii="宋体" w:hAnsi="宋体" w:hint="eastAsia"/>
          <w:color w:val="000000" w:themeColor="text1"/>
        </w:rPr>
        <w:t>填写相关债务证券发行主体的注册国家</w:t>
      </w:r>
      <w:r w:rsidRPr="00CB4B9E">
        <w:rPr>
          <w:rFonts w:ascii="宋体" w:hAnsi="宋体"/>
          <w:color w:val="000000" w:themeColor="text1"/>
        </w:rPr>
        <w:t>/地区</w:t>
      </w:r>
      <w:r w:rsidRPr="00CB4B9E">
        <w:rPr>
          <w:rFonts w:ascii="宋体" w:hAnsi="宋体"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B0208.发行主体所属部门：</w:t>
      </w:r>
      <w:r w:rsidRPr="00CB4B9E">
        <w:rPr>
          <w:rFonts w:ascii="宋体" w:hAnsi="宋体" w:hint="eastAsia"/>
          <w:color w:val="000000" w:themeColor="text1"/>
        </w:rPr>
        <w:t>请按以下五个子部门填列：①政府；</w:t>
      </w:r>
      <w:r w:rsidRPr="00CB4B9E">
        <w:rPr>
          <w:rFonts w:ascii="宋体" w:hAnsi="宋体"/>
          <w:color w:val="000000" w:themeColor="text1"/>
        </w:rPr>
        <w:t xml:space="preserve"> </w:t>
      </w:r>
      <w:r w:rsidRPr="00CB4B9E">
        <w:rPr>
          <w:rFonts w:ascii="宋体" w:hAnsi="宋体" w:hint="eastAsia"/>
          <w:color w:val="000000" w:themeColor="text1"/>
        </w:rPr>
        <w:t>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。请按发行主体的主营业务归类。对于政府支持（机构）类债券，应按发行主体本身所属部门归类，如两房债券，应选择“④非银行金融机构”。</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B0209.</w:t>
      </w:r>
      <w:r w:rsidRPr="00CB4B9E">
        <w:rPr>
          <w:rFonts w:ascii="黑体" w:eastAsia="黑体" w:hAnsi="宋体" w:hint="eastAsia"/>
          <w:color w:val="000000" w:themeColor="text1"/>
        </w:rPr>
        <w:t>发行主体与本机构的关系：</w:t>
      </w:r>
      <w:r w:rsidRPr="00CB4B9E">
        <w:rPr>
          <w:rFonts w:ascii="宋体" w:hAnsi="宋体" w:hint="eastAsia"/>
          <w:color w:val="000000" w:themeColor="text1"/>
        </w:rPr>
        <w:t>请按以下四种情况填列：①发行主体是本机构的境外直接投资者，即持有本机构表决权≥</w:t>
      </w:r>
      <w:r w:rsidRPr="00CB4B9E">
        <w:rPr>
          <w:rFonts w:ascii="宋体" w:hAnsi="宋体"/>
          <w:color w:val="000000" w:themeColor="text1"/>
        </w:rPr>
        <w:t>10%；②发行主体是</w:t>
      </w:r>
      <w:r w:rsidRPr="00CB4B9E">
        <w:rPr>
          <w:rFonts w:ascii="宋体" w:hAnsi="宋体" w:hint="eastAsia"/>
          <w:color w:val="000000" w:themeColor="text1"/>
        </w:rPr>
        <w:t>本机构的境外直接投资企业，即为投资者持有表决权在</w:t>
      </w:r>
      <w:r w:rsidRPr="00CB4B9E">
        <w:rPr>
          <w:rFonts w:ascii="宋体" w:hAnsi="宋体"/>
          <w:color w:val="000000" w:themeColor="text1"/>
        </w:rPr>
        <w:t>10%及以上的境外分支机构、子机构、联营机构或合营机构</w:t>
      </w:r>
      <w:r w:rsidRPr="00CB4B9E">
        <w:rPr>
          <w:rFonts w:ascii="宋体" w:hAnsi="宋体" w:hint="eastAsia"/>
          <w:color w:val="000000" w:themeColor="text1"/>
        </w:rPr>
        <w:t>；③发行主体是本机构的境外联属机构，即两机构有共同母公司，但相互持有表决权＜</w:t>
      </w:r>
      <w:r w:rsidRPr="00CB4B9E">
        <w:rPr>
          <w:rFonts w:ascii="宋体" w:hAnsi="宋体"/>
          <w:color w:val="000000" w:themeColor="text1"/>
        </w:rPr>
        <w:t>10%或相互不持有表决权；④发行主体与投资者无关联关系，或两机构均</w:t>
      </w:r>
      <w:r w:rsidRPr="00CB4B9E">
        <w:rPr>
          <w:rFonts w:ascii="宋体" w:hAnsi="宋体" w:hint="eastAsia"/>
          <w:color w:val="000000" w:themeColor="text1"/>
        </w:rPr>
        <w:t>位于中国境内。</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B0210.原始期限：</w:t>
      </w:r>
      <w:r w:rsidRPr="00CB4B9E">
        <w:rPr>
          <w:rFonts w:ascii="宋体" w:hAnsi="宋体" w:hint="eastAsia"/>
          <w:color w:val="000000" w:themeColor="text1"/>
        </w:rPr>
        <w:t>指债务证券从初始发行至最终到期的期限。请按以下两种情况填列：①一年及以下</w:t>
      </w:r>
      <w:r w:rsidRPr="00CB4B9E">
        <w:rPr>
          <w:rFonts w:ascii="宋体" w:hAnsi="宋体" w:hint="eastAsia"/>
          <w:color w:val="000000" w:themeColor="text1"/>
          <w:szCs w:val="21"/>
        </w:rPr>
        <w:t>；</w:t>
      </w:r>
      <w:r w:rsidRPr="00CB4B9E">
        <w:rPr>
          <w:rFonts w:ascii="宋体" w:hAnsi="宋体" w:hint="eastAsia"/>
          <w:color w:val="000000" w:themeColor="text1"/>
        </w:rPr>
        <w:t>②一年以上，含</w:t>
      </w:r>
      <w:r w:rsidRPr="00CB4B9E">
        <w:rPr>
          <w:rFonts w:ascii="宋体" w:hAnsi="宋体" w:hint="eastAsia"/>
          <w:color w:val="000000" w:themeColor="text1"/>
          <w:szCs w:val="21"/>
        </w:rPr>
        <w:t>永久性债券</w:t>
      </w:r>
      <w:r w:rsidRPr="00CB4B9E">
        <w:rPr>
          <w:rFonts w:ascii="SimSun" w:hAnsi="SimSun" w:hint="eastAsia"/>
          <w:color w:val="000000" w:themeColor="text1"/>
          <w:szCs w:val="21"/>
        </w:rPr>
        <w:t>和非参与性优先股</w:t>
      </w:r>
      <w:r w:rsidRPr="00CB4B9E">
        <w:rPr>
          <w:rFonts w:ascii="宋体" w:hAnsi="宋体" w:hint="eastAsia"/>
          <w:color w:val="000000" w:themeColor="text1"/>
          <w:szCs w:val="21"/>
        </w:rPr>
        <w:t>。如发生债务证券拖欠或展期的，应按照双方确定的期限归类。如双方无安排，应按原期限归类。</w:t>
      </w:r>
    </w:p>
    <w:p w:rsidR="00FB0F60" w:rsidRPr="009263D7" w:rsidRDefault="00CB4B9E" w:rsidP="007211A4">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lastRenderedPageBreak/>
        <w:t>B0211.</w:t>
      </w:r>
      <w:r w:rsidRPr="00CB4B9E">
        <w:rPr>
          <w:rFonts w:ascii="黑体" w:eastAsia="黑体" w:hAnsi="宋体" w:hint="eastAsia"/>
          <w:color w:val="000000" w:themeColor="text1"/>
        </w:rPr>
        <w:t>原始币种：</w:t>
      </w:r>
      <w:r w:rsidRPr="00CB4B9E">
        <w:rPr>
          <w:rFonts w:ascii="宋体" w:hAnsi="宋体" w:hint="eastAsia"/>
          <w:color w:val="000000" w:themeColor="text1"/>
          <w:szCs w:val="21"/>
        </w:rPr>
        <w:t>指相关债务证券的计价币种，</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填列。适用于</w:t>
      </w:r>
      <w:r w:rsidRPr="00CB4B9E">
        <w:rPr>
          <w:rFonts w:ascii="宋体" w:hAnsi="宋体"/>
          <w:color w:val="000000" w:themeColor="text1"/>
          <w:szCs w:val="21"/>
        </w:rPr>
        <w:t>B0212-B0220各项。</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B0212.上月末市值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指上月末所持有债务证券的公允价值。应优先使用按上月末公开市场收盘价计算的市场价值。如无市场价值，则按照本机构的记账惯例填报公允价值。</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B0213.本月买入金额：</w:t>
      </w:r>
      <w:r w:rsidRPr="00CB4B9E">
        <w:rPr>
          <w:rFonts w:ascii="宋体" w:hAnsi="宋体" w:hint="eastAsia"/>
          <w:color w:val="000000" w:themeColor="text1"/>
          <w:szCs w:val="21"/>
        </w:rPr>
        <w:t>指本月内，投资者买入相关债务证券所支付的金额。以正值填列。如出现投资者展期等与债务人重新安排债权事宜，应比照买卖债券的情况统计。</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黑体"/>
          <w:color w:val="000000" w:themeColor="text1"/>
          <w:szCs w:val="21"/>
        </w:rPr>
        <w:t>B0214.</w:t>
      </w:r>
      <w:r w:rsidRPr="00CB4B9E">
        <w:rPr>
          <w:rFonts w:ascii="黑体" w:eastAsia="黑体" w:hAnsi="宋体" w:hint="eastAsia"/>
          <w:color w:val="000000" w:themeColor="text1"/>
          <w:szCs w:val="21"/>
        </w:rPr>
        <w:t>本月卖出金额：</w:t>
      </w:r>
      <w:r w:rsidRPr="00CB4B9E">
        <w:rPr>
          <w:rFonts w:ascii="宋体" w:hAnsi="宋体" w:hint="eastAsia"/>
          <w:color w:val="000000" w:themeColor="text1"/>
          <w:szCs w:val="21"/>
        </w:rPr>
        <w:t>指本月内，投资者卖出或持有到期相关债务证券所获得的金额。以正值填列。如出现投资者减免、展期等与债务人重新安排债权回收事宜，应比照买卖债券的情况统计。如出现可转债转换为股本证券的，视为本月卖出相关债券，买入股本证券。</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B0215.本月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反映本月内证券交易买卖因素以外的非交易因素引起的债券价值变动。计算方法为：</w:t>
      </w:r>
      <w:r w:rsidRPr="00CB4B9E">
        <w:rPr>
          <w:color w:val="000000" w:themeColor="text1"/>
        </w:rPr>
        <w:t>B0215=B0218-B0212-</w:t>
      </w:r>
      <w:r w:rsidRPr="00CB4B9E">
        <w:rPr>
          <w:rFonts w:hint="eastAsia"/>
          <w:color w:val="000000" w:themeColor="text1"/>
        </w:rPr>
        <w:t>（</w:t>
      </w:r>
      <w:r w:rsidRPr="00CB4B9E">
        <w:rPr>
          <w:color w:val="000000" w:themeColor="text1"/>
        </w:rPr>
        <w:t>B0213-B0214</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B0216.注销、调整或重新分类</w:t>
      </w:r>
      <w:r w:rsidRPr="00CB4B9E">
        <w:rPr>
          <w:rFonts w:ascii="黑体" w:eastAsia="黑体" w:hAnsi="宋体" w:hint="eastAsia"/>
          <w:color w:val="000000" w:themeColor="text1"/>
          <w:szCs w:val="21"/>
        </w:rPr>
        <w:t>至其他报表统计的金额</w:t>
      </w:r>
      <w:r w:rsidRPr="00CB4B9E">
        <w:rPr>
          <w:rFonts w:ascii="黑体" w:eastAsia="黑体" w:hAnsi="宋体" w:hint="eastAsia"/>
          <w:color w:val="000000" w:themeColor="text1"/>
        </w:rPr>
        <w:t>：</w:t>
      </w:r>
      <w:r w:rsidRPr="00CB4B9E">
        <w:rPr>
          <w:rFonts w:hint="eastAsia"/>
          <w:color w:val="000000" w:themeColor="text1"/>
        </w:rPr>
        <w:t>指非买卖因素引起的证券资产数量增减和价值变动。包括但不限于本月本机构注销相关资产，或相关资产从可流通的证券调整为不可流通的证券的金额。其与</w:t>
      </w:r>
      <w:r w:rsidRPr="00CB4B9E">
        <w:rPr>
          <w:color w:val="000000" w:themeColor="text1"/>
        </w:rPr>
        <w:t>B0215</w:t>
      </w:r>
      <w:r w:rsidRPr="00CB4B9E">
        <w:rPr>
          <w:rFonts w:hint="eastAsia"/>
          <w:color w:val="000000" w:themeColor="text1"/>
        </w:rPr>
        <w:t>和</w:t>
      </w:r>
      <w:r w:rsidRPr="00CB4B9E">
        <w:rPr>
          <w:color w:val="000000" w:themeColor="text1"/>
        </w:rPr>
        <w:t>B0217</w:t>
      </w:r>
      <w:r w:rsidRPr="00CB4B9E">
        <w:rPr>
          <w:rFonts w:hint="eastAsia"/>
          <w:color w:val="000000" w:themeColor="text1"/>
        </w:rPr>
        <w:t>项目的关系为：</w:t>
      </w:r>
      <w:r w:rsidRPr="00CB4B9E">
        <w:rPr>
          <w:color w:val="000000" w:themeColor="text1"/>
        </w:rPr>
        <w:t>B0215=B0216+B0217</w:t>
      </w:r>
      <w:r w:rsidRPr="00CB4B9E">
        <w:rPr>
          <w:rFonts w:hint="eastAsia"/>
          <w:color w:val="000000" w:themeColor="text1"/>
        </w:rPr>
        <w:t>。</w:t>
      </w:r>
      <w:r w:rsidRPr="00CB4B9E">
        <w:rPr>
          <w:rFonts w:ascii="黑体" w:eastAsia="黑体" w:hAnsi="宋体"/>
          <w:color w:val="000000" w:themeColor="text1"/>
          <w:szCs w:val="21"/>
        </w:rPr>
        <w:t xml:space="preserve"> </w:t>
      </w:r>
    </w:p>
    <w:p w:rsidR="00FB0F60" w:rsidRPr="009263D7" w:rsidRDefault="00CB4B9E" w:rsidP="00FB0F60">
      <w:pPr>
        <w:spacing w:line="360" w:lineRule="auto"/>
        <w:ind w:firstLineChars="200" w:firstLine="420"/>
        <w:jc w:val="left"/>
        <w:rPr>
          <w:color w:val="000000" w:themeColor="text1"/>
        </w:rPr>
      </w:pPr>
      <w:r w:rsidRPr="00CB4B9E">
        <w:rPr>
          <w:rFonts w:ascii="黑体" w:eastAsia="黑体" w:hAnsi="宋体"/>
          <w:color w:val="000000" w:themeColor="text1"/>
          <w:szCs w:val="21"/>
        </w:rPr>
        <w:t>B0217.</w:t>
      </w:r>
      <w:r w:rsidRPr="00CB4B9E">
        <w:rPr>
          <w:rFonts w:ascii="黑体" w:eastAsia="黑体" w:hAnsi="宋体" w:hint="eastAsia"/>
          <w:color w:val="000000" w:themeColor="text1"/>
          <w:szCs w:val="21"/>
        </w:rPr>
        <w:t>价值重估因素</w:t>
      </w:r>
      <w:r w:rsidRPr="00CB4B9E">
        <w:rPr>
          <w:rFonts w:ascii="黑体" w:eastAsia="黑体" w:hAnsi="宋体" w:hint="eastAsia"/>
          <w:color w:val="000000" w:themeColor="text1"/>
        </w:rPr>
        <w:t>：</w:t>
      </w:r>
      <w:r w:rsidRPr="00CB4B9E">
        <w:rPr>
          <w:rFonts w:hint="eastAsia"/>
          <w:color w:val="000000" w:themeColor="text1"/>
        </w:rPr>
        <w:t>剔除买卖因素和</w:t>
      </w:r>
      <w:r w:rsidRPr="00CB4B9E">
        <w:rPr>
          <w:color w:val="000000" w:themeColor="text1"/>
        </w:rPr>
        <w:t>B0216</w:t>
      </w:r>
      <w:r w:rsidRPr="00CB4B9E">
        <w:rPr>
          <w:rFonts w:hint="eastAsia"/>
          <w:color w:val="000000" w:themeColor="text1"/>
        </w:rPr>
        <w:t>因素外，本月市场价格或近似参考价格波动带来的资产价值增减。其与</w:t>
      </w:r>
      <w:r w:rsidRPr="00CB4B9E">
        <w:rPr>
          <w:color w:val="000000" w:themeColor="text1"/>
        </w:rPr>
        <w:t>B0215</w:t>
      </w:r>
      <w:r w:rsidRPr="00CB4B9E">
        <w:rPr>
          <w:rFonts w:hint="eastAsia"/>
          <w:color w:val="000000" w:themeColor="text1"/>
        </w:rPr>
        <w:t>和</w:t>
      </w:r>
      <w:r w:rsidRPr="00CB4B9E">
        <w:rPr>
          <w:color w:val="000000" w:themeColor="text1"/>
        </w:rPr>
        <w:t>B0216</w:t>
      </w:r>
      <w:r w:rsidRPr="00CB4B9E">
        <w:rPr>
          <w:rFonts w:hint="eastAsia"/>
          <w:color w:val="000000" w:themeColor="text1"/>
        </w:rPr>
        <w:t>项目的关系为：</w:t>
      </w:r>
      <w:r w:rsidRPr="00CB4B9E">
        <w:rPr>
          <w:color w:val="000000" w:themeColor="text1"/>
        </w:rPr>
        <w:t>B0215=B0216+B0217</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B0218.本月末市值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指本月末债务证券的公允价值。应优先使用按本月末公开市场收盘价计算的市场价值。如无市场价值，则按照记账惯例填报公允价值。</w:t>
      </w:r>
    </w:p>
    <w:p w:rsidR="007211A4"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B0219.其中：剩余期限在一年及以下</w:t>
      </w:r>
      <w:r w:rsidRPr="00CB4B9E">
        <w:rPr>
          <w:rFonts w:ascii="黑体" w:eastAsia="黑体" w:hAnsi="宋体" w:hint="eastAsia"/>
          <w:color w:val="000000" w:themeColor="text1"/>
        </w:rPr>
        <w:t>：</w:t>
      </w:r>
      <w:r w:rsidRPr="00CB4B9E">
        <w:rPr>
          <w:rFonts w:ascii="宋体" w:hAnsi="宋体" w:hint="eastAsia"/>
          <w:color w:val="000000" w:themeColor="text1"/>
          <w:szCs w:val="21"/>
        </w:rPr>
        <w:t>指自本月末至最终到期在一年及以下的债务证券的公允价值。应优先使用按本月末公开市场收盘价计算的市场价值。如无市场价值，则按照记账惯例填报公允价值。</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B0220.本月利息收入</w:t>
      </w:r>
      <w:r w:rsidRPr="00CB4B9E">
        <w:rPr>
          <w:rFonts w:ascii="黑体" w:eastAsia="黑体" w:hAnsi="宋体" w:hint="eastAsia"/>
          <w:color w:val="000000" w:themeColor="text1"/>
        </w:rPr>
        <w:t>：</w:t>
      </w:r>
      <w:r w:rsidRPr="00CB4B9E">
        <w:rPr>
          <w:rFonts w:ascii="宋体" w:hAnsi="宋体" w:hint="eastAsia"/>
          <w:color w:val="000000" w:themeColor="text1"/>
          <w:szCs w:val="21"/>
        </w:rPr>
        <w:t>指本机构会计账上按权责发生制确认的、本月发生的持有债务证券的利息收入。</w:t>
      </w:r>
    </w:p>
    <w:p w:rsidR="00103DD6" w:rsidRPr="009263D7" w:rsidRDefault="00103DD6" w:rsidP="00FB0F60">
      <w:pPr>
        <w:spacing w:line="360" w:lineRule="auto"/>
        <w:ind w:firstLineChars="200" w:firstLine="420"/>
        <w:jc w:val="left"/>
        <w:rPr>
          <w:rFonts w:ascii="黑体" w:eastAsia="黑体" w:hAnsi="宋体"/>
          <w:color w:val="000000" w:themeColor="text1"/>
          <w:szCs w:val="21"/>
        </w:rPr>
      </w:pPr>
    </w:p>
    <w:p w:rsidR="009E5D8D" w:rsidRPr="009263D7" w:rsidRDefault="00CB4B9E" w:rsidP="009E5D8D">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B03表：投资非居民境内发行股本证券和债务证券</w:t>
      </w:r>
    </w:p>
    <w:tbl>
      <w:tblPr>
        <w:tblW w:w="9440" w:type="dxa"/>
        <w:tblInd w:w="97" w:type="dxa"/>
        <w:tblLook w:val="04A0"/>
      </w:tblPr>
      <w:tblGrid>
        <w:gridCol w:w="4840"/>
        <w:gridCol w:w="4600"/>
      </w:tblGrid>
      <w:tr w:rsidR="009E5D8D"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9E5D8D" w:rsidRPr="009263D7" w:rsidRDefault="00CB4B9E" w:rsidP="00675CD0">
            <w:pPr>
              <w:widowControl/>
              <w:jc w:val="center"/>
              <w:rPr>
                <w:rFonts w:ascii="宋体" w:hAnsi="宋体" w:cs="宋体"/>
                <w:b/>
                <w:bCs/>
                <w:color w:val="000000" w:themeColor="text1"/>
                <w:kern w:val="0"/>
                <w:sz w:val="20"/>
              </w:rPr>
            </w:pPr>
            <w:r w:rsidRPr="00CB4B9E">
              <w:rPr>
                <w:rFonts w:ascii="宋体" w:hAnsi="宋体" w:cs="宋体" w:hint="eastAsia"/>
                <w:b/>
                <w:bCs/>
                <w:color w:val="000000" w:themeColor="text1"/>
                <w:kern w:val="0"/>
                <w:sz w:val="20"/>
              </w:rPr>
              <w:t>包</w:t>
            </w:r>
            <w:r w:rsidRPr="00CB4B9E">
              <w:rPr>
                <w:rFonts w:ascii="宋体" w:hAnsi="宋体" w:cs="宋体"/>
                <w:b/>
                <w:bCs/>
                <w:color w:val="000000" w:themeColor="text1"/>
                <w:kern w:val="0"/>
                <w:sz w:val="20"/>
              </w:rPr>
              <w:t xml:space="preserve">     </w:t>
            </w:r>
            <w:r w:rsidRPr="00CB4B9E">
              <w:rPr>
                <w:rFonts w:ascii="宋体" w:hAnsi="宋体" w:cs="宋体" w:hint="eastAsia"/>
                <w:b/>
                <w:bCs/>
                <w:color w:val="000000" w:themeColor="text1"/>
                <w:kern w:val="0"/>
                <w:sz w:val="20"/>
              </w:rPr>
              <w:t>括</w:t>
            </w:r>
          </w:p>
        </w:tc>
        <w:tc>
          <w:tcPr>
            <w:tcW w:w="4600" w:type="dxa"/>
            <w:tcBorders>
              <w:top w:val="single" w:sz="8" w:space="0" w:color="auto"/>
              <w:left w:val="nil"/>
              <w:bottom w:val="single" w:sz="4" w:space="0" w:color="auto"/>
              <w:right w:val="nil"/>
            </w:tcBorders>
            <w:shd w:val="clear" w:color="auto" w:fill="auto"/>
            <w:noWrap/>
            <w:vAlign w:val="center"/>
          </w:tcPr>
          <w:p w:rsidR="009E5D8D" w:rsidRPr="009263D7" w:rsidRDefault="00CB4B9E" w:rsidP="00675CD0">
            <w:pPr>
              <w:widowControl/>
              <w:jc w:val="center"/>
              <w:rPr>
                <w:rFonts w:ascii="宋体" w:hAnsi="宋体" w:cs="宋体"/>
                <w:b/>
                <w:bCs/>
                <w:color w:val="000000" w:themeColor="text1"/>
                <w:kern w:val="0"/>
                <w:sz w:val="20"/>
              </w:rPr>
            </w:pPr>
            <w:r w:rsidRPr="00CB4B9E">
              <w:rPr>
                <w:rFonts w:ascii="宋体" w:hAnsi="宋体" w:cs="宋体" w:hint="eastAsia"/>
                <w:b/>
                <w:bCs/>
                <w:color w:val="000000" w:themeColor="text1"/>
                <w:kern w:val="0"/>
                <w:sz w:val="20"/>
              </w:rPr>
              <w:t>不</w:t>
            </w:r>
            <w:r w:rsidRPr="00CB4B9E">
              <w:rPr>
                <w:rFonts w:ascii="宋体" w:hAnsi="宋体" w:cs="宋体"/>
                <w:b/>
                <w:bCs/>
                <w:color w:val="000000" w:themeColor="text1"/>
                <w:kern w:val="0"/>
                <w:sz w:val="20"/>
              </w:rPr>
              <w:t xml:space="preserve">   </w:t>
            </w:r>
            <w:r w:rsidRPr="00CB4B9E">
              <w:rPr>
                <w:rFonts w:ascii="宋体" w:hAnsi="宋体" w:cs="宋体" w:hint="eastAsia"/>
                <w:b/>
                <w:bCs/>
                <w:color w:val="000000" w:themeColor="text1"/>
                <w:kern w:val="0"/>
                <w:sz w:val="20"/>
              </w:rPr>
              <w:t>包</w:t>
            </w:r>
            <w:r w:rsidRPr="00CB4B9E">
              <w:rPr>
                <w:rFonts w:ascii="宋体" w:hAnsi="宋体" w:cs="宋体"/>
                <w:b/>
                <w:bCs/>
                <w:color w:val="000000" w:themeColor="text1"/>
                <w:kern w:val="0"/>
                <w:sz w:val="20"/>
              </w:rPr>
              <w:t xml:space="preserve">   </w:t>
            </w:r>
            <w:r w:rsidRPr="00CB4B9E">
              <w:rPr>
                <w:rFonts w:ascii="宋体" w:hAnsi="宋体" w:cs="宋体" w:hint="eastAsia"/>
                <w:b/>
                <w:bCs/>
                <w:color w:val="000000" w:themeColor="text1"/>
                <w:kern w:val="0"/>
                <w:sz w:val="20"/>
              </w:rPr>
              <w:t>括</w:t>
            </w:r>
          </w:p>
        </w:tc>
      </w:tr>
      <w:tr w:rsidR="007228EF" w:rsidRPr="009263D7">
        <w:trPr>
          <w:trHeight w:val="1258"/>
        </w:trPr>
        <w:tc>
          <w:tcPr>
            <w:tcW w:w="4840" w:type="dxa"/>
            <w:tcBorders>
              <w:top w:val="nil"/>
              <w:left w:val="nil"/>
              <w:bottom w:val="single" w:sz="4" w:space="0" w:color="auto"/>
              <w:right w:val="single" w:sz="4" w:space="0" w:color="auto"/>
            </w:tcBorders>
            <w:shd w:val="clear" w:color="auto" w:fill="auto"/>
            <w:vAlign w:val="center"/>
          </w:tcPr>
          <w:p w:rsidR="007228EF" w:rsidRPr="009263D7" w:rsidRDefault="00CB4B9E" w:rsidP="007228EF">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1.中国居民投资者投资非居民在境内金融市场发行的股本证券、投资基金份额/单位</w:t>
            </w:r>
            <w:r w:rsidRPr="00CB4B9E">
              <w:rPr>
                <w:rFonts w:ascii="宋体" w:hAnsi="宋体" w:cs="宋体" w:hint="eastAsia"/>
                <w:color w:val="000000" w:themeColor="text1"/>
                <w:kern w:val="0"/>
                <w:sz w:val="18"/>
                <w:szCs w:val="18"/>
              </w:rPr>
              <w:t>、债务证券情况。</w:t>
            </w:r>
          </w:p>
        </w:tc>
        <w:tc>
          <w:tcPr>
            <w:tcW w:w="4600" w:type="dxa"/>
            <w:tcBorders>
              <w:top w:val="single" w:sz="4" w:space="0" w:color="auto"/>
              <w:left w:val="nil"/>
              <w:bottom w:val="single" w:sz="4" w:space="0" w:color="auto"/>
              <w:right w:val="nil"/>
            </w:tcBorders>
            <w:shd w:val="clear" w:color="auto" w:fill="auto"/>
            <w:vAlign w:val="center"/>
          </w:tcPr>
          <w:p w:rsidR="007228EF" w:rsidRPr="009263D7" w:rsidRDefault="00CB4B9E" w:rsidP="007228EF">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1. </w:t>
            </w:r>
            <w:r w:rsidRPr="00CB4B9E">
              <w:rPr>
                <w:rFonts w:ascii="宋体" w:hAnsi="宋体" w:cs="宋体" w:hint="eastAsia"/>
                <w:color w:val="000000" w:themeColor="text1"/>
                <w:kern w:val="0"/>
                <w:sz w:val="18"/>
                <w:szCs w:val="18"/>
              </w:rPr>
              <w:t>非居民投资者投资非居民在境内金融市场发行的股本证券、投资基金份额</w:t>
            </w:r>
            <w:r w:rsidRPr="00CB4B9E">
              <w:rPr>
                <w:rFonts w:ascii="宋体" w:hAnsi="宋体" w:cs="宋体"/>
                <w:color w:val="000000" w:themeColor="text1"/>
                <w:kern w:val="0"/>
                <w:sz w:val="18"/>
                <w:szCs w:val="18"/>
              </w:rPr>
              <w:t>/单位</w:t>
            </w:r>
            <w:r w:rsidRPr="00CB4B9E">
              <w:rPr>
                <w:rFonts w:ascii="宋体" w:hAnsi="宋体" w:cs="宋体" w:hint="eastAsia"/>
                <w:color w:val="000000" w:themeColor="text1"/>
                <w:kern w:val="0"/>
                <w:sz w:val="18"/>
                <w:szCs w:val="18"/>
              </w:rPr>
              <w:t>、债务证券情况。</w:t>
            </w:r>
          </w:p>
        </w:tc>
      </w:tr>
      <w:tr w:rsidR="00A75A17" w:rsidRPr="009263D7">
        <w:trPr>
          <w:trHeight w:val="300"/>
        </w:trPr>
        <w:tc>
          <w:tcPr>
            <w:tcW w:w="4840" w:type="dxa"/>
            <w:tcBorders>
              <w:top w:val="single" w:sz="4" w:space="0" w:color="auto"/>
              <w:left w:val="nil"/>
              <w:right w:val="single" w:sz="4" w:space="0" w:color="auto"/>
            </w:tcBorders>
            <w:shd w:val="clear" w:color="auto" w:fill="auto"/>
            <w:vAlign w:val="center"/>
          </w:tcPr>
          <w:p w:rsidR="00A75A17" w:rsidRPr="009263D7" w:rsidRDefault="00A75A17" w:rsidP="00675CD0">
            <w:pPr>
              <w:widowControl/>
              <w:jc w:val="left"/>
              <w:rPr>
                <w:rFonts w:ascii="宋体" w:hAnsi="宋体" w:cs="宋体"/>
                <w:color w:val="000000" w:themeColor="text1"/>
                <w:kern w:val="0"/>
                <w:sz w:val="20"/>
              </w:rPr>
            </w:pPr>
          </w:p>
        </w:tc>
        <w:tc>
          <w:tcPr>
            <w:tcW w:w="4600" w:type="dxa"/>
            <w:vMerge w:val="restart"/>
            <w:tcBorders>
              <w:top w:val="single" w:sz="4" w:space="0" w:color="auto"/>
              <w:left w:val="nil"/>
              <w:right w:val="nil"/>
            </w:tcBorders>
            <w:shd w:val="clear" w:color="auto" w:fill="auto"/>
            <w:vAlign w:val="center"/>
          </w:tcPr>
          <w:p w:rsidR="00A75A17" w:rsidRPr="009263D7" w:rsidRDefault="00CB4B9E" w:rsidP="00B325A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2.居民投资者投资居民在境内金融市场发行的股本证券、投资基金份额/单位</w:t>
            </w:r>
            <w:r w:rsidRPr="00CB4B9E">
              <w:rPr>
                <w:rFonts w:ascii="宋体" w:hAnsi="宋体" w:cs="宋体" w:hint="eastAsia"/>
                <w:color w:val="000000" w:themeColor="text1"/>
                <w:kern w:val="0"/>
                <w:sz w:val="18"/>
                <w:szCs w:val="18"/>
              </w:rPr>
              <w:t>、债务证券情况。</w:t>
            </w:r>
          </w:p>
        </w:tc>
      </w:tr>
      <w:tr w:rsidR="00A75A17" w:rsidRPr="009263D7">
        <w:trPr>
          <w:trHeight w:val="300"/>
        </w:trPr>
        <w:tc>
          <w:tcPr>
            <w:tcW w:w="4840" w:type="dxa"/>
            <w:tcBorders>
              <w:left w:val="nil"/>
              <w:bottom w:val="single" w:sz="8" w:space="0" w:color="auto"/>
              <w:right w:val="single" w:sz="4" w:space="0" w:color="auto"/>
            </w:tcBorders>
            <w:shd w:val="clear" w:color="auto" w:fill="auto"/>
            <w:vAlign w:val="center"/>
          </w:tcPr>
          <w:p w:rsidR="00A75A17" w:rsidRPr="009263D7" w:rsidRDefault="00A75A17" w:rsidP="00675CD0">
            <w:pPr>
              <w:widowControl/>
              <w:jc w:val="left"/>
              <w:rPr>
                <w:rFonts w:ascii="宋体" w:hAnsi="宋体" w:cs="宋体"/>
                <w:color w:val="000000" w:themeColor="text1"/>
                <w:kern w:val="0"/>
                <w:sz w:val="20"/>
              </w:rPr>
            </w:pPr>
          </w:p>
        </w:tc>
        <w:tc>
          <w:tcPr>
            <w:tcW w:w="4600" w:type="dxa"/>
            <w:vMerge/>
            <w:tcBorders>
              <w:left w:val="nil"/>
              <w:bottom w:val="single" w:sz="8" w:space="0" w:color="auto"/>
              <w:right w:val="nil"/>
            </w:tcBorders>
            <w:shd w:val="clear" w:color="auto" w:fill="auto"/>
            <w:vAlign w:val="center"/>
          </w:tcPr>
          <w:p w:rsidR="00A75A17" w:rsidRPr="009263D7" w:rsidRDefault="00A75A17" w:rsidP="00675CD0">
            <w:pPr>
              <w:widowControl/>
              <w:jc w:val="left"/>
              <w:rPr>
                <w:rFonts w:ascii="宋体" w:hAnsi="宋体" w:cs="宋体"/>
                <w:color w:val="000000" w:themeColor="text1"/>
                <w:kern w:val="0"/>
                <w:sz w:val="18"/>
                <w:szCs w:val="18"/>
              </w:rPr>
            </w:pPr>
          </w:p>
        </w:tc>
      </w:tr>
    </w:tbl>
    <w:p w:rsidR="009E5D8D" w:rsidRPr="009263D7" w:rsidRDefault="009E5D8D" w:rsidP="009E5D8D">
      <w:pPr>
        <w:spacing w:line="280" w:lineRule="exact"/>
        <w:ind w:leftChars="-1" w:left="1062" w:hangingChars="591" w:hanging="1064"/>
        <w:rPr>
          <w:rFonts w:ascii="宋体" w:hAnsi="宋体" w:cs="宋体"/>
          <w:color w:val="000000" w:themeColor="text1"/>
          <w:kern w:val="0"/>
          <w:sz w:val="18"/>
          <w:szCs w:val="18"/>
        </w:rPr>
      </w:pP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 xml:space="preserve">B0301. </w:t>
      </w:r>
      <w:r w:rsidRPr="00CB4B9E">
        <w:rPr>
          <w:rFonts w:ascii="黑体" w:eastAsia="黑体" w:hAnsi="宋体" w:hint="eastAsia"/>
          <w:color w:val="000000" w:themeColor="text1"/>
          <w:szCs w:val="21"/>
        </w:rPr>
        <w:t>投资者所属国家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（必须为中国）：</w:t>
      </w:r>
      <w:r w:rsidRPr="00CB4B9E">
        <w:rPr>
          <w:rFonts w:ascii="宋体" w:hAnsi="宋体" w:hint="eastAsia"/>
          <w:color w:val="000000" w:themeColor="text1"/>
        </w:rPr>
        <w:t>请填报购买非居民境内发行的相关产品的投资者注</w:t>
      </w:r>
      <w:r w:rsidRPr="00CB4B9E">
        <w:rPr>
          <w:rFonts w:ascii="宋体" w:hAnsi="宋体" w:hint="eastAsia"/>
          <w:color w:val="000000" w:themeColor="text1"/>
        </w:rPr>
        <w:lastRenderedPageBreak/>
        <w:t>册（机构）或常住（个人）国家</w:t>
      </w:r>
      <w:r w:rsidRPr="00CB4B9E">
        <w:rPr>
          <w:rFonts w:ascii="宋体" w:hAnsi="宋体"/>
          <w:color w:val="000000" w:themeColor="text1"/>
        </w:rPr>
        <w:t>/地区代码。</w:t>
      </w:r>
      <w:r w:rsidRPr="00CB4B9E">
        <w:rPr>
          <w:rFonts w:ascii="黑体" w:eastAsia="黑体" w:hAnsi="宋体" w:hint="eastAsia"/>
          <w:b/>
          <w:color w:val="000000" w:themeColor="text1"/>
        </w:rPr>
        <w:t>本表投资者应是中国居民，所属国家</w:t>
      </w:r>
      <w:r w:rsidRPr="00CB4B9E">
        <w:rPr>
          <w:rFonts w:ascii="黑体" w:eastAsia="黑体" w:hAnsi="宋体"/>
          <w:b/>
          <w:color w:val="000000" w:themeColor="text1"/>
        </w:rPr>
        <w:t>/地区</w:t>
      </w:r>
      <w:r w:rsidRPr="00CB4B9E">
        <w:rPr>
          <w:rFonts w:ascii="黑体" w:eastAsia="黑体" w:hAnsi="宋体" w:hint="eastAsia"/>
          <w:b/>
          <w:color w:val="000000" w:themeColor="text1"/>
        </w:rPr>
        <w:t>为中国（不含中国香港、澳门和台湾地区）。</w:t>
      </w:r>
      <w:r w:rsidRPr="00CB4B9E">
        <w:rPr>
          <w:rFonts w:ascii="宋体" w:hAnsi="宋体" w:hint="eastAsia"/>
          <w:color w:val="000000" w:themeColor="text1"/>
        </w:rPr>
        <w:t>非居民投资者（如通过</w:t>
      </w:r>
      <w:r w:rsidRPr="00CB4B9E">
        <w:rPr>
          <w:rFonts w:ascii="宋体" w:hAnsi="宋体"/>
          <w:color w:val="000000" w:themeColor="text1"/>
        </w:rPr>
        <w:t>QFII、RQFII渠道）购买非居民境内发行产品不</w:t>
      </w:r>
      <w:r w:rsidRPr="00CB4B9E">
        <w:rPr>
          <w:rFonts w:ascii="宋体" w:hAnsi="宋体" w:hint="eastAsia"/>
          <w:color w:val="000000" w:themeColor="text1"/>
        </w:rPr>
        <w:t>属于本表统计范畴。</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B0302.投资者所属部门：</w:t>
      </w:r>
      <w:r w:rsidRPr="00CB4B9E">
        <w:rPr>
          <w:rFonts w:ascii="宋体" w:hAnsi="宋体" w:hint="eastAsia"/>
          <w:color w:val="000000" w:themeColor="text1"/>
        </w:rPr>
        <w:t>请按以下五个子部门填报：①政府；②中央银行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。请按投资者的主营业务归类。</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B0303.</w:t>
      </w:r>
      <w:r w:rsidRPr="00CB4B9E">
        <w:rPr>
          <w:rFonts w:ascii="黑体" w:eastAsia="黑体" w:hAnsi="宋体" w:hint="eastAsia"/>
          <w:color w:val="000000" w:themeColor="text1"/>
          <w:szCs w:val="21"/>
        </w:rPr>
        <w:t>所投资非居民发行产品类型：</w:t>
      </w:r>
      <w:r w:rsidRPr="00CB4B9E">
        <w:rPr>
          <w:rFonts w:ascii="宋体" w:hAnsi="宋体" w:hint="eastAsia"/>
          <w:color w:val="000000" w:themeColor="text1"/>
        </w:rPr>
        <w:t>指非居民发行主体在境内发行金融产品的类型。划分</w:t>
      </w:r>
      <w:r w:rsidRPr="00CB4B9E">
        <w:rPr>
          <w:rFonts w:ascii="宋体" w:hAnsi="宋体" w:hint="eastAsia"/>
          <w:color w:val="000000" w:themeColor="text1"/>
          <w:szCs w:val="21"/>
        </w:rPr>
        <w:t>为五类，按以下序号填列：</w:t>
      </w:r>
      <w:r w:rsidRPr="00CB4B9E">
        <w:rPr>
          <w:rFonts w:ascii="宋体" w:hAnsi="宋体" w:hint="eastAsia"/>
          <w:color w:val="000000" w:themeColor="text1"/>
        </w:rPr>
        <w:t>①</w:t>
      </w:r>
      <w:r w:rsidR="00052FBC">
        <w:rPr>
          <w:rFonts w:ascii="宋体" w:hAnsi="宋体" w:hint="eastAsia"/>
          <w:color w:val="000000" w:themeColor="text1"/>
        </w:rPr>
        <w:t>上市</w:t>
      </w:r>
      <w:r w:rsidRPr="00CB4B9E">
        <w:rPr>
          <w:rFonts w:ascii="宋体" w:hAnsi="宋体" w:hint="eastAsia"/>
          <w:color w:val="000000" w:themeColor="text1"/>
        </w:rPr>
        <w:t>普通股</w:t>
      </w:r>
      <w:r w:rsidRPr="00CB4B9E">
        <w:rPr>
          <w:rFonts w:ascii="宋体" w:hAnsi="宋体" w:hint="eastAsia"/>
          <w:color w:val="000000" w:themeColor="text1"/>
          <w:szCs w:val="21"/>
        </w:rPr>
        <w:t>；</w:t>
      </w:r>
      <w:r w:rsidRPr="00CB4B9E">
        <w:rPr>
          <w:rFonts w:ascii="宋体" w:hAnsi="宋体" w:hint="eastAsia"/>
          <w:color w:val="000000" w:themeColor="text1"/>
        </w:rPr>
        <w:t>②</w:t>
      </w:r>
      <w:r w:rsidRPr="00CB4B9E">
        <w:rPr>
          <w:rFonts w:ascii="宋体" w:hAnsi="宋体" w:hint="eastAsia"/>
          <w:color w:val="000000" w:themeColor="text1"/>
          <w:szCs w:val="21"/>
        </w:rPr>
        <w:t>投资基金份额</w:t>
      </w:r>
      <w:r w:rsidRPr="00CB4B9E">
        <w:rPr>
          <w:rFonts w:ascii="宋体" w:hAnsi="宋体"/>
          <w:color w:val="000000" w:themeColor="text1"/>
          <w:szCs w:val="21"/>
        </w:rPr>
        <w:t>/单位；</w:t>
      </w:r>
      <w:r w:rsidRPr="00CB4B9E">
        <w:rPr>
          <w:rFonts w:ascii="宋体" w:hAnsi="宋体" w:hint="eastAsia"/>
          <w:color w:val="000000" w:themeColor="text1"/>
        </w:rPr>
        <w:t>③债券</w:t>
      </w:r>
      <w:r w:rsidRPr="00CB4B9E">
        <w:rPr>
          <w:rFonts w:ascii="宋体" w:hAnsi="宋体" w:hint="eastAsia"/>
          <w:color w:val="000000" w:themeColor="text1"/>
          <w:szCs w:val="21"/>
        </w:rPr>
        <w:t>；</w:t>
      </w:r>
      <w:r w:rsidR="00052FBC" w:rsidRPr="00173D1B">
        <w:rPr>
          <w:rFonts w:ascii="宋体" w:hAnsi="宋体" w:hint="eastAsia"/>
          <w:color w:val="000000" w:themeColor="text1"/>
        </w:rPr>
        <w:t>④</w:t>
      </w:r>
      <w:r w:rsidR="00052FBC">
        <w:rPr>
          <w:rFonts w:ascii="宋体" w:hAnsi="宋体" w:hint="eastAsia"/>
          <w:color w:val="000000" w:themeColor="text1"/>
        </w:rPr>
        <w:t>非上市普通股；</w:t>
      </w:r>
      <w:r w:rsidR="00052FBC" w:rsidRPr="00173D1B">
        <w:rPr>
          <w:rFonts w:ascii="宋体" w:hAnsi="宋体" w:hint="eastAsia"/>
          <w:color w:val="000000" w:themeColor="text1"/>
        </w:rPr>
        <w:t>⑤</w:t>
      </w:r>
      <w:r w:rsidRPr="00CB4B9E">
        <w:rPr>
          <w:rFonts w:ascii="宋体" w:hAnsi="宋体" w:hint="eastAsia"/>
          <w:color w:val="000000" w:themeColor="text1"/>
        </w:rPr>
        <w:t>参与性优先股；</w:t>
      </w:r>
      <w:r w:rsidR="00052FBC">
        <w:rPr>
          <w:rFonts w:ascii="宋体" w:hAnsi="宋体" w:hint="eastAsia"/>
          <w:color w:val="000000" w:themeColor="text1"/>
        </w:rPr>
        <w:t>⑥</w:t>
      </w:r>
      <w:r w:rsidRPr="00CB4B9E">
        <w:rPr>
          <w:rFonts w:ascii="宋体" w:hAnsi="宋体" w:hint="eastAsia"/>
          <w:color w:val="000000" w:themeColor="text1"/>
        </w:rPr>
        <w:t>非参与性优先股</w:t>
      </w:r>
      <w:r w:rsidRPr="00CB4B9E">
        <w:rPr>
          <w:rFonts w:ascii="宋体" w:hAnsi="宋体" w:hint="eastAsia"/>
          <w:color w:val="000000" w:themeColor="text1"/>
          <w:szCs w:val="21"/>
        </w:rPr>
        <w:t>。</w:t>
      </w:r>
      <w:r w:rsidRPr="00CB4B9E">
        <w:rPr>
          <w:rFonts w:ascii="宋体" w:hAnsi="宋体" w:hint="eastAsia"/>
          <w:color w:val="000000" w:themeColor="text1"/>
        </w:rPr>
        <w:t>其中，</w:t>
      </w:r>
      <w:r w:rsidRPr="00CB4B9E">
        <w:rPr>
          <w:rFonts w:ascii="宋体" w:hAnsi="宋体" w:hint="eastAsia"/>
          <w:color w:val="000000" w:themeColor="text1"/>
          <w:szCs w:val="21"/>
        </w:rPr>
        <w:t>普通股和参与性优先股属于股票或股权类产品，非参与性优先股为债务类工具。可转债在转换前，统计为债务证券；转换后，统计为股本证券。</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 xml:space="preserve">B0304. </w:t>
      </w:r>
      <w:r w:rsidRPr="00CB4B9E">
        <w:rPr>
          <w:rFonts w:ascii="黑体" w:eastAsia="黑体" w:hAnsi="宋体" w:hint="eastAsia"/>
          <w:color w:val="000000" w:themeColor="text1"/>
          <w:szCs w:val="21"/>
        </w:rPr>
        <w:t>所投资产品代码（逐支报送使用）：</w:t>
      </w:r>
      <w:r w:rsidRPr="00CB4B9E">
        <w:rPr>
          <w:rFonts w:ascii="Calibri" w:hAnsi="Calibri" w:hint="eastAsia"/>
          <w:color w:val="000000" w:themeColor="text1"/>
        </w:rPr>
        <w:t>对于选择报送逐支证券信息的，请填写此项。</w:t>
      </w:r>
      <w:r w:rsidRPr="00CB4B9E">
        <w:rPr>
          <w:rFonts w:ascii="宋体" w:hAnsi="宋体" w:hint="eastAsia"/>
          <w:color w:val="000000" w:themeColor="text1"/>
        </w:rPr>
        <w:t>指非居民发行主体所发行产品的代码（带有上市地信息的代码）。如该金融产品有</w:t>
      </w:r>
      <w:r w:rsidRPr="00CB4B9E">
        <w:rPr>
          <w:rFonts w:ascii="宋体" w:hAnsi="宋体"/>
          <w:color w:val="000000" w:themeColor="text1"/>
        </w:rPr>
        <w:t>ISIN码，应优先填写ISIN码。</w:t>
      </w:r>
      <w:r w:rsidRPr="00CB4B9E">
        <w:rPr>
          <w:rFonts w:ascii="宋体" w:hAnsi="宋体" w:hint="eastAsia"/>
          <w:color w:val="000000" w:themeColor="text1"/>
        </w:rPr>
        <w:t>如无</w:t>
      </w:r>
      <w:r w:rsidRPr="00CB4B9E">
        <w:rPr>
          <w:rFonts w:ascii="宋体" w:hAnsi="宋体"/>
          <w:color w:val="000000" w:themeColor="text1"/>
        </w:rPr>
        <w:t>ISIN码</w:t>
      </w:r>
      <w:r w:rsidRPr="00CB4B9E">
        <w:rPr>
          <w:rFonts w:ascii="宋体" w:hAnsi="宋体" w:hint="eastAsia"/>
          <w:color w:val="000000" w:themeColor="text1"/>
        </w:rPr>
        <w:t>，应填写该金融产品市场唯一通用代码。</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B0305.非居民发行主体名称（逐支报送使用）：</w:t>
      </w:r>
      <w:r w:rsidRPr="00CB4B9E">
        <w:rPr>
          <w:rFonts w:ascii="Calibri" w:hAnsi="Calibri" w:hint="eastAsia"/>
          <w:color w:val="000000" w:themeColor="text1"/>
        </w:rPr>
        <w:t>对于选择报送逐支证券信息的，请填写此项。</w:t>
      </w:r>
      <w:r w:rsidRPr="00CB4B9E">
        <w:rPr>
          <w:rFonts w:ascii="宋体" w:hAnsi="宋体" w:hint="eastAsia"/>
          <w:color w:val="000000" w:themeColor="text1"/>
          <w:szCs w:val="21"/>
        </w:rPr>
        <w:t>指发行相关金融产品的非居民机构（或产品）的英文或中文全称。</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B0306.非居民发行主体</w:t>
      </w:r>
      <w:r w:rsidRPr="00CB4B9E">
        <w:rPr>
          <w:rFonts w:ascii="黑体" w:eastAsia="黑体" w:hAnsi="宋体" w:hint="eastAsia"/>
          <w:color w:val="000000" w:themeColor="text1"/>
          <w:szCs w:val="21"/>
        </w:rPr>
        <w:t>所属国家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rPr>
        <w:t>填报相关非居民机构注册国家</w:t>
      </w:r>
      <w:r w:rsidRPr="00CB4B9E">
        <w:rPr>
          <w:rFonts w:ascii="宋体" w:hAnsi="宋体"/>
          <w:color w:val="000000" w:themeColor="text1"/>
        </w:rPr>
        <w:t>/地区</w:t>
      </w:r>
      <w:r w:rsidRPr="00CB4B9E">
        <w:rPr>
          <w:rFonts w:ascii="宋体" w:hAnsi="宋体" w:hint="eastAsia"/>
          <w:color w:val="000000" w:themeColor="text1"/>
        </w:rPr>
        <w:t>代码。对于无法确定其注册地的，应按非居民机构的经营所在地记录。</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B0307.</w:t>
      </w:r>
      <w:r w:rsidRPr="00CB4B9E">
        <w:rPr>
          <w:rFonts w:ascii="宋体" w:hAnsi="宋体"/>
          <w:color w:val="000000" w:themeColor="text1"/>
        </w:rPr>
        <w:t xml:space="preserve"> </w:t>
      </w:r>
      <w:r w:rsidRPr="00CB4B9E">
        <w:rPr>
          <w:rFonts w:ascii="黑体" w:eastAsia="黑体" w:hAnsi="宋体" w:hint="eastAsia"/>
          <w:color w:val="000000" w:themeColor="text1"/>
          <w:szCs w:val="21"/>
        </w:rPr>
        <w:t>非居民发行主体所属部门：</w:t>
      </w:r>
      <w:r w:rsidRPr="00CB4B9E">
        <w:rPr>
          <w:rFonts w:ascii="宋体" w:hAnsi="宋体" w:hint="eastAsia"/>
          <w:color w:val="000000" w:themeColor="text1"/>
        </w:rPr>
        <w:t>请按以下五个子部门填列，即：①政府；②中央银行</w:t>
      </w:r>
      <w:r w:rsidRPr="00CB4B9E">
        <w:rPr>
          <w:rFonts w:ascii="宋体" w:hAnsi="宋体"/>
          <w:color w:val="000000" w:themeColor="text1"/>
        </w:rPr>
        <w:t>/货币当局；③银行；④非银行金融机构；⑤其他企业</w:t>
      </w:r>
      <w:r w:rsidRPr="00CB4B9E">
        <w:rPr>
          <w:rFonts w:ascii="宋体" w:hAnsi="宋体" w:hint="eastAsia"/>
          <w:color w:val="000000" w:themeColor="text1"/>
        </w:rPr>
        <w:t>和个人。请按非居民发行主体的主营业务归类。对于政府支持（机构）类债券，应按发行主体本身所属部门归类，如两房债券，应选择“④非银行金融机构”。</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B0308.债务证券原始期限：</w:t>
      </w:r>
      <w:r w:rsidRPr="00CB4B9E">
        <w:rPr>
          <w:rFonts w:ascii="宋体" w:hAnsi="宋体" w:hint="eastAsia"/>
          <w:color w:val="000000" w:themeColor="text1"/>
        </w:rPr>
        <w:t>指非居民发行主体相关债务证券从初始发行至到期的期限。请按以下两种情况填列：①一年及以下；②一年以上，含永久性债券。本项仅限债务证券使用，非债务性工具不填报此项。</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B0309.</w:t>
      </w:r>
      <w:r w:rsidRPr="00CB4B9E">
        <w:rPr>
          <w:rFonts w:ascii="黑体" w:eastAsia="黑体" w:hAnsi="宋体"/>
          <w:color w:val="000000" w:themeColor="text1"/>
        </w:rPr>
        <w:t xml:space="preserve"> </w:t>
      </w:r>
      <w:r w:rsidRPr="00CB4B9E">
        <w:rPr>
          <w:rFonts w:ascii="黑体" w:eastAsia="黑体" w:hAnsi="宋体" w:hint="eastAsia"/>
          <w:color w:val="000000" w:themeColor="text1"/>
        </w:rPr>
        <w:t>原始币种：</w:t>
      </w:r>
      <w:r w:rsidRPr="00CB4B9E">
        <w:rPr>
          <w:rFonts w:ascii="宋体" w:hAnsi="宋体" w:hint="eastAsia"/>
          <w:color w:val="000000" w:themeColor="text1"/>
          <w:szCs w:val="21"/>
        </w:rPr>
        <w:t>指非居民发行主体在境内发行产品的计价币种，</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填列。适用于</w:t>
      </w:r>
      <w:r w:rsidRPr="00CB4B9E">
        <w:rPr>
          <w:rFonts w:ascii="宋体" w:hAnsi="宋体"/>
          <w:color w:val="000000" w:themeColor="text1"/>
          <w:szCs w:val="21"/>
        </w:rPr>
        <w:t>B0310-B0318项。</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B0310.上月末市值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指非居民发行主体上月末发行在外相关金融产品的市值。按上月末最后一个交易日收盘价计算（债券类工具应按全价计值）。</w:t>
      </w:r>
    </w:p>
    <w:p w:rsidR="009E5D8D" w:rsidRPr="009263D7" w:rsidRDefault="00CB4B9E" w:rsidP="009E5D8D">
      <w:pPr>
        <w:spacing w:line="360" w:lineRule="auto"/>
        <w:ind w:firstLineChars="200" w:firstLine="420"/>
        <w:jc w:val="left"/>
        <w:rPr>
          <w:color w:val="000000" w:themeColor="text1"/>
        </w:rPr>
      </w:pPr>
      <w:r w:rsidRPr="00CB4B9E">
        <w:rPr>
          <w:rFonts w:ascii="黑体" w:eastAsia="黑体" w:hAnsi="宋体"/>
          <w:color w:val="000000" w:themeColor="text1"/>
          <w:szCs w:val="21"/>
        </w:rPr>
        <w:t>B0311.本月买入（申购）金额</w:t>
      </w:r>
      <w:r w:rsidRPr="00CB4B9E">
        <w:rPr>
          <w:rFonts w:ascii="黑体" w:eastAsia="黑体" w:hAnsi="宋体" w:hint="eastAsia"/>
          <w:color w:val="000000" w:themeColor="text1"/>
        </w:rPr>
        <w:t>：</w:t>
      </w:r>
      <w:r w:rsidRPr="00CB4B9E">
        <w:rPr>
          <w:rFonts w:ascii="宋体" w:hAnsi="宋体"/>
          <w:color w:val="000000" w:themeColor="text1"/>
          <w:szCs w:val="21"/>
        </w:rPr>
        <w:t xml:space="preserve"> 指本月内，投资者买入（申购）非居民相关产品所支付的成本（债券类工具应按全价计值）。不过，如果非居民</w:t>
      </w:r>
      <w:r w:rsidRPr="00CB4B9E">
        <w:rPr>
          <w:rFonts w:hint="eastAsia"/>
          <w:color w:val="000000" w:themeColor="text1"/>
        </w:rPr>
        <w:t>发行的股票因股票分割出现的新股票，不纳入本项统计。与发行新股票获得新融资不同，股票分割不发生新的融资。此外，投资者以过户、继承、法院裁定、大宗交易（协议定价交易）等方式发生相关产品所有权转移，但资金未经清算结算机构集中清算的，视同</w:t>
      </w:r>
      <w:r w:rsidRPr="00CB4B9E">
        <w:rPr>
          <w:rFonts w:hint="eastAsia"/>
          <w:color w:val="000000" w:themeColor="text1"/>
        </w:rPr>
        <w:lastRenderedPageBreak/>
        <w:t>买卖处理。其中，获得非居民相关产品所有权的一方为买入者（填入本栏），转出相关产品所有权的一方为卖出者（填入</w:t>
      </w:r>
      <w:r w:rsidRPr="00CB4B9E">
        <w:rPr>
          <w:color w:val="000000" w:themeColor="text1"/>
        </w:rPr>
        <w:t>B0312</w:t>
      </w:r>
      <w:r w:rsidRPr="00CB4B9E">
        <w:rPr>
          <w:rFonts w:hint="eastAsia"/>
          <w:color w:val="000000" w:themeColor="text1"/>
        </w:rPr>
        <w:t>栏）。</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B0312.本月卖</w:t>
      </w:r>
      <w:r w:rsidRPr="00CB4B9E">
        <w:rPr>
          <w:rFonts w:ascii="黑体" w:eastAsia="黑体" w:hAnsi="宋体" w:hint="eastAsia"/>
          <w:color w:val="000000" w:themeColor="text1"/>
          <w:szCs w:val="21"/>
        </w:rPr>
        <w:t>出（赎回）金额</w:t>
      </w:r>
      <w:r w:rsidRPr="00CB4B9E">
        <w:rPr>
          <w:rFonts w:ascii="黑体" w:eastAsia="黑体" w:hAnsi="宋体" w:hint="eastAsia"/>
          <w:color w:val="000000" w:themeColor="text1"/>
        </w:rPr>
        <w:t>：</w:t>
      </w:r>
      <w:r w:rsidRPr="00CB4B9E">
        <w:rPr>
          <w:rFonts w:ascii="宋体" w:hAnsi="宋体"/>
          <w:color w:val="000000" w:themeColor="text1"/>
          <w:szCs w:val="21"/>
        </w:rPr>
        <w:t xml:space="preserve"> 指本月内，投资者卖出（赎回</w:t>
      </w:r>
      <w:r w:rsidRPr="00CB4B9E">
        <w:rPr>
          <w:rFonts w:ascii="宋体" w:hAnsi="宋体" w:hint="eastAsia"/>
          <w:color w:val="000000" w:themeColor="text1"/>
          <w:szCs w:val="21"/>
        </w:rPr>
        <w:t>或持有到期）非居民相关产品所获得的金额（债券类工具应按全价计值）。</w:t>
      </w:r>
      <w:r w:rsidRPr="00CB4B9E">
        <w:rPr>
          <w:rFonts w:hint="eastAsia"/>
          <w:color w:val="000000" w:themeColor="text1"/>
        </w:rPr>
        <w:t>此外，投资者以过户、继承、法院裁定、大宗交易（协议定价交易）等方式发生相关产品所有权转移，但资金未经清算结算机构集中清算的，视同买卖处理。其中，居民投资者获得非居民相关产品所有权视为买入（填入</w:t>
      </w:r>
      <w:r w:rsidRPr="00CB4B9E">
        <w:rPr>
          <w:color w:val="000000" w:themeColor="text1"/>
        </w:rPr>
        <w:t>B0311</w:t>
      </w:r>
      <w:r w:rsidRPr="00CB4B9E">
        <w:rPr>
          <w:rFonts w:hint="eastAsia"/>
          <w:color w:val="000000" w:themeColor="text1"/>
        </w:rPr>
        <w:t>栏），转出相关产品所有权视为卖出（填入本栏）。</w:t>
      </w:r>
    </w:p>
    <w:p w:rsidR="009E5D8D" w:rsidRPr="009263D7" w:rsidRDefault="00CB4B9E" w:rsidP="009E5D8D">
      <w:pPr>
        <w:spacing w:line="360" w:lineRule="auto"/>
        <w:ind w:firstLineChars="200" w:firstLine="420"/>
        <w:jc w:val="left"/>
        <w:rPr>
          <w:color w:val="000000" w:themeColor="text1"/>
        </w:rPr>
      </w:pPr>
      <w:r w:rsidRPr="00CB4B9E">
        <w:rPr>
          <w:rFonts w:ascii="黑体" w:eastAsia="黑体" w:hAnsi="宋体"/>
          <w:color w:val="000000" w:themeColor="text1"/>
          <w:szCs w:val="21"/>
        </w:rPr>
        <w:t>B0313.本月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反映统计期间投资产品买卖净值变化以外的非交易因素引起的价值变动。计算方法为：</w:t>
      </w:r>
      <w:r w:rsidRPr="00CB4B9E">
        <w:rPr>
          <w:color w:val="000000" w:themeColor="text1"/>
        </w:rPr>
        <w:t>B0313=B0316-B0310-</w:t>
      </w:r>
      <w:r w:rsidRPr="00CB4B9E">
        <w:rPr>
          <w:rFonts w:hint="eastAsia"/>
          <w:color w:val="000000" w:themeColor="text1"/>
        </w:rPr>
        <w:t>（</w:t>
      </w:r>
      <w:r w:rsidRPr="00CB4B9E">
        <w:rPr>
          <w:color w:val="000000" w:themeColor="text1"/>
        </w:rPr>
        <w:t>B0311-B0312</w:t>
      </w:r>
      <w:r w:rsidRPr="00CB4B9E">
        <w:rPr>
          <w:rFonts w:hint="eastAsia"/>
          <w:color w:val="000000" w:themeColor="text1"/>
        </w:rPr>
        <w:t>）。</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B0314.债权注销</w:t>
      </w:r>
      <w:r w:rsidRPr="00CB4B9E">
        <w:rPr>
          <w:rFonts w:ascii="黑体" w:eastAsia="黑体" w:hAnsi="宋体" w:hint="eastAsia"/>
          <w:color w:val="000000" w:themeColor="text1"/>
          <w:szCs w:val="21"/>
        </w:rPr>
        <w:t>金额</w:t>
      </w:r>
      <w:r w:rsidRPr="00CB4B9E">
        <w:rPr>
          <w:rFonts w:ascii="黑体" w:eastAsia="黑体" w:hAnsi="宋体" w:hint="eastAsia"/>
          <w:color w:val="000000" w:themeColor="text1"/>
        </w:rPr>
        <w:t>：</w:t>
      </w:r>
      <w:r w:rsidRPr="00CB4B9E">
        <w:rPr>
          <w:rFonts w:hint="eastAsia"/>
          <w:color w:val="000000" w:themeColor="text1"/>
        </w:rPr>
        <w:t>指相关债权注销金额。其与</w:t>
      </w:r>
      <w:r w:rsidRPr="00CB4B9E">
        <w:rPr>
          <w:color w:val="000000" w:themeColor="text1"/>
        </w:rPr>
        <w:t>B0313</w:t>
      </w:r>
      <w:r w:rsidRPr="00CB4B9E">
        <w:rPr>
          <w:rFonts w:hint="eastAsia"/>
          <w:color w:val="000000" w:themeColor="text1"/>
        </w:rPr>
        <w:t>和</w:t>
      </w:r>
      <w:r w:rsidRPr="00CB4B9E">
        <w:rPr>
          <w:color w:val="000000" w:themeColor="text1"/>
        </w:rPr>
        <w:t>B0315</w:t>
      </w:r>
      <w:r w:rsidRPr="00CB4B9E">
        <w:rPr>
          <w:rFonts w:hint="eastAsia"/>
          <w:color w:val="000000" w:themeColor="text1"/>
        </w:rPr>
        <w:t>项目的关系为：</w:t>
      </w:r>
      <w:r w:rsidRPr="00CB4B9E">
        <w:rPr>
          <w:color w:val="000000" w:themeColor="text1"/>
        </w:rPr>
        <w:t>B0313=B0314+B0315</w:t>
      </w:r>
      <w:r w:rsidRPr="00CB4B9E">
        <w:rPr>
          <w:rFonts w:hint="eastAsia"/>
          <w:color w:val="000000" w:themeColor="text1"/>
        </w:rPr>
        <w:t>。</w:t>
      </w:r>
    </w:p>
    <w:p w:rsidR="009E5D8D" w:rsidRPr="009263D7" w:rsidRDefault="00CB4B9E" w:rsidP="009E5D8D">
      <w:pPr>
        <w:spacing w:line="360" w:lineRule="auto"/>
        <w:ind w:firstLineChars="200" w:firstLine="420"/>
        <w:jc w:val="left"/>
        <w:rPr>
          <w:color w:val="000000" w:themeColor="text1"/>
        </w:rPr>
      </w:pPr>
      <w:r w:rsidRPr="00CB4B9E">
        <w:rPr>
          <w:rFonts w:ascii="黑体" w:eastAsia="黑体" w:hAnsi="宋体"/>
          <w:color w:val="000000" w:themeColor="text1"/>
          <w:szCs w:val="21"/>
        </w:rPr>
        <w:t>B0315.</w:t>
      </w:r>
      <w:r w:rsidRPr="00CB4B9E">
        <w:rPr>
          <w:rFonts w:ascii="黑体" w:eastAsia="黑体" w:hAnsi="宋体" w:hint="eastAsia"/>
          <w:color w:val="000000" w:themeColor="text1"/>
          <w:szCs w:val="21"/>
        </w:rPr>
        <w:t>价值重估因素</w:t>
      </w:r>
      <w:r w:rsidRPr="00CB4B9E">
        <w:rPr>
          <w:rFonts w:ascii="黑体" w:eastAsia="黑体" w:hAnsi="宋体" w:hint="eastAsia"/>
          <w:color w:val="000000" w:themeColor="text1"/>
        </w:rPr>
        <w:t>：</w:t>
      </w:r>
      <w:r w:rsidRPr="00CB4B9E">
        <w:rPr>
          <w:rFonts w:hint="eastAsia"/>
          <w:color w:val="000000" w:themeColor="text1"/>
        </w:rPr>
        <w:t>剔除买卖因素和</w:t>
      </w:r>
      <w:r w:rsidRPr="00CB4B9E">
        <w:rPr>
          <w:color w:val="000000" w:themeColor="text1"/>
        </w:rPr>
        <w:t>B0314</w:t>
      </w:r>
      <w:r w:rsidRPr="00CB4B9E">
        <w:rPr>
          <w:rFonts w:hint="eastAsia"/>
          <w:color w:val="000000" w:themeColor="text1"/>
        </w:rPr>
        <w:t>因素外，本月市场价格或近似参考价格波动带来的相关工具价值增减。其与</w:t>
      </w:r>
      <w:r w:rsidRPr="00CB4B9E">
        <w:rPr>
          <w:color w:val="000000" w:themeColor="text1"/>
        </w:rPr>
        <w:t>B0313</w:t>
      </w:r>
      <w:r w:rsidRPr="00CB4B9E">
        <w:rPr>
          <w:rFonts w:hint="eastAsia"/>
          <w:color w:val="000000" w:themeColor="text1"/>
        </w:rPr>
        <w:t>和</w:t>
      </w:r>
      <w:r w:rsidRPr="00CB4B9E">
        <w:rPr>
          <w:color w:val="000000" w:themeColor="text1"/>
        </w:rPr>
        <w:t>B0314</w:t>
      </w:r>
      <w:r w:rsidRPr="00CB4B9E">
        <w:rPr>
          <w:rFonts w:hint="eastAsia"/>
          <w:color w:val="000000" w:themeColor="text1"/>
        </w:rPr>
        <w:t>项目的关系为：</w:t>
      </w:r>
      <w:r w:rsidRPr="00CB4B9E">
        <w:rPr>
          <w:color w:val="000000" w:themeColor="text1"/>
        </w:rPr>
        <w:t>B0313=B0314+B0315</w:t>
      </w:r>
      <w:r w:rsidRPr="00CB4B9E">
        <w:rPr>
          <w:rFonts w:hint="eastAsia"/>
          <w:color w:val="000000" w:themeColor="text1"/>
        </w:rPr>
        <w:t>。</w:t>
      </w:r>
    </w:p>
    <w:p w:rsidR="009E5D8D" w:rsidRPr="009263D7" w:rsidRDefault="00CB4B9E" w:rsidP="009E5D8D">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B0316.本月末市值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指非居民发行主体本月末发行在外相关金融产品的市值。按本月末最后一个交易日收盘价计算（债券类工具应按全价计值）。</w:t>
      </w:r>
    </w:p>
    <w:p w:rsidR="00C268D2"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B0317.其中：剩余期限在一年及以下</w:t>
      </w:r>
      <w:r w:rsidRPr="00CB4B9E">
        <w:rPr>
          <w:rFonts w:ascii="黑体" w:eastAsia="黑体" w:hAnsi="宋体" w:hint="eastAsia"/>
          <w:color w:val="000000" w:themeColor="text1"/>
        </w:rPr>
        <w:t>：</w:t>
      </w:r>
      <w:r w:rsidRPr="00CB4B9E">
        <w:rPr>
          <w:rFonts w:ascii="宋体" w:hAnsi="宋体" w:hint="eastAsia"/>
          <w:color w:val="000000" w:themeColor="text1"/>
          <w:szCs w:val="21"/>
        </w:rPr>
        <w:t>指非居民发行主体本月末发行在外债务类金融产品（如债券）的市值。按本月末最后一个交易日该类债券工具的全价计值。</w:t>
      </w:r>
    </w:p>
    <w:p w:rsidR="009E5D8D" w:rsidRPr="009263D7" w:rsidRDefault="00CB4B9E" w:rsidP="009E5D8D">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B0318.本月投资者红利或利息收入</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非居民发行主体分配给投资者的红利、股息，以及利息。其中，红利、股息按股票除息日统计。利息按利息分发日统计。相关红利或利息收入应为税前收入。对于股票股息，按照除息日当天每股收盘价格乘以股票股息份数填报。</w:t>
      </w:r>
    </w:p>
    <w:p w:rsidR="009E5D8D" w:rsidRPr="009263D7" w:rsidRDefault="009E5D8D" w:rsidP="00FB0F60">
      <w:pPr>
        <w:spacing w:line="360" w:lineRule="auto"/>
        <w:ind w:firstLineChars="200" w:firstLine="420"/>
        <w:jc w:val="left"/>
        <w:rPr>
          <w:rFonts w:ascii="黑体" w:eastAsia="黑体" w:hAnsi="宋体"/>
          <w:color w:val="000000" w:themeColor="text1"/>
          <w:szCs w:val="21"/>
        </w:rPr>
      </w:pPr>
    </w:p>
    <w:p w:rsidR="00FB0F60" w:rsidRPr="009263D7" w:rsidRDefault="00CB4B9E" w:rsidP="001563E3">
      <w:pPr>
        <w:spacing w:line="360" w:lineRule="auto"/>
        <w:ind w:rightChars="154" w:right="323" w:firstLineChars="200" w:firstLine="480"/>
        <w:rPr>
          <w:rFonts w:ascii="黑体" w:eastAsia="黑体"/>
          <w:color w:val="000000" w:themeColor="text1"/>
          <w:sz w:val="24"/>
        </w:rPr>
      </w:pPr>
      <w:r w:rsidRPr="00CB4B9E">
        <w:rPr>
          <w:rFonts w:ascii="黑体" w:eastAsia="黑体"/>
          <w:color w:val="000000" w:themeColor="text1"/>
          <w:sz w:val="24"/>
        </w:rPr>
        <w:t>B04</w:t>
      </w:r>
      <w:r w:rsidRPr="00CB4B9E">
        <w:rPr>
          <w:rFonts w:ascii="黑体" w:eastAsia="黑体" w:hint="eastAsia"/>
          <w:color w:val="000000" w:themeColor="text1"/>
          <w:sz w:val="24"/>
        </w:rPr>
        <w:t>表：吸收境外股权和基金份额投资（负债）</w:t>
      </w:r>
    </w:p>
    <w:tbl>
      <w:tblPr>
        <w:tblW w:w="9440" w:type="dxa"/>
        <w:tblInd w:w="97" w:type="dxa"/>
        <w:tblLook w:val="04A0"/>
      </w:tblPr>
      <w:tblGrid>
        <w:gridCol w:w="4840"/>
        <w:gridCol w:w="4600"/>
      </w:tblGrid>
      <w:tr w:rsidR="00FB0F60"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B0F60"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B0F60" w:rsidRPr="009263D7" w:rsidRDefault="00CB4B9E" w:rsidP="000710B4">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1.本机构在境外发行的上市股份，且</w:t>
            </w:r>
            <w:r w:rsidRPr="00CB4B9E">
              <w:rPr>
                <w:rFonts w:ascii="宋体" w:hAnsi="宋体" w:cs="宋体" w:hint="eastAsia"/>
                <w:color w:val="000000" w:themeColor="text1"/>
                <w:kern w:val="0"/>
                <w:sz w:val="18"/>
                <w:szCs w:val="18"/>
              </w:rPr>
              <w:t>本统计期初或期末单个持有人表决权比例</w:t>
            </w:r>
            <w:r w:rsidRPr="00CB4B9E">
              <w:rPr>
                <w:rFonts w:ascii="宋体" w:hAnsi="宋体" w:hint="eastAsia"/>
                <w:color w:val="000000" w:themeColor="text1"/>
                <w:sz w:val="18"/>
                <w:szCs w:val="18"/>
              </w:rPr>
              <w:t>＜</w:t>
            </w:r>
            <w:r w:rsidRPr="00CB4B9E">
              <w:rPr>
                <w:rFonts w:ascii="宋体" w:hAnsi="宋体" w:cs="宋体"/>
                <w:color w:val="000000" w:themeColor="text1"/>
                <w:kern w:val="0"/>
                <w:sz w:val="18"/>
                <w:szCs w:val="18"/>
              </w:rPr>
              <w:t>10%的。</w:t>
            </w:r>
          </w:p>
        </w:tc>
        <w:tc>
          <w:tcPr>
            <w:tcW w:w="4600" w:type="dxa"/>
            <w:tcBorders>
              <w:top w:val="nil"/>
              <w:left w:val="nil"/>
              <w:bottom w:val="single" w:sz="4" w:space="0" w:color="auto"/>
              <w:right w:val="nil"/>
            </w:tcBorders>
            <w:shd w:val="clear" w:color="auto" w:fill="auto"/>
            <w:vAlign w:val="center"/>
          </w:tcPr>
          <w:p w:rsidR="00FB0F60"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1.本机构在境外发行的上市股份，但单个非居民表决权比例</w:t>
            </w: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10%，请填报在A02表下。</w:t>
            </w:r>
          </w:p>
        </w:tc>
      </w:tr>
      <w:tr w:rsidR="00FB0F60"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B0F60" w:rsidRPr="009263D7" w:rsidRDefault="00CB4B9E" w:rsidP="001C48A4">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2.本机构非上市股份，且</w:t>
            </w:r>
            <w:r w:rsidRPr="00CB4B9E">
              <w:rPr>
                <w:rFonts w:ascii="宋体" w:hAnsi="宋体" w:cs="宋体" w:hint="eastAsia"/>
                <w:color w:val="000000" w:themeColor="text1"/>
                <w:kern w:val="0"/>
                <w:sz w:val="18"/>
                <w:szCs w:val="18"/>
              </w:rPr>
              <w:t>本统计期初或期末单个非居民持有人表决权比例</w:t>
            </w:r>
            <w:r w:rsidRPr="00CB4B9E">
              <w:rPr>
                <w:rFonts w:ascii="宋体" w:hAnsi="宋体" w:hint="eastAsia"/>
                <w:color w:val="000000" w:themeColor="text1"/>
                <w:sz w:val="18"/>
                <w:szCs w:val="18"/>
              </w:rPr>
              <w:t>＜</w:t>
            </w:r>
            <w:r w:rsidRPr="00CB4B9E">
              <w:rPr>
                <w:rFonts w:ascii="宋体" w:hAnsi="宋体" w:cs="宋体"/>
                <w:color w:val="000000" w:themeColor="text1"/>
                <w:kern w:val="0"/>
                <w:sz w:val="18"/>
                <w:szCs w:val="18"/>
              </w:rPr>
              <w:t>10%的。</w:t>
            </w:r>
          </w:p>
        </w:tc>
        <w:tc>
          <w:tcPr>
            <w:tcW w:w="4600" w:type="dxa"/>
            <w:tcBorders>
              <w:top w:val="nil"/>
              <w:left w:val="nil"/>
              <w:bottom w:val="single" w:sz="4" w:space="0" w:color="auto"/>
              <w:right w:val="nil"/>
            </w:tcBorders>
            <w:shd w:val="clear" w:color="auto" w:fill="auto"/>
            <w:vAlign w:val="center"/>
          </w:tcPr>
          <w:p w:rsidR="00FB0F60" w:rsidRPr="009263D7" w:rsidRDefault="00CB4B9E" w:rsidP="008F6BA8">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2.本机构非上市股份，单个非居民持有人表决权比例</w:t>
            </w: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10%，请填报在A02表下。</w:t>
            </w:r>
          </w:p>
        </w:tc>
      </w:tr>
      <w:tr w:rsidR="00FB0F60"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B0F60" w:rsidRPr="009263D7" w:rsidRDefault="00CB4B9E" w:rsidP="001C48A4">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3.本机构境外发行的基金份额/单位，且本统计期初或期末单个非居民持有人持有份额的比例</w:t>
            </w:r>
            <w:r w:rsidRPr="00CB4B9E">
              <w:rPr>
                <w:rFonts w:ascii="宋体" w:hAnsi="宋体" w:hint="eastAsia"/>
                <w:color w:val="000000" w:themeColor="text1"/>
                <w:sz w:val="18"/>
                <w:szCs w:val="18"/>
              </w:rPr>
              <w:t>＜</w:t>
            </w:r>
            <w:r w:rsidRPr="00CB4B9E">
              <w:rPr>
                <w:rFonts w:ascii="宋体" w:hAnsi="宋体" w:cs="宋体"/>
                <w:color w:val="000000" w:themeColor="text1"/>
                <w:kern w:val="0"/>
                <w:sz w:val="18"/>
                <w:szCs w:val="18"/>
              </w:rPr>
              <w:t>10%的。</w:t>
            </w:r>
          </w:p>
        </w:tc>
        <w:tc>
          <w:tcPr>
            <w:tcW w:w="4600" w:type="dxa"/>
            <w:tcBorders>
              <w:top w:val="nil"/>
              <w:left w:val="nil"/>
              <w:bottom w:val="single" w:sz="4" w:space="0" w:color="auto"/>
              <w:right w:val="nil"/>
            </w:tcBorders>
            <w:shd w:val="clear" w:color="auto" w:fill="auto"/>
            <w:vAlign w:val="center"/>
          </w:tcPr>
          <w:p w:rsidR="00FB0F60" w:rsidRPr="009263D7" w:rsidRDefault="00CB4B9E" w:rsidP="00341234">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3.本机构在境内发行的上市股份，且单个非居民持有人表决权比例</w:t>
            </w:r>
            <w:r w:rsidRPr="00CB4B9E">
              <w:rPr>
                <w:rFonts w:ascii="宋体" w:hAnsi="宋体" w:hint="eastAsia"/>
                <w:color w:val="000000" w:themeColor="text1"/>
                <w:sz w:val="18"/>
                <w:szCs w:val="18"/>
              </w:rPr>
              <w:t>＜</w:t>
            </w:r>
            <w:r w:rsidRPr="00CB4B9E">
              <w:rPr>
                <w:rFonts w:ascii="宋体" w:hAnsi="宋体" w:cs="宋体"/>
                <w:color w:val="000000" w:themeColor="text1"/>
                <w:kern w:val="0"/>
                <w:sz w:val="18"/>
                <w:szCs w:val="18"/>
              </w:rPr>
              <w:t>10%，</w:t>
            </w:r>
            <w:r w:rsidRPr="00CB4B9E">
              <w:rPr>
                <w:rFonts w:ascii="宋体" w:hAnsi="宋体" w:cs="宋体" w:hint="eastAsia"/>
                <w:color w:val="000000" w:themeColor="text1"/>
                <w:kern w:val="0"/>
                <w:sz w:val="18"/>
                <w:szCs w:val="18"/>
              </w:rPr>
              <w:t>由境内金融市场清算机构申报（见</w:t>
            </w:r>
            <w:r w:rsidRPr="00CB4B9E">
              <w:rPr>
                <w:rFonts w:ascii="宋体" w:hAnsi="宋体" w:cs="宋体"/>
                <w:color w:val="000000" w:themeColor="text1"/>
                <w:kern w:val="0"/>
                <w:sz w:val="18"/>
                <w:szCs w:val="18"/>
              </w:rPr>
              <w:t>B06</w:t>
            </w:r>
            <w:r w:rsidRPr="00CB4B9E">
              <w:rPr>
                <w:rFonts w:ascii="宋体" w:hAnsi="宋体" w:cs="宋体" w:hint="eastAsia"/>
                <w:color w:val="000000" w:themeColor="text1"/>
                <w:kern w:val="0"/>
                <w:sz w:val="18"/>
                <w:szCs w:val="18"/>
              </w:rPr>
              <w:t>表）。</w:t>
            </w:r>
          </w:p>
        </w:tc>
      </w:tr>
      <w:tr w:rsidR="00FB0F60" w:rsidRPr="009263D7">
        <w:trPr>
          <w:trHeight w:val="300"/>
        </w:trPr>
        <w:tc>
          <w:tcPr>
            <w:tcW w:w="4840" w:type="dxa"/>
            <w:tcBorders>
              <w:top w:val="nil"/>
              <w:left w:val="nil"/>
              <w:bottom w:val="single" w:sz="8" w:space="0" w:color="auto"/>
              <w:right w:val="single" w:sz="4" w:space="0" w:color="auto"/>
            </w:tcBorders>
            <w:shd w:val="clear" w:color="auto" w:fill="auto"/>
            <w:vAlign w:val="center"/>
          </w:tcPr>
          <w:p w:rsidR="00FB0F60" w:rsidRPr="009263D7" w:rsidRDefault="00FB0F60" w:rsidP="008E2D8C">
            <w:pPr>
              <w:widowControl/>
              <w:jc w:val="left"/>
              <w:rPr>
                <w:rFonts w:ascii="宋体" w:hAnsi="宋体" w:cs="宋体"/>
                <w:color w:val="000000" w:themeColor="text1"/>
                <w:kern w:val="0"/>
                <w:sz w:val="20"/>
                <w:szCs w:val="20"/>
              </w:rPr>
            </w:pPr>
          </w:p>
        </w:tc>
        <w:tc>
          <w:tcPr>
            <w:tcW w:w="4600" w:type="dxa"/>
            <w:tcBorders>
              <w:top w:val="nil"/>
              <w:left w:val="nil"/>
              <w:bottom w:val="single" w:sz="8" w:space="0" w:color="auto"/>
              <w:right w:val="nil"/>
            </w:tcBorders>
            <w:shd w:val="clear" w:color="auto" w:fill="auto"/>
            <w:vAlign w:val="center"/>
          </w:tcPr>
          <w:p w:rsidR="00FB0F60" w:rsidRPr="009263D7" w:rsidRDefault="00CB4B9E" w:rsidP="00341234">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4</w:t>
            </w: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本机构在境内发行的投资基金份额</w:t>
            </w:r>
            <w:r w:rsidRPr="00CB4B9E">
              <w:rPr>
                <w:rFonts w:ascii="宋体" w:hAnsi="宋体" w:cs="宋体"/>
                <w:color w:val="000000" w:themeColor="text1"/>
                <w:kern w:val="0"/>
                <w:sz w:val="18"/>
                <w:szCs w:val="18"/>
              </w:rPr>
              <w:t>/单位，</w:t>
            </w:r>
            <w:r w:rsidRPr="00CB4B9E">
              <w:rPr>
                <w:rFonts w:ascii="宋体" w:hAnsi="宋体" w:cs="宋体" w:hint="eastAsia"/>
                <w:color w:val="000000" w:themeColor="text1"/>
                <w:kern w:val="0"/>
                <w:sz w:val="18"/>
                <w:szCs w:val="18"/>
              </w:rPr>
              <w:t>由境内金融市场清算机构申报（见</w:t>
            </w:r>
            <w:r w:rsidRPr="00CB4B9E">
              <w:rPr>
                <w:rFonts w:ascii="宋体" w:hAnsi="宋体" w:cs="宋体"/>
                <w:color w:val="000000" w:themeColor="text1"/>
                <w:kern w:val="0"/>
                <w:sz w:val="18"/>
                <w:szCs w:val="18"/>
              </w:rPr>
              <w:t>B06</w:t>
            </w:r>
            <w:r w:rsidRPr="00CB4B9E">
              <w:rPr>
                <w:rFonts w:ascii="宋体" w:hAnsi="宋体" w:cs="宋体" w:hint="eastAsia"/>
                <w:color w:val="000000" w:themeColor="text1"/>
                <w:kern w:val="0"/>
                <w:sz w:val="18"/>
                <w:szCs w:val="18"/>
              </w:rPr>
              <w:t>表）。</w:t>
            </w:r>
          </w:p>
        </w:tc>
      </w:tr>
    </w:tbl>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B0401.</w:t>
      </w:r>
      <w:r w:rsidRPr="00CB4B9E">
        <w:rPr>
          <w:rFonts w:ascii="黑体" w:eastAsia="黑体" w:hAnsi="宋体" w:hint="eastAsia"/>
          <w:color w:val="000000" w:themeColor="text1"/>
          <w:szCs w:val="21"/>
        </w:rPr>
        <w:t>工具类型：</w:t>
      </w:r>
      <w:r w:rsidRPr="00CB4B9E">
        <w:rPr>
          <w:rFonts w:ascii="宋体" w:hAnsi="宋体" w:hint="eastAsia"/>
          <w:color w:val="000000" w:themeColor="text1"/>
          <w:szCs w:val="21"/>
        </w:rPr>
        <w:t>请按以下四种类型填列：</w:t>
      </w:r>
      <w:r w:rsidRPr="00CB4B9E">
        <w:rPr>
          <w:rFonts w:ascii="宋体" w:hAnsi="宋体" w:hint="eastAsia"/>
          <w:color w:val="000000" w:themeColor="text1"/>
        </w:rPr>
        <w:t>①</w:t>
      </w:r>
      <w:r w:rsidRPr="00CB4B9E">
        <w:rPr>
          <w:rFonts w:ascii="宋体" w:hAnsi="宋体" w:hint="eastAsia"/>
          <w:color w:val="000000" w:themeColor="text1"/>
          <w:szCs w:val="21"/>
        </w:rPr>
        <w:t>上市普通股；</w:t>
      </w:r>
      <w:r w:rsidRPr="00CB4B9E">
        <w:rPr>
          <w:rFonts w:ascii="宋体" w:hAnsi="宋体" w:hint="eastAsia"/>
          <w:color w:val="000000" w:themeColor="text1"/>
        </w:rPr>
        <w:t>②</w:t>
      </w:r>
      <w:r w:rsidRPr="00CB4B9E">
        <w:rPr>
          <w:rFonts w:ascii="宋体" w:hAnsi="宋体" w:hint="eastAsia"/>
          <w:color w:val="000000" w:themeColor="text1"/>
          <w:szCs w:val="21"/>
        </w:rPr>
        <w:t>非上市普通股（但可交易）；</w:t>
      </w:r>
      <w:r w:rsidRPr="00CB4B9E">
        <w:rPr>
          <w:rFonts w:ascii="宋体" w:hAnsi="宋体" w:hint="eastAsia"/>
          <w:color w:val="000000" w:themeColor="text1"/>
        </w:rPr>
        <w:t>③</w:t>
      </w:r>
      <w:r w:rsidRPr="00CB4B9E">
        <w:rPr>
          <w:rFonts w:ascii="宋体" w:hAnsi="宋体" w:hint="eastAsia"/>
          <w:color w:val="000000" w:themeColor="text1"/>
          <w:szCs w:val="21"/>
        </w:rPr>
        <w:t>货币</w:t>
      </w:r>
      <w:r w:rsidRPr="00CB4B9E">
        <w:rPr>
          <w:rFonts w:ascii="宋体" w:hAnsi="宋体" w:hint="eastAsia"/>
          <w:color w:val="000000" w:themeColor="text1"/>
          <w:szCs w:val="21"/>
        </w:rPr>
        <w:lastRenderedPageBreak/>
        <w:t>市场基金份额</w:t>
      </w:r>
      <w:r w:rsidRPr="00CB4B9E">
        <w:rPr>
          <w:rFonts w:ascii="宋体" w:hAnsi="宋体"/>
          <w:color w:val="000000" w:themeColor="text1"/>
          <w:szCs w:val="21"/>
        </w:rPr>
        <w:t>/单位；④非货币市场基金份额/单位</w:t>
      </w:r>
      <w:r w:rsidRPr="00CB4B9E">
        <w:rPr>
          <w:rFonts w:ascii="宋体" w:hAnsi="宋体" w:hint="eastAsia"/>
          <w:color w:val="000000" w:themeColor="text1"/>
          <w:szCs w:val="21"/>
        </w:rPr>
        <w:t>；</w:t>
      </w:r>
      <w:r w:rsidRPr="00CB4B9E">
        <w:rPr>
          <w:rFonts w:ascii="宋体" w:hAnsi="宋体" w:hint="eastAsia"/>
          <w:color w:val="000000" w:themeColor="text1"/>
        </w:rPr>
        <w:t>⑤参与性优先股。</w:t>
      </w:r>
      <w:r w:rsidR="00B91272">
        <w:rPr>
          <w:rFonts w:ascii="宋体" w:hAnsi="宋体" w:hint="eastAsia"/>
          <w:color w:val="000000" w:themeColor="text1"/>
        </w:rPr>
        <w:t>其中，参与性优先股为股本证券，纳入本表统计；非参与性优先股为债务类工具，不应纳入本表统计，应纳入债务证券统计。</w:t>
      </w:r>
    </w:p>
    <w:p w:rsidR="00E83021"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B0401CODE.</w:t>
      </w:r>
      <w:r w:rsidRPr="00CB4B9E">
        <w:rPr>
          <w:rFonts w:ascii="黑体" w:eastAsia="黑体" w:hAnsi="宋体" w:hint="eastAsia"/>
          <w:color w:val="000000" w:themeColor="text1"/>
          <w:szCs w:val="21"/>
        </w:rPr>
        <w:t>业务类型：</w:t>
      </w:r>
      <w:r w:rsidRPr="00CB4B9E">
        <w:rPr>
          <w:rFonts w:ascii="宋体" w:hAnsi="宋体" w:hint="eastAsia"/>
          <w:color w:val="000000" w:themeColor="text1"/>
          <w:szCs w:val="21"/>
        </w:rPr>
        <w:t>包括：①基金互认</w:t>
      </w:r>
      <w:r w:rsidR="00186DE1" w:rsidRPr="00173D1B">
        <w:rPr>
          <w:rFonts w:ascii="宋体" w:hAnsi="宋体" w:hint="eastAsia"/>
          <w:color w:val="000000" w:themeColor="text1"/>
          <w:szCs w:val="21"/>
        </w:rPr>
        <w:t>；</w:t>
      </w:r>
      <w:r w:rsidRPr="00CB4B9E">
        <w:rPr>
          <w:rFonts w:ascii="宋体" w:hAnsi="宋体"/>
          <w:color w:val="000000" w:themeColor="text1"/>
        </w:rPr>
        <w:t xml:space="preserve"> </w:t>
      </w:r>
      <w:r w:rsidRPr="00CB4B9E">
        <w:rPr>
          <w:rFonts w:ascii="宋体" w:hAnsi="宋体"/>
          <w:color w:val="000000" w:themeColor="text1"/>
        </w:rPr>
        <w:fldChar w:fldCharType="begin"/>
      </w:r>
      <w:r w:rsidRPr="00CB4B9E">
        <w:rPr>
          <w:rFonts w:ascii="宋体" w:hAnsi="宋体"/>
          <w:color w:val="000000" w:themeColor="text1"/>
        </w:rPr>
        <w:instrText xml:space="preserve"> = 9 \* GB3 </w:instrText>
      </w:r>
      <w:r w:rsidRPr="00CB4B9E">
        <w:rPr>
          <w:rFonts w:ascii="宋体" w:hAnsi="宋体"/>
          <w:color w:val="000000" w:themeColor="text1"/>
        </w:rPr>
        <w:fldChar w:fldCharType="separate"/>
      </w:r>
      <w:r w:rsidRPr="00CB4B9E">
        <w:rPr>
          <w:rFonts w:ascii="宋体" w:hAnsi="宋体" w:hint="eastAsia"/>
          <w:noProof/>
          <w:color w:val="000000" w:themeColor="text1"/>
        </w:rPr>
        <w:t>⑨</w:t>
      </w:r>
      <w:r w:rsidRPr="00CB4B9E">
        <w:rPr>
          <w:rFonts w:ascii="宋体" w:hAnsi="宋体"/>
          <w:color w:val="000000" w:themeColor="text1"/>
        </w:rPr>
        <w:fldChar w:fldCharType="end"/>
      </w:r>
      <w:r w:rsidRPr="00CB4B9E">
        <w:rPr>
          <w:rFonts w:ascii="宋体" w:hAnsi="宋体" w:hint="eastAsia"/>
          <w:color w:val="000000" w:themeColor="text1"/>
        </w:rPr>
        <w:t>其他。</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B0402.证券代码：</w:t>
      </w:r>
      <w:r w:rsidRPr="00CB4B9E">
        <w:rPr>
          <w:rFonts w:ascii="宋体" w:hAnsi="宋体" w:hint="eastAsia"/>
          <w:color w:val="000000" w:themeColor="text1"/>
        </w:rPr>
        <w:t>指本机构上市股份（股票）的代码，以及内部使用的非上市股份和私募股权（基金）编码。</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B0403.发行地：</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，填写</w:t>
      </w:r>
      <w:r w:rsidRPr="00CB4B9E">
        <w:rPr>
          <w:rFonts w:ascii="宋体" w:hAnsi="宋体" w:hint="eastAsia"/>
          <w:color w:val="000000" w:themeColor="text1"/>
        </w:rPr>
        <w:t>上市股份和投资基金份额</w:t>
      </w:r>
      <w:r w:rsidRPr="00CB4B9E">
        <w:rPr>
          <w:rFonts w:ascii="宋体" w:hAnsi="宋体"/>
          <w:color w:val="000000" w:themeColor="text1"/>
        </w:rPr>
        <w:t>/单位发行场所所在的国家/地区代码。</w:t>
      </w:r>
      <w:r w:rsidRPr="00CB4B9E">
        <w:rPr>
          <w:rFonts w:ascii="宋体" w:hAnsi="宋体" w:hint="eastAsia"/>
          <w:color w:val="000000" w:themeColor="text1"/>
        </w:rPr>
        <w:t>对于非上市股份和私募股权（基金），应填列发行人注册地国家</w:t>
      </w:r>
      <w:r w:rsidRPr="00CB4B9E">
        <w:rPr>
          <w:rFonts w:ascii="宋体" w:hAnsi="宋体"/>
          <w:color w:val="000000" w:themeColor="text1"/>
        </w:rPr>
        <w:t>/地区代码。</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B0404.投资者名称：</w:t>
      </w:r>
      <w:r w:rsidRPr="00CB4B9E">
        <w:rPr>
          <w:rFonts w:ascii="宋体" w:hAnsi="宋体" w:hint="eastAsia"/>
          <w:color w:val="000000" w:themeColor="text1"/>
        </w:rPr>
        <w:t>持有本机构境外发行的上市股份、投资基金份额</w:t>
      </w:r>
      <w:r w:rsidRPr="00CB4B9E">
        <w:rPr>
          <w:rFonts w:ascii="宋体" w:hAnsi="宋体"/>
          <w:color w:val="000000" w:themeColor="text1"/>
        </w:rPr>
        <w:t>/单位</w:t>
      </w:r>
      <w:r w:rsidRPr="00CB4B9E">
        <w:rPr>
          <w:rFonts w:ascii="宋体" w:hAnsi="宋体" w:hint="eastAsia"/>
          <w:color w:val="000000" w:themeColor="text1"/>
        </w:rPr>
        <w:t>的居民或非居民投资者以及持有本机构非上市股份和私募股权（基金）的非居民投资者的</w:t>
      </w:r>
      <w:r w:rsidRPr="00CB4B9E">
        <w:rPr>
          <w:rFonts w:ascii="宋体" w:hAnsi="宋体" w:hint="eastAsia"/>
          <w:color w:val="000000" w:themeColor="text1"/>
          <w:szCs w:val="21"/>
        </w:rPr>
        <w:t>全称，按其英文全称和中文全称（如果有的话）填列。</w:t>
      </w:r>
      <w:r w:rsidRPr="00CB4B9E">
        <w:rPr>
          <w:rFonts w:ascii="宋体" w:hAnsi="宋体" w:hint="eastAsia"/>
          <w:color w:val="000000" w:themeColor="text1"/>
        </w:rPr>
        <w:t>具体填报方法为：①上市股份和投资基金份额／单位。对于由代理人集中持有的，统一填列相关结算代理机构的名称（如香港中央结算（代理人）有限公司）。对于非由代理人集中持有的，应按照投资比例从大到小依次填列</w:t>
      </w:r>
      <w:r w:rsidRPr="00CB4B9E">
        <w:rPr>
          <w:rFonts w:ascii="宋体" w:hAnsi="宋体" w:hint="eastAsia"/>
          <w:b/>
          <w:color w:val="000000" w:themeColor="text1"/>
        </w:rPr>
        <w:t>前</w:t>
      </w:r>
      <w:r w:rsidRPr="00CB4B9E">
        <w:rPr>
          <w:rFonts w:ascii="宋体" w:hAnsi="宋体"/>
          <w:b/>
          <w:color w:val="000000" w:themeColor="text1"/>
        </w:rPr>
        <w:t>10位</w:t>
      </w:r>
      <w:r w:rsidRPr="00CB4B9E">
        <w:rPr>
          <w:rFonts w:ascii="宋体" w:hAnsi="宋体" w:hint="eastAsia"/>
          <w:color w:val="000000" w:themeColor="text1"/>
        </w:rPr>
        <w:t>投资者或投资比例≥</w:t>
      </w:r>
      <w:r w:rsidRPr="00CB4B9E">
        <w:rPr>
          <w:rFonts w:ascii="宋体" w:hAnsi="宋体"/>
          <w:color w:val="000000" w:themeColor="text1"/>
        </w:rPr>
        <w:t>5%的投资者名称（以</w:t>
      </w:r>
      <w:r w:rsidRPr="00CB4B9E">
        <w:rPr>
          <w:rFonts w:ascii="宋体" w:hAnsi="宋体" w:hint="eastAsia"/>
          <w:color w:val="000000" w:themeColor="text1"/>
        </w:rPr>
        <w:t>数量较多者为准）；对于其他中小投资者，投资者名称填列为“其他小投资者”；②非上市股份，应按照非居民投资比例从大到小依次填写全部非居民投资者名称。</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B0405.投资者所属国家/地区：</w:t>
      </w:r>
      <w:r w:rsidRPr="00CB4B9E">
        <w:rPr>
          <w:rFonts w:ascii="宋体" w:hAnsi="宋体" w:hint="eastAsia"/>
          <w:color w:val="000000" w:themeColor="text1"/>
        </w:rPr>
        <w:t>填报投资者或结算代理机构的注册国家</w:t>
      </w:r>
      <w:r w:rsidRPr="00CB4B9E">
        <w:rPr>
          <w:rFonts w:ascii="宋体" w:hAnsi="宋体"/>
          <w:color w:val="000000" w:themeColor="text1"/>
        </w:rPr>
        <w:t>/地区</w:t>
      </w:r>
      <w:r w:rsidRPr="00CB4B9E">
        <w:rPr>
          <w:rFonts w:ascii="宋体" w:hAnsi="宋体" w:hint="eastAsia"/>
          <w:color w:val="000000" w:themeColor="text1"/>
        </w:rPr>
        <w:t>代码。其中，①对于公开上市股份或投资基金份额，如填列了具体投资者名称，应按照投资者的注册或常驻（住）国家</w:t>
      </w:r>
      <w:r w:rsidRPr="00CB4B9E">
        <w:rPr>
          <w:rFonts w:ascii="宋体" w:hAnsi="宋体"/>
          <w:color w:val="000000" w:themeColor="text1"/>
        </w:rPr>
        <w:t>/地区填列；</w:t>
      </w:r>
      <w:r w:rsidRPr="00CB4B9E">
        <w:rPr>
          <w:rFonts w:ascii="宋体" w:hAnsi="宋体" w:hint="eastAsia"/>
          <w:color w:val="000000" w:themeColor="text1"/>
        </w:rPr>
        <w:t>对于将结算代理机构列为投资者的，应按照该结算代理机构所在国家／地区填列；对于填列“其他小投资者”的，为发行地国家</w:t>
      </w:r>
      <w:r w:rsidRPr="00CB4B9E">
        <w:rPr>
          <w:rFonts w:ascii="宋体" w:hAnsi="宋体"/>
          <w:color w:val="000000" w:themeColor="text1"/>
        </w:rPr>
        <w:t xml:space="preserve">/地区。②对于非公开上市股份，应根据非居民投资者的注册或常驻（住）国家/地区填列。 </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B0406.投资者所属部门：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应按持有人的主营业务归类。对于将结算代理机构和“其他小投资者”列为投资者的，所属部门选择⑤。</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B0407.投资者与本机构的关系：</w:t>
      </w:r>
      <w:r w:rsidRPr="00CB4B9E">
        <w:rPr>
          <w:rFonts w:ascii="宋体" w:hAnsi="宋体" w:hint="eastAsia"/>
          <w:color w:val="000000" w:themeColor="text1"/>
        </w:rPr>
        <w:t>请按以下四种情况填列：①投资者是本机构的境外直接投资者，即持有本机构表决权≥</w:t>
      </w:r>
      <w:r w:rsidRPr="00CB4B9E">
        <w:rPr>
          <w:rFonts w:ascii="宋体" w:hAnsi="宋体"/>
          <w:color w:val="000000" w:themeColor="text1"/>
        </w:rPr>
        <w:t>10%；②投资者是本机构的境外直接投资企业</w:t>
      </w:r>
      <w:r w:rsidRPr="00CB4B9E">
        <w:rPr>
          <w:rFonts w:ascii="宋体" w:hAnsi="宋体" w:hint="eastAsia"/>
          <w:color w:val="000000" w:themeColor="text1"/>
        </w:rPr>
        <w:t>，即为本机构持有表决权≥</w:t>
      </w:r>
      <w:r w:rsidRPr="00CB4B9E">
        <w:rPr>
          <w:rFonts w:ascii="宋体" w:hAnsi="宋体"/>
          <w:color w:val="000000" w:themeColor="text1"/>
        </w:rPr>
        <w:t>10%</w:t>
      </w:r>
      <w:r w:rsidRPr="00CB4B9E">
        <w:rPr>
          <w:rFonts w:ascii="宋体" w:hAnsi="宋体" w:hint="eastAsia"/>
          <w:color w:val="000000" w:themeColor="text1"/>
        </w:rPr>
        <w:t>的境外分支机构、子机构、联营机构或合营机构；③投资者是本机构的境外联属机构，即两机构有共同母公司，且相互持有表决权＜</w:t>
      </w:r>
      <w:r w:rsidRPr="00CB4B9E">
        <w:rPr>
          <w:rFonts w:ascii="宋体" w:hAnsi="宋体"/>
          <w:color w:val="000000" w:themeColor="text1"/>
        </w:rPr>
        <w:t>10%或相</w:t>
      </w:r>
      <w:r w:rsidRPr="00CB4B9E">
        <w:rPr>
          <w:rFonts w:ascii="宋体" w:hAnsi="宋体" w:hint="eastAsia"/>
          <w:color w:val="000000" w:themeColor="text1"/>
        </w:rPr>
        <w:t>互不持有表决权；④投资者与本机构无关联关系，或两机构均处于中国境内。本表不应存在①类投资者，如出现，应将相关数据填列在</w:t>
      </w:r>
      <w:r w:rsidRPr="00CB4B9E">
        <w:rPr>
          <w:rFonts w:ascii="宋体" w:hAnsi="宋体"/>
          <w:color w:val="000000" w:themeColor="text1"/>
        </w:rPr>
        <w:t>A02表下</w:t>
      </w:r>
      <w:r w:rsidRPr="00CB4B9E">
        <w:rPr>
          <w:rFonts w:ascii="宋体" w:hAnsi="宋体" w:hint="eastAsia"/>
          <w:color w:val="000000" w:themeColor="text1"/>
        </w:rPr>
        <w:t>，而非本表下。</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B0408.原始币种</w:t>
      </w:r>
      <w:r w:rsidRPr="00CB4B9E">
        <w:rPr>
          <w:rFonts w:ascii="黑体" w:eastAsia="黑体" w:hAnsi="宋体" w:hint="eastAsia"/>
          <w:color w:val="000000" w:themeColor="text1"/>
        </w:rPr>
        <w:t>：</w:t>
      </w:r>
      <w:r w:rsidRPr="00CB4B9E">
        <w:rPr>
          <w:rFonts w:ascii="宋体" w:hAnsi="宋体" w:hint="eastAsia"/>
          <w:color w:val="000000" w:themeColor="text1"/>
          <w:szCs w:val="21"/>
        </w:rPr>
        <w:t>指本机构发行的股本证券或投资基金份额</w:t>
      </w:r>
      <w:r w:rsidRPr="00CB4B9E">
        <w:rPr>
          <w:rFonts w:ascii="宋体" w:hAnsi="宋体"/>
          <w:color w:val="000000" w:themeColor="text1"/>
          <w:szCs w:val="21"/>
        </w:rPr>
        <w:t>/单位的计价币种，</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填列。适用于</w:t>
      </w:r>
      <w:r w:rsidRPr="00CB4B9E">
        <w:rPr>
          <w:rFonts w:ascii="宋体" w:hAnsi="宋体"/>
          <w:color w:val="000000" w:themeColor="text1"/>
          <w:szCs w:val="21"/>
        </w:rPr>
        <w:t>B0409-B0419各项</w:t>
      </w:r>
      <w:r w:rsidRPr="00CB4B9E">
        <w:rPr>
          <w:rFonts w:ascii="宋体" w:hAnsi="宋体" w:hint="eastAsia"/>
          <w:color w:val="000000" w:themeColor="text1"/>
          <w:szCs w:val="21"/>
        </w:rPr>
        <w:t>（</w:t>
      </w:r>
      <w:r w:rsidRPr="00CB4B9E">
        <w:rPr>
          <w:rFonts w:ascii="宋体" w:hAnsi="宋体"/>
          <w:color w:val="000000" w:themeColor="text1"/>
          <w:szCs w:val="21"/>
        </w:rPr>
        <w:t>B0418除外）</w:t>
      </w:r>
      <w:r w:rsidRPr="00CB4B9E">
        <w:rPr>
          <w:rFonts w:ascii="宋体" w:hAnsi="宋体" w:hint="eastAsia"/>
          <w:color w:val="000000" w:themeColor="text1"/>
          <w:szCs w:val="2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lastRenderedPageBreak/>
        <w:t>B0409.上月末市值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指上月末股本证券或投资基金份额</w:t>
      </w:r>
      <w:r w:rsidRPr="00CB4B9E">
        <w:rPr>
          <w:rFonts w:ascii="宋体" w:hAnsi="宋体"/>
          <w:color w:val="000000" w:themeColor="text1"/>
          <w:szCs w:val="21"/>
        </w:rPr>
        <w:t>/单位的公允价值。应优先使用按上月末公开市场收盘价计算的市场价值。如无市场价值，则按照本机构的记账惯例填报公允价值。</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B0410.本月发行金额：</w:t>
      </w:r>
      <w:r w:rsidRPr="00CB4B9E">
        <w:rPr>
          <w:rFonts w:ascii="宋体" w:hAnsi="宋体" w:hint="eastAsia"/>
          <w:color w:val="000000" w:themeColor="text1"/>
          <w:szCs w:val="21"/>
        </w:rPr>
        <w:t>指本月内，向相关投资者新发或增发相关股本证券或投资基金份额</w:t>
      </w:r>
      <w:r w:rsidRPr="00CB4B9E">
        <w:rPr>
          <w:rFonts w:ascii="宋体" w:hAnsi="宋体"/>
          <w:color w:val="000000" w:themeColor="text1"/>
          <w:szCs w:val="21"/>
        </w:rPr>
        <w:t>/单位的金额。</w:t>
      </w:r>
      <w:r w:rsidRPr="00CB4B9E">
        <w:rPr>
          <w:rFonts w:ascii="宋体" w:hAnsi="宋体" w:hint="eastAsia"/>
          <w:color w:val="000000" w:themeColor="text1"/>
          <w:szCs w:val="21"/>
        </w:rPr>
        <w:t>如出现可转债转换为股本证券的，视为本月回购相关债券，发行股本证券。</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B0411.本月回购</w:t>
      </w:r>
      <w:r w:rsidRPr="00CB4B9E">
        <w:rPr>
          <w:rFonts w:ascii="黑体" w:eastAsia="黑体" w:hAnsi="宋体" w:hint="eastAsia"/>
          <w:color w:val="000000" w:themeColor="text1"/>
          <w:szCs w:val="21"/>
        </w:rPr>
        <w:t>（赎回）金额：</w:t>
      </w:r>
      <w:r w:rsidRPr="00CB4B9E">
        <w:rPr>
          <w:rFonts w:ascii="宋体" w:hAnsi="宋体" w:hint="eastAsia"/>
          <w:color w:val="000000" w:themeColor="text1"/>
          <w:szCs w:val="21"/>
        </w:rPr>
        <w:t>指本月内，从相关投资者处回购或赎回本机构的股本证券或投资基金份额</w:t>
      </w:r>
      <w:r w:rsidRPr="00CB4B9E">
        <w:rPr>
          <w:rFonts w:ascii="宋体" w:hAnsi="宋体"/>
          <w:color w:val="000000" w:themeColor="text1"/>
          <w:szCs w:val="21"/>
        </w:rPr>
        <w:t>/单位的金额。</w:t>
      </w:r>
    </w:p>
    <w:p w:rsidR="00FB0F60" w:rsidRPr="009263D7" w:rsidRDefault="00CB4B9E" w:rsidP="00FB0F60">
      <w:pPr>
        <w:spacing w:line="360" w:lineRule="auto"/>
        <w:ind w:firstLineChars="200" w:firstLine="420"/>
        <w:jc w:val="left"/>
        <w:rPr>
          <w:color w:val="000000" w:themeColor="text1"/>
        </w:rPr>
      </w:pPr>
      <w:r w:rsidRPr="00CB4B9E">
        <w:rPr>
          <w:rFonts w:ascii="黑体" w:eastAsia="黑体" w:hAnsi="宋体"/>
          <w:color w:val="000000" w:themeColor="text1"/>
          <w:szCs w:val="21"/>
        </w:rPr>
        <w:t>B0412.本月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反映本月内证券交易买卖因素以外的非交易因素引起的价值变动。计算方法为：</w:t>
      </w:r>
      <w:r w:rsidRPr="00CB4B9E">
        <w:rPr>
          <w:color w:val="000000" w:themeColor="text1"/>
        </w:rPr>
        <w:t>B0412=B0415-B0409-</w:t>
      </w:r>
      <w:r w:rsidRPr="00CB4B9E">
        <w:rPr>
          <w:rFonts w:hint="eastAsia"/>
          <w:color w:val="000000" w:themeColor="text1"/>
        </w:rPr>
        <w:t>（</w:t>
      </w:r>
      <w:r w:rsidRPr="00CB4B9E">
        <w:rPr>
          <w:color w:val="000000" w:themeColor="text1"/>
        </w:rPr>
        <w:t>B0410-B0411</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B0413.</w:t>
      </w:r>
      <w:r w:rsidRPr="00CB4B9E">
        <w:rPr>
          <w:rFonts w:ascii="黑体" w:eastAsia="黑体" w:hAnsi="宋体" w:hint="eastAsia"/>
          <w:color w:val="000000" w:themeColor="text1"/>
        </w:rPr>
        <w:t>调整及重新分类至其他报表统计的金额：</w:t>
      </w:r>
      <w:r w:rsidRPr="00CB4B9E">
        <w:rPr>
          <w:rFonts w:hint="eastAsia"/>
          <w:color w:val="000000" w:themeColor="text1"/>
        </w:rPr>
        <w:t>指非买卖因素引起的证券资产数量增减和价值变动。包括但不限于本月因相关投资者期末持有本机构表决权比例</w:t>
      </w:r>
      <w:r w:rsidRPr="00CB4B9E">
        <w:rPr>
          <w:rFonts w:ascii="宋体" w:hAnsi="宋体" w:hint="eastAsia"/>
          <w:color w:val="000000" w:themeColor="text1"/>
        </w:rPr>
        <w:t>≥</w:t>
      </w:r>
      <w:r w:rsidRPr="00CB4B9E">
        <w:rPr>
          <w:color w:val="000000" w:themeColor="text1"/>
        </w:rPr>
        <w:t>10%</w:t>
      </w:r>
      <w:r w:rsidRPr="00CB4B9E">
        <w:rPr>
          <w:rFonts w:hint="eastAsia"/>
          <w:color w:val="000000" w:themeColor="text1"/>
        </w:rPr>
        <w:t>而被重新分类至</w:t>
      </w:r>
      <w:r w:rsidRPr="00CB4B9E">
        <w:rPr>
          <w:color w:val="000000" w:themeColor="text1"/>
        </w:rPr>
        <w:t>A02</w:t>
      </w:r>
      <w:r w:rsidRPr="00CB4B9E">
        <w:rPr>
          <w:rFonts w:hint="eastAsia"/>
          <w:color w:val="000000" w:themeColor="text1"/>
        </w:rPr>
        <w:t>表（吸收外国来华直接投资）统计的金额。</w:t>
      </w:r>
      <w:r w:rsidRPr="00CB4B9E">
        <w:rPr>
          <w:color w:val="000000" w:themeColor="text1"/>
        </w:rPr>
        <w:t>.</w:t>
      </w:r>
      <w:r w:rsidRPr="00CB4B9E">
        <w:rPr>
          <w:rFonts w:hint="eastAsia"/>
          <w:color w:val="000000" w:themeColor="text1"/>
        </w:rPr>
        <w:t>其与</w:t>
      </w:r>
      <w:r w:rsidRPr="00CB4B9E">
        <w:rPr>
          <w:color w:val="000000" w:themeColor="text1"/>
        </w:rPr>
        <w:t>B0412</w:t>
      </w:r>
      <w:r w:rsidRPr="00CB4B9E">
        <w:rPr>
          <w:rFonts w:hint="eastAsia"/>
          <w:color w:val="000000" w:themeColor="text1"/>
        </w:rPr>
        <w:t>和</w:t>
      </w:r>
      <w:r w:rsidRPr="00CB4B9E">
        <w:rPr>
          <w:color w:val="000000" w:themeColor="text1"/>
        </w:rPr>
        <w:t>B0414</w:t>
      </w:r>
      <w:r w:rsidRPr="00CB4B9E">
        <w:rPr>
          <w:rFonts w:hint="eastAsia"/>
          <w:color w:val="000000" w:themeColor="text1"/>
        </w:rPr>
        <w:t>项目的关系为：</w:t>
      </w:r>
      <w:r w:rsidRPr="00CB4B9E">
        <w:rPr>
          <w:color w:val="000000" w:themeColor="text1"/>
        </w:rPr>
        <w:t>B0412=B0413+B0414</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B0414.</w:t>
      </w:r>
      <w:r w:rsidRPr="00CB4B9E">
        <w:rPr>
          <w:rFonts w:ascii="黑体" w:eastAsia="黑体" w:hAnsi="宋体" w:hint="eastAsia"/>
          <w:color w:val="000000" w:themeColor="text1"/>
          <w:szCs w:val="21"/>
        </w:rPr>
        <w:t>价值重估因素</w:t>
      </w:r>
      <w:r w:rsidRPr="00CB4B9E">
        <w:rPr>
          <w:rFonts w:ascii="黑体" w:eastAsia="黑体" w:hAnsi="宋体" w:hint="eastAsia"/>
          <w:color w:val="000000" w:themeColor="text1"/>
        </w:rPr>
        <w:t>：</w:t>
      </w:r>
      <w:r w:rsidRPr="00CB4B9E">
        <w:rPr>
          <w:rFonts w:hint="eastAsia"/>
          <w:color w:val="000000" w:themeColor="text1"/>
        </w:rPr>
        <w:t>剔除买卖因素和</w:t>
      </w:r>
      <w:r w:rsidRPr="00CB4B9E">
        <w:rPr>
          <w:color w:val="000000" w:themeColor="text1"/>
        </w:rPr>
        <w:t>B0413</w:t>
      </w:r>
      <w:r w:rsidRPr="00CB4B9E">
        <w:rPr>
          <w:rFonts w:hint="eastAsia"/>
          <w:color w:val="000000" w:themeColor="text1"/>
        </w:rPr>
        <w:t>因素外，本月市场价格或近似参考价格波动带来的相关工具价值增减。其与</w:t>
      </w:r>
      <w:r w:rsidRPr="00CB4B9E">
        <w:rPr>
          <w:color w:val="000000" w:themeColor="text1"/>
        </w:rPr>
        <w:t>B0412</w:t>
      </w:r>
      <w:r w:rsidRPr="00CB4B9E">
        <w:rPr>
          <w:rFonts w:hint="eastAsia"/>
          <w:color w:val="000000" w:themeColor="text1"/>
        </w:rPr>
        <w:t>和</w:t>
      </w:r>
      <w:r w:rsidRPr="00CB4B9E">
        <w:rPr>
          <w:color w:val="000000" w:themeColor="text1"/>
        </w:rPr>
        <w:t>B0413</w:t>
      </w:r>
      <w:r w:rsidRPr="00CB4B9E">
        <w:rPr>
          <w:rFonts w:hint="eastAsia"/>
          <w:color w:val="000000" w:themeColor="text1"/>
        </w:rPr>
        <w:t>项目的关系为：</w:t>
      </w:r>
      <w:r w:rsidRPr="00CB4B9E">
        <w:rPr>
          <w:color w:val="000000" w:themeColor="text1"/>
        </w:rPr>
        <w:t>B0412=B0413+B0414</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B0415.本月末市值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指本月末股本证券或投资基金份额</w:t>
      </w:r>
      <w:r w:rsidRPr="00CB4B9E">
        <w:rPr>
          <w:rFonts w:ascii="宋体" w:hAnsi="宋体"/>
          <w:color w:val="000000" w:themeColor="text1"/>
          <w:szCs w:val="21"/>
        </w:rPr>
        <w:t>/单位的公允价值。应优先使用按上月末公开市场收盘价计算的市场价值。如无市场价值，则按照本机构的记账惯例填报公允价值。</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B0416.本月宣告分配投资者的股息/红利</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指本月本机构宣告向股本证券或投资基金份额</w:t>
      </w:r>
      <w:r w:rsidRPr="00CB4B9E">
        <w:rPr>
          <w:rFonts w:ascii="宋体" w:hAnsi="宋体"/>
          <w:color w:val="000000" w:themeColor="text1"/>
          <w:szCs w:val="21"/>
        </w:rPr>
        <w:t>/单位持有者分配的股息/红利。</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B0417.本月末未实现收益（仅限发行产品为货币市场投资基金份额/单位）：</w:t>
      </w:r>
      <w:r w:rsidRPr="00CB4B9E">
        <w:rPr>
          <w:rFonts w:ascii="宋体" w:hAnsi="宋体" w:hint="eastAsia"/>
          <w:color w:val="000000" w:themeColor="text1"/>
          <w:szCs w:val="21"/>
        </w:rPr>
        <w:t>仅限于发行货币市场投资基金份额</w:t>
      </w:r>
      <w:r w:rsidRPr="00CB4B9E">
        <w:rPr>
          <w:rFonts w:ascii="宋体" w:hAnsi="宋体"/>
          <w:color w:val="000000" w:themeColor="text1"/>
          <w:szCs w:val="21"/>
        </w:rPr>
        <w:t>/单位的情况，指本机构发行的投资基金份额/单位中归属于份额持有者的未分配利润。</w:t>
      </w:r>
    </w:p>
    <w:p w:rsidR="00F7617A" w:rsidRPr="009263D7" w:rsidRDefault="00CB4B9E" w:rsidP="00F7617A">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B0418.本月末投资者持股（份额）数量：</w:t>
      </w:r>
      <w:r w:rsidRPr="00CB4B9E">
        <w:rPr>
          <w:rFonts w:ascii="宋体" w:hAnsi="宋体" w:hint="eastAsia"/>
          <w:color w:val="000000" w:themeColor="text1"/>
          <w:szCs w:val="21"/>
        </w:rPr>
        <w:t>指本月末投资者持有的本机构股本证券和投资基金份额</w:t>
      </w:r>
      <w:r w:rsidRPr="00CB4B9E">
        <w:rPr>
          <w:rFonts w:ascii="宋体" w:hAnsi="宋体"/>
          <w:color w:val="000000" w:themeColor="text1"/>
          <w:szCs w:val="21"/>
        </w:rPr>
        <w:t>/单位的数量，按股/份填列。</w:t>
      </w:r>
    </w:p>
    <w:p w:rsidR="00F7617A"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B0419.本月末每股（每份）市价：</w:t>
      </w:r>
      <w:r w:rsidRPr="00CB4B9E">
        <w:rPr>
          <w:rFonts w:ascii="宋体" w:hAnsi="宋体" w:hint="eastAsia"/>
          <w:color w:val="000000" w:themeColor="text1"/>
        </w:rPr>
        <w:t>指本月末，投资者持有的本机构对外股本证券和投资基金份额</w:t>
      </w:r>
      <w:r w:rsidRPr="00CB4B9E">
        <w:rPr>
          <w:rFonts w:ascii="宋体" w:hAnsi="宋体"/>
          <w:color w:val="000000" w:themeColor="text1"/>
        </w:rPr>
        <w:t>/单位的收盘价。</w:t>
      </w:r>
    </w:p>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B0420.本月末投资者持股（份额）比例：</w:t>
      </w:r>
      <w:r w:rsidRPr="00CB4B9E">
        <w:rPr>
          <w:rFonts w:ascii="宋体" w:hAnsi="宋体" w:hint="eastAsia"/>
          <w:color w:val="000000" w:themeColor="text1"/>
        </w:rPr>
        <w:t>指截至本月末，投资者持有本机构股本证券或投资基金份额</w:t>
      </w:r>
      <w:r w:rsidRPr="00CB4B9E">
        <w:rPr>
          <w:rFonts w:ascii="宋体" w:hAnsi="宋体"/>
          <w:color w:val="000000" w:themeColor="text1"/>
        </w:rPr>
        <w:t>/单位</w:t>
      </w:r>
      <w:r w:rsidRPr="00CB4B9E">
        <w:rPr>
          <w:rFonts w:ascii="宋体" w:hAnsi="宋体" w:hint="eastAsia"/>
          <w:color w:val="000000" w:themeColor="text1"/>
        </w:rPr>
        <w:t>所占的比例。</w:t>
      </w:r>
    </w:p>
    <w:p w:rsidR="009E5D8D" w:rsidRPr="009263D7" w:rsidRDefault="009E5D8D" w:rsidP="00FB0F60">
      <w:pPr>
        <w:spacing w:line="360" w:lineRule="auto"/>
        <w:ind w:firstLineChars="200" w:firstLine="420"/>
        <w:jc w:val="left"/>
        <w:rPr>
          <w:rFonts w:ascii="黑体" w:eastAsia="黑体" w:hAnsi="宋体"/>
          <w:color w:val="000000" w:themeColor="text1"/>
          <w:szCs w:val="21"/>
        </w:rPr>
      </w:pPr>
    </w:p>
    <w:p w:rsidR="00FB0F60" w:rsidRPr="009263D7" w:rsidRDefault="00CB4B9E" w:rsidP="001563E3">
      <w:pPr>
        <w:spacing w:line="360" w:lineRule="auto"/>
        <w:ind w:rightChars="154" w:right="323" w:firstLineChars="200" w:firstLine="480"/>
        <w:rPr>
          <w:rFonts w:ascii="黑体" w:eastAsia="黑体"/>
          <w:color w:val="000000" w:themeColor="text1"/>
          <w:sz w:val="24"/>
        </w:rPr>
      </w:pPr>
      <w:r w:rsidRPr="00CB4B9E">
        <w:rPr>
          <w:rFonts w:ascii="黑体" w:eastAsia="黑体"/>
          <w:color w:val="000000" w:themeColor="text1"/>
          <w:sz w:val="24"/>
        </w:rPr>
        <w:t>B05</w:t>
      </w:r>
      <w:r w:rsidRPr="00CB4B9E">
        <w:rPr>
          <w:rFonts w:ascii="黑体" w:eastAsia="黑体" w:hint="eastAsia"/>
          <w:color w:val="000000" w:themeColor="text1"/>
          <w:sz w:val="24"/>
        </w:rPr>
        <w:t>表：境外发行债务证券（负债）</w:t>
      </w:r>
    </w:p>
    <w:tbl>
      <w:tblPr>
        <w:tblW w:w="9440" w:type="dxa"/>
        <w:tblInd w:w="97" w:type="dxa"/>
        <w:tblLook w:val="04A0"/>
      </w:tblPr>
      <w:tblGrid>
        <w:gridCol w:w="4840"/>
        <w:gridCol w:w="4600"/>
      </w:tblGrid>
      <w:tr w:rsidR="00FB0F60"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B0F60"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B0F60" w:rsidRPr="009263D7" w:rsidRDefault="00CB4B9E" w:rsidP="00D519B8">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1.本机构在境外发行的短期和中长期债务证券，包括非参与性优先股</w:t>
            </w:r>
            <w:r w:rsidRPr="00CB4B9E">
              <w:rPr>
                <w:rFonts w:ascii="宋体" w:hAnsi="宋体" w:cs="宋体" w:hint="eastAsia"/>
                <w:color w:val="000000" w:themeColor="text1"/>
                <w:kern w:val="0"/>
                <w:sz w:val="18"/>
                <w:szCs w:val="18"/>
              </w:rPr>
              <w:t>、可转债和资产证券化产品。</w:t>
            </w:r>
          </w:p>
        </w:tc>
        <w:tc>
          <w:tcPr>
            <w:tcW w:w="4600" w:type="dxa"/>
            <w:tcBorders>
              <w:top w:val="nil"/>
              <w:left w:val="nil"/>
              <w:bottom w:val="single" w:sz="4" w:space="0" w:color="auto"/>
              <w:right w:val="nil"/>
            </w:tcBorders>
            <w:shd w:val="clear" w:color="auto" w:fill="auto"/>
            <w:vAlign w:val="center"/>
          </w:tcPr>
          <w:p w:rsidR="00FB0F60"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1.可转债转为股票后，即为股本证券。 </w:t>
            </w:r>
          </w:p>
        </w:tc>
      </w:tr>
      <w:tr w:rsidR="00FB0F60" w:rsidRPr="009263D7">
        <w:trPr>
          <w:trHeight w:val="300"/>
        </w:trPr>
        <w:tc>
          <w:tcPr>
            <w:tcW w:w="4840" w:type="dxa"/>
            <w:tcBorders>
              <w:top w:val="nil"/>
              <w:left w:val="nil"/>
              <w:bottom w:val="single" w:sz="8" w:space="0" w:color="auto"/>
              <w:right w:val="single" w:sz="4" w:space="0" w:color="auto"/>
            </w:tcBorders>
            <w:shd w:val="clear" w:color="auto" w:fill="auto"/>
            <w:vAlign w:val="center"/>
          </w:tcPr>
          <w:p w:rsidR="00FB0F60" w:rsidRPr="009263D7" w:rsidRDefault="00FB0F60" w:rsidP="008E2D8C">
            <w:pPr>
              <w:widowControl/>
              <w:jc w:val="left"/>
              <w:rPr>
                <w:rFonts w:ascii="宋体" w:hAnsi="宋体" w:cs="宋体"/>
                <w:color w:val="000000" w:themeColor="text1"/>
                <w:kern w:val="0"/>
                <w:sz w:val="20"/>
                <w:szCs w:val="20"/>
              </w:rPr>
            </w:pPr>
          </w:p>
        </w:tc>
        <w:tc>
          <w:tcPr>
            <w:tcW w:w="4600" w:type="dxa"/>
            <w:tcBorders>
              <w:top w:val="nil"/>
              <w:left w:val="nil"/>
              <w:bottom w:val="single" w:sz="8" w:space="0" w:color="auto"/>
              <w:right w:val="nil"/>
            </w:tcBorders>
            <w:shd w:val="clear" w:color="auto" w:fill="auto"/>
            <w:vAlign w:val="center"/>
          </w:tcPr>
          <w:p w:rsidR="00FB0F60" w:rsidRPr="009263D7" w:rsidRDefault="00CB4B9E" w:rsidP="00260EB9">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18"/>
                <w:szCs w:val="18"/>
              </w:rPr>
              <w:t>2.本机构在境内发行的短期和中长期债务证券，包括非</w:t>
            </w:r>
            <w:r w:rsidRPr="00CB4B9E">
              <w:rPr>
                <w:rFonts w:ascii="宋体" w:hAnsi="宋体" w:cs="宋体"/>
                <w:color w:val="000000" w:themeColor="text1"/>
                <w:kern w:val="0"/>
                <w:sz w:val="18"/>
                <w:szCs w:val="18"/>
              </w:rPr>
              <w:lastRenderedPageBreak/>
              <w:t>参与性优先股和可转债，且持有人为非居民，</w:t>
            </w:r>
            <w:r w:rsidRPr="00CB4B9E">
              <w:rPr>
                <w:rFonts w:ascii="宋体" w:hAnsi="宋体" w:cs="宋体" w:hint="eastAsia"/>
                <w:color w:val="000000" w:themeColor="text1"/>
                <w:kern w:val="0"/>
                <w:sz w:val="18"/>
                <w:szCs w:val="18"/>
              </w:rPr>
              <w:t>由境内金融市场清算机构申报（见</w:t>
            </w:r>
            <w:r w:rsidRPr="00CB4B9E">
              <w:rPr>
                <w:rFonts w:ascii="宋体" w:hAnsi="宋体" w:cs="宋体"/>
                <w:color w:val="000000" w:themeColor="text1"/>
                <w:kern w:val="0"/>
                <w:sz w:val="18"/>
                <w:szCs w:val="18"/>
              </w:rPr>
              <w:t>B06</w:t>
            </w:r>
            <w:r w:rsidRPr="00CB4B9E">
              <w:rPr>
                <w:rFonts w:ascii="宋体" w:hAnsi="宋体" w:cs="宋体" w:hint="eastAsia"/>
                <w:color w:val="000000" w:themeColor="text1"/>
                <w:kern w:val="0"/>
                <w:sz w:val="18"/>
                <w:szCs w:val="18"/>
              </w:rPr>
              <w:t>表）。</w:t>
            </w:r>
          </w:p>
        </w:tc>
      </w:tr>
    </w:tbl>
    <w:p w:rsidR="00FB0F60" w:rsidRPr="009263D7" w:rsidRDefault="00FB0F60" w:rsidP="00FB0F60">
      <w:pPr>
        <w:spacing w:line="280" w:lineRule="exact"/>
        <w:rPr>
          <w:rFonts w:ascii="宋体" w:hAnsi="宋体" w:cs="宋体"/>
          <w:color w:val="000000" w:themeColor="text1"/>
          <w:kern w:val="0"/>
          <w:sz w:val="18"/>
          <w:szCs w:val="18"/>
        </w:rPr>
      </w:pPr>
    </w:p>
    <w:p w:rsidR="00FB0F60" w:rsidRPr="009263D7" w:rsidRDefault="00CB4B9E" w:rsidP="00FB0F60">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B0501.证券代码：</w:t>
      </w:r>
      <w:r w:rsidRPr="00CB4B9E">
        <w:rPr>
          <w:rFonts w:ascii="宋体" w:hAnsi="宋体" w:hint="eastAsia"/>
          <w:color w:val="000000" w:themeColor="text1"/>
          <w:szCs w:val="21"/>
        </w:rPr>
        <w:t>指本机构在境外发行的债务证券代码。如有国际证券代码（</w:t>
      </w:r>
      <w:r w:rsidRPr="00CB4B9E">
        <w:rPr>
          <w:rFonts w:ascii="宋体" w:hAnsi="宋体"/>
          <w:color w:val="000000" w:themeColor="text1"/>
          <w:szCs w:val="21"/>
        </w:rPr>
        <w:t>International Securities Identification Number,简称ISIN码）</w:t>
      </w:r>
      <w:r w:rsidRPr="00CB4B9E">
        <w:rPr>
          <w:rFonts w:ascii="宋体" w:hAnsi="宋体" w:hint="eastAsia"/>
          <w:color w:val="000000" w:themeColor="text1"/>
          <w:szCs w:val="21"/>
        </w:rPr>
        <w:t>，应优先填写该代码。如无</w:t>
      </w:r>
      <w:r w:rsidRPr="00CB4B9E">
        <w:rPr>
          <w:rFonts w:ascii="宋体" w:hAnsi="宋体"/>
          <w:color w:val="000000" w:themeColor="text1"/>
          <w:szCs w:val="21"/>
        </w:rPr>
        <w:t>ISIN码</w:t>
      </w:r>
      <w:r w:rsidRPr="00CB4B9E">
        <w:rPr>
          <w:rFonts w:ascii="宋体" w:hAnsi="宋体" w:hint="eastAsia"/>
          <w:color w:val="000000" w:themeColor="text1"/>
          <w:szCs w:val="21"/>
        </w:rPr>
        <w:t>，应按照相关市场唯一通用的编码填列。</w:t>
      </w:r>
    </w:p>
    <w:p w:rsidR="00FB0F60" w:rsidRPr="009263D7" w:rsidRDefault="00CB4B9E" w:rsidP="00FB0F60">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B0502.发行地：</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，填列</w:t>
      </w:r>
      <w:r w:rsidRPr="00CB4B9E">
        <w:rPr>
          <w:rFonts w:ascii="宋体" w:hAnsi="宋体" w:hint="eastAsia"/>
          <w:color w:val="000000" w:themeColor="text1"/>
        </w:rPr>
        <w:t>相关债务证券发行场所所在的国家</w:t>
      </w:r>
      <w:r w:rsidRPr="00CB4B9E">
        <w:rPr>
          <w:rFonts w:ascii="宋体" w:hAnsi="宋体"/>
          <w:color w:val="000000" w:themeColor="text1"/>
        </w:rPr>
        <w:t>/地区代码</w:t>
      </w:r>
      <w:r w:rsidRPr="00CB4B9E">
        <w:rPr>
          <w:rFonts w:ascii="宋体" w:hAnsi="宋体" w:hint="eastAsia"/>
          <w:color w:val="000000" w:themeColor="text1"/>
          <w:szCs w:val="21"/>
        </w:rPr>
        <w:t>。</w:t>
      </w:r>
    </w:p>
    <w:p w:rsidR="00D519B8" w:rsidRPr="009263D7" w:rsidRDefault="00CB4B9E" w:rsidP="00614194">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B0503.原始期限：</w:t>
      </w:r>
      <w:r w:rsidRPr="00CB4B9E">
        <w:rPr>
          <w:rFonts w:ascii="宋体" w:hAnsi="宋体" w:hint="eastAsia"/>
          <w:color w:val="000000" w:themeColor="text1"/>
          <w:szCs w:val="21"/>
        </w:rPr>
        <w:t>指债务证券从初始发行至最终到期的期限。请按以下两种情况填列：</w:t>
      </w:r>
      <w:r w:rsidRPr="00CB4B9E">
        <w:rPr>
          <w:rFonts w:ascii="宋体" w:hAnsi="宋体" w:hint="eastAsia"/>
          <w:color w:val="000000" w:themeColor="text1"/>
        </w:rPr>
        <w:t>①一年及以下</w:t>
      </w:r>
      <w:r w:rsidRPr="00CB4B9E">
        <w:rPr>
          <w:rFonts w:ascii="宋体" w:hAnsi="宋体" w:hint="eastAsia"/>
          <w:color w:val="000000" w:themeColor="text1"/>
          <w:szCs w:val="21"/>
        </w:rPr>
        <w:t>；</w:t>
      </w:r>
      <w:r w:rsidRPr="00CB4B9E">
        <w:rPr>
          <w:rFonts w:ascii="宋体" w:hAnsi="宋体" w:hint="eastAsia"/>
          <w:color w:val="000000" w:themeColor="text1"/>
        </w:rPr>
        <w:t>②一年以上，含</w:t>
      </w:r>
      <w:r w:rsidRPr="00CB4B9E">
        <w:rPr>
          <w:rFonts w:ascii="宋体" w:hAnsi="宋体" w:hint="eastAsia"/>
          <w:color w:val="000000" w:themeColor="text1"/>
          <w:szCs w:val="21"/>
        </w:rPr>
        <w:t>永久性债券。如发生债务证券拖欠或展期的，应按照双方确定的期限计算。如双方无安排，应按原期限归类。</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B0504.投资者名称：</w:t>
      </w:r>
      <w:r w:rsidRPr="00CB4B9E">
        <w:rPr>
          <w:rFonts w:ascii="宋体" w:hAnsi="宋体" w:hint="eastAsia"/>
          <w:color w:val="000000" w:themeColor="text1"/>
        </w:rPr>
        <w:t>持有相关债券的投资者的</w:t>
      </w:r>
      <w:r w:rsidRPr="00CB4B9E">
        <w:rPr>
          <w:rFonts w:ascii="宋体" w:hAnsi="宋体" w:hint="eastAsia"/>
          <w:color w:val="000000" w:themeColor="text1"/>
          <w:szCs w:val="21"/>
        </w:rPr>
        <w:t>全称，按其英文全称和中文全称（如果有的话）填列。对于与本机构为</w:t>
      </w:r>
      <w:r w:rsidRPr="00CB4B9E">
        <w:rPr>
          <w:rFonts w:ascii="宋体" w:hAnsi="宋体"/>
          <w:color w:val="000000" w:themeColor="text1"/>
          <w:szCs w:val="21"/>
        </w:rPr>
        <w:t>B0507</w:t>
      </w:r>
      <w:r w:rsidRPr="00CB4B9E">
        <w:rPr>
          <w:rFonts w:ascii="宋体" w:hAnsi="宋体" w:hint="eastAsia"/>
          <w:color w:val="000000" w:themeColor="text1"/>
          <w:szCs w:val="21"/>
        </w:rPr>
        <w:t>中</w:t>
      </w:r>
      <w:r w:rsidRPr="00CB4B9E">
        <w:rPr>
          <w:rFonts w:ascii="宋体" w:hAnsi="宋体" w:hint="eastAsia"/>
          <w:color w:val="000000" w:themeColor="text1"/>
        </w:rPr>
        <w:t>①—③</w:t>
      </w:r>
      <w:r w:rsidRPr="00CB4B9E">
        <w:rPr>
          <w:rFonts w:ascii="宋体" w:hAnsi="宋体" w:hint="eastAsia"/>
          <w:color w:val="000000" w:themeColor="text1"/>
          <w:szCs w:val="21"/>
        </w:rPr>
        <w:t>关系的投资者，请分别填列其名称；对于属于</w:t>
      </w:r>
      <w:r w:rsidRPr="00CB4B9E">
        <w:rPr>
          <w:rFonts w:ascii="宋体" w:hAnsi="宋体"/>
          <w:color w:val="000000" w:themeColor="text1"/>
          <w:szCs w:val="21"/>
        </w:rPr>
        <w:t>B0507</w:t>
      </w:r>
      <w:r w:rsidRPr="00CB4B9E">
        <w:rPr>
          <w:rFonts w:ascii="宋体" w:hAnsi="宋体" w:hint="eastAsia"/>
          <w:color w:val="000000" w:themeColor="text1"/>
          <w:szCs w:val="21"/>
        </w:rPr>
        <w:t>中</w:t>
      </w:r>
      <w:r w:rsidRPr="00CB4B9E">
        <w:rPr>
          <w:rFonts w:ascii="宋体" w:hAnsi="宋体" w:hint="eastAsia"/>
          <w:color w:val="000000" w:themeColor="text1"/>
        </w:rPr>
        <w:t>④</w:t>
      </w:r>
      <w:r w:rsidRPr="00CB4B9E">
        <w:rPr>
          <w:rFonts w:ascii="宋体" w:hAnsi="宋体" w:hint="eastAsia"/>
          <w:color w:val="000000" w:themeColor="text1"/>
          <w:szCs w:val="21"/>
        </w:rPr>
        <w:t>的投资者，如能够获得其名称，则填列其名称。如无法获得其名称，则统一填列为“无法识别的投资者”。</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B0505.投资者所属国家/地区：</w:t>
      </w:r>
      <w:r w:rsidRPr="00CB4B9E">
        <w:rPr>
          <w:rFonts w:ascii="宋体" w:hAnsi="宋体" w:hint="eastAsia"/>
          <w:color w:val="000000" w:themeColor="text1"/>
        </w:rPr>
        <w:t>填报相关投资者的注册或常驻（住）国家</w:t>
      </w:r>
      <w:r w:rsidRPr="00CB4B9E">
        <w:rPr>
          <w:rFonts w:ascii="宋体" w:hAnsi="宋体"/>
          <w:color w:val="000000" w:themeColor="text1"/>
        </w:rPr>
        <w:t>/地区</w:t>
      </w:r>
      <w:r w:rsidRPr="00CB4B9E">
        <w:rPr>
          <w:rFonts w:ascii="宋体" w:hAnsi="宋体" w:hint="eastAsia"/>
          <w:color w:val="000000" w:themeColor="text1"/>
        </w:rPr>
        <w:t>代码。对于“</w:t>
      </w:r>
      <w:r w:rsidRPr="00CB4B9E">
        <w:rPr>
          <w:rFonts w:ascii="宋体" w:hAnsi="宋体" w:hint="eastAsia"/>
          <w:color w:val="000000" w:themeColor="text1"/>
          <w:szCs w:val="21"/>
        </w:rPr>
        <w:t>无法识别的投资者”</w:t>
      </w:r>
      <w:r w:rsidRPr="00CB4B9E">
        <w:rPr>
          <w:rFonts w:ascii="宋体" w:hAnsi="宋体" w:hint="eastAsia"/>
          <w:color w:val="000000" w:themeColor="text1"/>
        </w:rPr>
        <w:t>，应按照该证券发行场所所在国家</w:t>
      </w:r>
      <w:r w:rsidRPr="00CB4B9E">
        <w:rPr>
          <w:rFonts w:ascii="宋体" w:hAnsi="宋体"/>
          <w:color w:val="000000" w:themeColor="text1"/>
        </w:rPr>
        <w:t>/地区填列。</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B0506.投资者所属部门：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请按投资人的主营业务归类。</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B0507.投资者与本机构的关系：</w:t>
      </w:r>
      <w:r w:rsidRPr="00CB4B9E">
        <w:rPr>
          <w:rFonts w:ascii="宋体" w:hAnsi="宋体" w:hint="eastAsia"/>
          <w:color w:val="000000" w:themeColor="text1"/>
        </w:rPr>
        <w:t>请按以下四种情况填列：①投资者是本机构的境外直接投资者，即持有本机构表决权≥</w:t>
      </w:r>
      <w:r w:rsidRPr="00CB4B9E">
        <w:rPr>
          <w:rFonts w:ascii="宋体" w:hAnsi="宋体"/>
          <w:color w:val="000000" w:themeColor="text1"/>
        </w:rPr>
        <w:t>10%；②投资者是本机构的境外直接投资企业</w:t>
      </w:r>
      <w:r w:rsidRPr="00CB4B9E">
        <w:rPr>
          <w:rFonts w:ascii="宋体" w:hAnsi="宋体" w:hint="eastAsia"/>
          <w:color w:val="000000" w:themeColor="text1"/>
        </w:rPr>
        <w:t>，即本机构持有表决权≥</w:t>
      </w:r>
      <w:r w:rsidRPr="00CB4B9E">
        <w:rPr>
          <w:rFonts w:ascii="宋体" w:hAnsi="宋体"/>
          <w:color w:val="000000" w:themeColor="text1"/>
        </w:rPr>
        <w:t>10%的</w:t>
      </w:r>
      <w:r w:rsidRPr="00CB4B9E">
        <w:rPr>
          <w:rFonts w:ascii="宋体" w:hAnsi="宋体" w:hint="eastAsia"/>
          <w:color w:val="000000" w:themeColor="text1"/>
        </w:rPr>
        <w:t>境外分支机构、子机构、联营机构或合营机构；③投资者是本机构的境外联属机构，即两机构有共同母公司，但相互持有表决权＜</w:t>
      </w:r>
      <w:r w:rsidRPr="00CB4B9E">
        <w:rPr>
          <w:rFonts w:ascii="宋体" w:hAnsi="宋体"/>
          <w:color w:val="000000" w:themeColor="text1"/>
        </w:rPr>
        <w:t>10%或相</w:t>
      </w:r>
      <w:r w:rsidRPr="00CB4B9E">
        <w:rPr>
          <w:rFonts w:ascii="宋体" w:hAnsi="宋体" w:hint="eastAsia"/>
          <w:color w:val="000000" w:themeColor="text1"/>
        </w:rPr>
        <w:t>互不持有表决权；④投资者与本机构无关联关系，或两机构均处于中国境内。</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B0508.</w:t>
      </w:r>
      <w:r w:rsidRPr="00CB4B9E">
        <w:rPr>
          <w:rFonts w:ascii="黑体" w:eastAsia="黑体" w:hAnsi="宋体" w:hint="eastAsia"/>
          <w:color w:val="000000" w:themeColor="text1"/>
        </w:rPr>
        <w:t>原始币种：</w:t>
      </w:r>
      <w:r w:rsidRPr="00CB4B9E">
        <w:rPr>
          <w:rFonts w:ascii="宋体" w:hAnsi="宋体" w:hint="eastAsia"/>
          <w:color w:val="000000" w:themeColor="text1"/>
          <w:szCs w:val="21"/>
        </w:rPr>
        <w:t>指所发行的债务证券的计价币种，</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填列。适用于</w:t>
      </w:r>
      <w:r w:rsidRPr="00CB4B9E">
        <w:rPr>
          <w:rFonts w:ascii="宋体" w:hAnsi="宋体"/>
          <w:color w:val="000000" w:themeColor="text1"/>
          <w:szCs w:val="21"/>
        </w:rPr>
        <w:t>B0509-B0517</w:t>
      </w:r>
      <w:r w:rsidRPr="00CB4B9E">
        <w:rPr>
          <w:rFonts w:ascii="宋体" w:hAnsi="宋体" w:hint="eastAsia"/>
          <w:color w:val="000000" w:themeColor="text1"/>
          <w:szCs w:val="21"/>
        </w:rPr>
        <w:t>各项。</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B0509.上月末市值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指上月末相关债务证券的公允价值。应优先使用按上月末公开市场收盘价计算的市场价值。如无市场价值，则按照本机构的记账惯例填报公允价值。</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B0510.本月发行金额：</w:t>
      </w:r>
      <w:r w:rsidRPr="00CB4B9E">
        <w:rPr>
          <w:rFonts w:ascii="宋体" w:hAnsi="宋体" w:hint="eastAsia"/>
          <w:color w:val="000000" w:themeColor="text1"/>
          <w:szCs w:val="21"/>
        </w:rPr>
        <w:t>指本月内，在境外向相关投资者发行相关债务证券的金额。如出现投资者减免、展期等与债务人重新安排债权回收事宜，应比照买卖债券的情况统计。</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B0511.本月赎回金额：</w:t>
      </w:r>
      <w:r w:rsidRPr="00CB4B9E">
        <w:rPr>
          <w:rFonts w:ascii="宋体" w:hAnsi="宋体" w:hint="eastAsia"/>
          <w:color w:val="000000" w:themeColor="text1"/>
          <w:szCs w:val="21"/>
        </w:rPr>
        <w:t>指本月内，从相关投资者赎回本机构债务证券的金额。如出现投资者减免、展期等与债务人重新安排债权回收事宜，应比照买卖债券的情况统计。如出现可转债转换为股本证券的，</w:t>
      </w:r>
      <w:r w:rsidRPr="00CB4B9E">
        <w:rPr>
          <w:rFonts w:ascii="宋体" w:hAnsi="宋体" w:hint="eastAsia"/>
          <w:color w:val="000000" w:themeColor="text1"/>
          <w:szCs w:val="21"/>
        </w:rPr>
        <w:lastRenderedPageBreak/>
        <w:t>视为本月回购相关债券，发行股本证券。</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B0512.本月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反映本月内债券交易买卖因素以外的非交易因素引起的变动。计算方法为：</w:t>
      </w:r>
      <w:r w:rsidRPr="00CB4B9E">
        <w:rPr>
          <w:color w:val="000000" w:themeColor="text1"/>
        </w:rPr>
        <w:t>B0512=B0515-B0509-</w:t>
      </w:r>
      <w:r w:rsidRPr="00CB4B9E">
        <w:rPr>
          <w:rFonts w:hint="eastAsia"/>
          <w:color w:val="000000" w:themeColor="text1"/>
        </w:rPr>
        <w:t>（</w:t>
      </w:r>
      <w:r w:rsidRPr="00CB4B9E">
        <w:rPr>
          <w:color w:val="000000" w:themeColor="text1"/>
        </w:rPr>
        <w:t>B0510-B0511</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B0513.重新分类</w:t>
      </w:r>
      <w:r w:rsidRPr="00CB4B9E">
        <w:rPr>
          <w:rFonts w:ascii="黑体" w:eastAsia="黑体" w:hAnsi="宋体" w:hint="eastAsia"/>
          <w:color w:val="000000" w:themeColor="text1"/>
          <w:szCs w:val="21"/>
        </w:rPr>
        <w:t>至其他报表统计的金额</w:t>
      </w:r>
      <w:r w:rsidRPr="00CB4B9E">
        <w:rPr>
          <w:rFonts w:ascii="黑体" w:eastAsia="黑体" w:hAnsi="宋体" w:hint="eastAsia"/>
          <w:color w:val="000000" w:themeColor="text1"/>
        </w:rPr>
        <w:t>：</w:t>
      </w:r>
      <w:r w:rsidRPr="00CB4B9E">
        <w:rPr>
          <w:rFonts w:hint="eastAsia"/>
          <w:color w:val="000000" w:themeColor="text1"/>
        </w:rPr>
        <w:t>指非买卖因素引起的债券负债数量增减和价值变动。其与</w:t>
      </w:r>
      <w:r w:rsidRPr="00CB4B9E">
        <w:rPr>
          <w:color w:val="000000" w:themeColor="text1"/>
        </w:rPr>
        <w:t>B0512</w:t>
      </w:r>
      <w:r w:rsidRPr="00CB4B9E">
        <w:rPr>
          <w:rFonts w:hint="eastAsia"/>
          <w:color w:val="000000" w:themeColor="text1"/>
        </w:rPr>
        <w:t>和</w:t>
      </w:r>
      <w:r w:rsidRPr="00CB4B9E">
        <w:rPr>
          <w:color w:val="000000" w:themeColor="text1"/>
        </w:rPr>
        <w:t>B0514</w:t>
      </w:r>
      <w:r w:rsidRPr="00CB4B9E">
        <w:rPr>
          <w:rFonts w:hint="eastAsia"/>
          <w:color w:val="000000" w:themeColor="text1"/>
        </w:rPr>
        <w:t>项目的关系为：</w:t>
      </w:r>
      <w:r w:rsidRPr="00CB4B9E">
        <w:rPr>
          <w:color w:val="000000" w:themeColor="text1"/>
        </w:rPr>
        <w:t>B0512=B0513+B0514</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B0514.</w:t>
      </w:r>
      <w:r w:rsidRPr="00CB4B9E">
        <w:rPr>
          <w:rFonts w:ascii="黑体" w:eastAsia="黑体" w:hAnsi="宋体" w:hint="eastAsia"/>
          <w:color w:val="000000" w:themeColor="text1"/>
          <w:szCs w:val="21"/>
        </w:rPr>
        <w:t>价值重估因素</w:t>
      </w:r>
      <w:r w:rsidRPr="00CB4B9E">
        <w:rPr>
          <w:rFonts w:ascii="黑体" w:eastAsia="黑体" w:hAnsi="宋体" w:hint="eastAsia"/>
          <w:color w:val="000000" w:themeColor="text1"/>
        </w:rPr>
        <w:t>：</w:t>
      </w:r>
      <w:r w:rsidRPr="00CB4B9E">
        <w:rPr>
          <w:rFonts w:hint="eastAsia"/>
          <w:color w:val="000000" w:themeColor="text1"/>
        </w:rPr>
        <w:t>剔除买卖因素和</w:t>
      </w:r>
      <w:r w:rsidRPr="00CB4B9E">
        <w:rPr>
          <w:color w:val="000000" w:themeColor="text1"/>
        </w:rPr>
        <w:t>B0513</w:t>
      </w:r>
      <w:r w:rsidRPr="00CB4B9E">
        <w:rPr>
          <w:rFonts w:hint="eastAsia"/>
          <w:color w:val="000000" w:themeColor="text1"/>
        </w:rPr>
        <w:t>因素外，本月市场价格或近似参考价格波动带来的相关工具价值增减。其与</w:t>
      </w:r>
      <w:r w:rsidRPr="00CB4B9E">
        <w:rPr>
          <w:color w:val="000000" w:themeColor="text1"/>
        </w:rPr>
        <w:t>B0512</w:t>
      </w:r>
      <w:r w:rsidRPr="00CB4B9E">
        <w:rPr>
          <w:rFonts w:hint="eastAsia"/>
          <w:color w:val="000000" w:themeColor="text1"/>
        </w:rPr>
        <w:t>和</w:t>
      </w:r>
      <w:r w:rsidRPr="00CB4B9E">
        <w:rPr>
          <w:color w:val="000000" w:themeColor="text1"/>
        </w:rPr>
        <w:t>B0513</w:t>
      </w:r>
      <w:r w:rsidRPr="00CB4B9E">
        <w:rPr>
          <w:rFonts w:hint="eastAsia"/>
          <w:color w:val="000000" w:themeColor="text1"/>
        </w:rPr>
        <w:t>项目的关系为：</w:t>
      </w:r>
      <w:r w:rsidRPr="00CB4B9E">
        <w:rPr>
          <w:color w:val="000000" w:themeColor="text1"/>
        </w:rPr>
        <w:t>B0512=B0513+B0514</w:t>
      </w:r>
      <w:r w:rsidRPr="00CB4B9E">
        <w:rPr>
          <w:rFonts w:hint="eastAsia"/>
          <w:color w:val="000000" w:themeColor="text1"/>
        </w:rPr>
        <w:t>。</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B0515.本月末市值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指本月末相关债务证券的公允价值。应优先使用按本月末公开市场收盘价计算的市场价值。如无市场价值，则按照本机构的记账惯例填报公允价值。</w:t>
      </w:r>
    </w:p>
    <w:p w:rsidR="00B122D0" w:rsidRPr="009263D7" w:rsidRDefault="00CB4B9E">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B0516.其中：剩余期限在一年及以下</w:t>
      </w:r>
      <w:r w:rsidRPr="00CB4B9E">
        <w:rPr>
          <w:rFonts w:ascii="黑体" w:eastAsia="黑体" w:hAnsi="宋体" w:hint="eastAsia"/>
          <w:color w:val="000000" w:themeColor="text1"/>
        </w:rPr>
        <w:t>：</w:t>
      </w:r>
      <w:r w:rsidRPr="00CB4B9E">
        <w:rPr>
          <w:rFonts w:ascii="宋体" w:hAnsi="宋体" w:hint="eastAsia"/>
          <w:color w:val="000000" w:themeColor="text1"/>
          <w:szCs w:val="21"/>
        </w:rPr>
        <w:t>指自本月末至最终到期的期限在一年及以下的相关债务证券的公允价值。应优先使用按本月末公开市场收盘价计算的市场价值。如无市场价值，则按照本机构的记账惯例填报公允价值。</w:t>
      </w:r>
    </w:p>
    <w:p w:rsidR="00FB0F60" w:rsidRPr="009263D7" w:rsidRDefault="00CB4B9E" w:rsidP="00FB0F6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B0517.本月利息支出</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指本月发生的、本机构会计账上确认的、所发行债务证券的利息支出。</w:t>
      </w:r>
    </w:p>
    <w:p w:rsidR="00DA6365" w:rsidRPr="009263D7" w:rsidRDefault="00DA6365" w:rsidP="00DA6365">
      <w:pPr>
        <w:spacing w:line="360" w:lineRule="auto"/>
        <w:ind w:firstLineChars="200" w:firstLine="420"/>
        <w:jc w:val="left"/>
        <w:rPr>
          <w:rFonts w:ascii="宋体" w:hAnsi="宋体"/>
          <w:color w:val="000000" w:themeColor="text1"/>
          <w:szCs w:val="21"/>
        </w:rPr>
      </w:pPr>
    </w:p>
    <w:p w:rsidR="009E5D8D" w:rsidRPr="009263D7" w:rsidRDefault="00CB4B9E" w:rsidP="009E5D8D">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B06表：非居民投资境内发行股本证券和债务证券</w:t>
      </w:r>
    </w:p>
    <w:tbl>
      <w:tblPr>
        <w:tblW w:w="9440" w:type="dxa"/>
        <w:tblInd w:w="97" w:type="dxa"/>
        <w:tblLook w:val="04A0"/>
      </w:tblPr>
      <w:tblGrid>
        <w:gridCol w:w="4840"/>
        <w:gridCol w:w="4600"/>
      </w:tblGrid>
      <w:tr w:rsidR="009E5D8D"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9E5D8D" w:rsidRPr="009263D7" w:rsidRDefault="00CB4B9E" w:rsidP="00675CD0">
            <w:pPr>
              <w:widowControl/>
              <w:jc w:val="center"/>
              <w:rPr>
                <w:rFonts w:ascii="宋体" w:hAnsi="宋体" w:cs="宋体"/>
                <w:b/>
                <w:bCs/>
                <w:color w:val="000000" w:themeColor="text1"/>
                <w:kern w:val="0"/>
                <w:sz w:val="20"/>
              </w:rPr>
            </w:pPr>
            <w:r w:rsidRPr="00CB4B9E">
              <w:rPr>
                <w:rFonts w:ascii="宋体" w:hAnsi="宋体" w:cs="宋体" w:hint="eastAsia"/>
                <w:b/>
                <w:bCs/>
                <w:color w:val="000000" w:themeColor="text1"/>
                <w:kern w:val="0"/>
                <w:sz w:val="20"/>
              </w:rPr>
              <w:t>包</w:t>
            </w:r>
            <w:r w:rsidRPr="00CB4B9E">
              <w:rPr>
                <w:rFonts w:ascii="宋体" w:hAnsi="宋体" w:cs="宋体"/>
                <w:b/>
                <w:bCs/>
                <w:color w:val="000000" w:themeColor="text1"/>
                <w:kern w:val="0"/>
                <w:sz w:val="20"/>
              </w:rPr>
              <w:t xml:space="preserve">     </w:t>
            </w:r>
            <w:r w:rsidRPr="00CB4B9E">
              <w:rPr>
                <w:rFonts w:ascii="宋体" w:hAnsi="宋体" w:cs="宋体" w:hint="eastAsia"/>
                <w:b/>
                <w:bCs/>
                <w:color w:val="000000" w:themeColor="text1"/>
                <w:kern w:val="0"/>
                <w:sz w:val="20"/>
              </w:rPr>
              <w:t>括</w:t>
            </w:r>
          </w:p>
        </w:tc>
        <w:tc>
          <w:tcPr>
            <w:tcW w:w="4600" w:type="dxa"/>
            <w:tcBorders>
              <w:top w:val="single" w:sz="8" w:space="0" w:color="auto"/>
              <w:left w:val="nil"/>
              <w:bottom w:val="single" w:sz="4" w:space="0" w:color="auto"/>
              <w:right w:val="nil"/>
            </w:tcBorders>
            <w:shd w:val="clear" w:color="auto" w:fill="auto"/>
            <w:noWrap/>
            <w:vAlign w:val="center"/>
          </w:tcPr>
          <w:p w:rsidR="009E5D8D" w:rsidRPr="009263D7" w:rsidRDefault="00CB4B9E" w:rsidP="00675CD0">
            <w:pPr>
              <w:widowControl/>
              <w:jc w:val="center"/>
              <w:rPr>
                <w:rFonts w:ascii="宋体" w:hAnsi="宋体" w:cs="宋体"/>
                <w:b/>
                <w:bCs/>
                <w:color w:val="000000" w:themeColor="text1"/>
                <w:kern w:val="0"/>
                <w:sz w:val="20"/>
              </w:rPr>
            </w:pPr>
            <w:r w:rsidRPr="00CB4B9E">
              <w:rPr>
                <w:rFonts w:ascii="宋体" w:hAnsi="宋体" w:cs="宋体" w:hint="eastAsia"/>
                <w:b/>
                <w:bCs/>
                <w:color w:val="000000" w:themeColor="text1"/>
                <w:kern w:val="0"/>
                <w:sz w:val="20"/>
              </w:rPr>
              <w:t>不</w:t>
            </w:r>
            <w:r w:rsidRPr="00CB4B9E">
              <w:rPr>
                <w:rFonts w:ascii="宋体" w:hAnsi="宋体" w:cs="宋体"/>
                <w:b/>
                <w:bCs/>
                <w:color w:val="000000" w:themeColor="text1"/>
                <w:kern w:val="0"/>
                <w:sz w:val="20"/>
              </w:rPr>
              <w:t xml:space="preserve">   </w:t>
            </w:r>
            <w:r w:rsidRPr="00CB4B9E">
              <w:rPr>
                <w:rFonts w:ascii="宋体" w:hAnsi="宋体" w:cs="宋体" w:hint="eastAsia"/>
                <w:b/>
                <w:bCs/>
                <w:color w:val="000000" w:themeColor="text1"/>
                <w:kern w:val="0"/>
                <w:sz w:val="20"/>
              </w:rPr>
              <w:t>包</w:t>
            </w:r>
            <w:r w:rsidRPr="00CB4B9E">
              <w:rPr>
                <w:rFonts w:ascii="宋体" w:hAnsi="宋体" w:cs="宋体"/>
                <w:b/>
                <w:bCs/>
                <w:color w:val="000000" w:themeColor="text1"/>
                <w:kern w:val="0"/>
                <w:sz w:val="20"/>
              </w:rPr>
              <w:t xml:space="preserve">   </w:t>
            </w:r>
            <w:r w:rsidRPr="00CB4B9E">
              <w:rPr>
                <w:rFonts w:ascii="宋体" w:hAnsi="宋体" w:cs="宋体" w:hint="eastAsia"/>
                <w:b/>
                <w:bCs/>
                <w:color w:val="000000" w:themeColor="text1"/>
                <w:kern w:val="0"/>
                <w:sz w:val="20"/>
              </w:rPr>
              <w:t>括</w:t>
            </w:r>
          </w:p>
        </w:tc>
      </w:tr>
      <w:tr w:rsidR="009E5D8D" w:rsidRPr="009263D7">
        <w:trPr>
          <w:trHeight w:val="720"/>
        </w:trPr>
        <w:tc>
          <w:tcPr>
            <w:tcW w:w="4840" w:type="dxa"/>
            <w:vMerge w:val="restart"/>
            <w:tcBorders>
              <w:top w:val="nil"/>
              <w:left w:val="nil"/>
              <w:right w:val="single" w:sz="4" w:space="0" w:color="auto"/>
            </w:tcBorders>
            <w:shd w:val="clear" w:color="auto" w:fill="auto"/>
            <w:vAlign w:val="center"/>
          </w:tcPr>
          <w:p w:rsidR="009E5D8D" w:rsidRPr="009263D7" w:rsidRDefault="00CB4B9E" w:rsidP="00967187">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1.非居民机构和个人投资中国居民境内上市股份、投资基金份额/单位、债务证券</w:t>
            </w:r>
            <w:r w:rsidRPr="00CB4B9E">
              <w:rPr>
                <w:rFonts w:ascii="宋体" w:hAnsi="宋体" w:cs="宋体" w:hint="eastAsia"/>
                <w:color w:val="000000" w:themeColor="text1"/>
                <w:kern w:val="0"/>
                <w:sz w:val="18"/>
                <w:szCs w:val="18"/>
              </w:rPr>
              <w:t>、资产证券化产品情况，相关证券或金融产品应在非居民机构和个人名下。</w:t>
            </w:r>
          </w:p>
        </w:tc>
        <w:tc>
          <w:tcPr>
            <w:tcW w:w="4600" w:type="dxa"/>
            <w:tcBorders>
              <w:top w:val="single" w:sz="4" w:space="0" w:color="auto"/>
              <w:left w:val="nil"/>
              <w:right w:val="nil"/>
            </w:tcBorders>
            <w:shd w:val="clear" w:color="auto" w:fill="auto"/>
            <w:vAlign w:val="center"/>
          </w:tcPr>
          <w:p w:rsidR="009E5D8D" w:rsidRPr="009263D7" w:rsidRDefault="00CB4B9E" w:rsidP="00967187">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1. </w:t>
            </w:r>
            <w:r w:rsidRPr="00CB4B9E">
              <w:rPr>
                <w:rFonts w:ascii="宋体" w:hAnsi="宋体" w:cs="宋体" w:hint="eastAsia"/>
                <w:color w:val="000000" w:themeColor="text1"/>
                <w:kern w:val="0"/>
                <w:sz w:val="18"/>
                <w:szCs w:val="18"/>
              </w:rPr>
              <w:t>非居民机构和个人投资非居民在境内上市的股本证券、投资基金份额、债务证券、资产证券化产品情况。</w:t>
            </w:r>
          </w:p>
        </w:tc>
      </w:tr>
      <w:tr w:rsidR="009E5D8D" w:rsidRPr="009263D7">
        <w:trPr>
          <w:trHeight w:val="300"/>
        </w:trPr>
        <w:tc>
          <w:tcPr>
            <w:tcW w:w="4840" w:type="dxa"/>
            <w:vMerge/>
            <w:tcBorders>
              <w:left w:val="nil"/>
              <w:bottom w:val="single" w:sz="8" w:space="0" w:color="auto"/>
              <w:right w:val="single" w:sz="4" w:space="0" w:color="auto"/>
            </w:tcBorders>
            <w:shd w:val="clear" w:color="auto" w:fill="auto"/>
            <w:vAlign w:val="center"/>
          </w:tcPr>
          <w:p w:rsidR="009E5D8D" w:rsidRPr="009263D7" w:rsidRDefault="009E5D8D" w:rsidP="00675CD0">
            <w:pPr>
              <w:widowControl/>
              <w:jc w:val="left"/>
              <w:rPr>
                <w:rFonts w:ascii="宋体" w:hAnsi="宋体" w:cs="宋体"/>
                <w:color w:val="000000" w:themeColor="text1"/>
                <w:kern w:val="0"/>
                <w:sz w:val="20"/>
              </w:rPr>
            </w:pPr>
          </w:p>
        </w:tc>
        <w:tc>
          <w:tcPr>
            <w:tcW w:w="4600" w:type="dxa"/>
            <w:tcBorders>
              <w:left w:val="nil"/>
              <w:bottom w:val="single" w:sz="8" w:space="0" w:color="auto"/>
              <w:right w:val="nil"/>
            </w:tcBorders>
            <w:shd w:val="clear" w:color="auto" w:fill="auto"/>
            <w:vAlign w:val="center"/>
          </w:tcPr>
          <w:p w:rsidR="009E5D8D" w:rsidRPr="009263D7" w:rsidRDefault="00CB4B9E" w:rsidP="00967187">
            <w:pPr>
              <w:widowControl/>
              <w:jc w:val="left"/>
              <w:rPr>
                <w:rFonts w:ascii="宋体" w:hAnsi="宋体" w:cs="宋体"/>
                <w:color w:val="000000" w:themeColor="text1"/>
                <w:kern w:val="0"/>
                <w:sz w:val="20"/>
              </w:rPr>
            </w:pPr>
            <w:r w:rsidRPr="00CB4B9E">
              <w:rPr>
                <w:rFonts w:ascii="宋体" w:hAnsi="宋体" w:cs="宋体"/>
                <w:color w:val="000000" w:themeColor="text1"/>
                <w:kern w:val="0"/>
                <w:sz w:val="18"/>
                <w:szCs w:val="18"/>
              </w:rPr>
              <w:t>2.</w:t>
            </w:r>
            <w:r w:rsidRPr="00CB4B9E">
              <w:rPr>
                <w:rFonts w:ascii="宋体" w:hAnsi="宋体" w:cs="宋体"/>
                <w:color w:val="000000" w:themeColor="text1"/>
                <w:kern w:val="0"/>
                <w:sz w:val="20"/>
              </w:rPr>
              <w:t xml:space="preserve"> </w:t>
            </w:r>
            <w:r w:rsidRPr="00CB4B9E">
              <w:rPr>
                <w:rFonts w:ascii="宋体" w:hAnsi="宋体" w:cs="宋体" w:hint="eastAsia"/>
                <w:color w:val="000000" w:themeColor="text1"/>
                <w:kern w:val="0"/>
                <w:sz w:val="18"/>
                <w:szCs w:val="18"/>
              </w:rPr>
              <w:t>以境内机构名义登记和买卖的股本证券、投资基金份额、债务证券、资产证券化产品。</w:t>
            </w:r>
          </w:p>
        </w:tc>
      </w:tr>
    </w:tbl>
    <w:p w:rsidR="009E5D8D" w:rsidRPr="009263D7" w:rsidRDefault="009E5D8D" w:rsidP="009E5D8D">
      <w:pPr>
        <w:spacing w:line="280" w:lineRule="exact"/>
        <w:ind w:leftChars="-1" w:left="1062" w:hangingChars="591" w:hanging="1064"/>
        <w:rPr>
          <w:rFonts w:ascii="宋体" w:hAnsi="宋体" w:cs="宋体"/>
          <w:color w:val="000000" w:themeColor="text1"/>
          <w:kern w:val="0"/>
          <w:sz w:val="18"/>
          <w:szCs w:val="18"/>
        </w:rPr>
      </w:pPr>
    </w:p>
    <w:p w:rsidR="006506D1" w:rsidRDefault="00CB4B9E" w:rsidP="003E78B5">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B0601.非居民投资者名称：</w:t>
      </w:r>
      <w:r w:rsidRPr="00CB4B9E">
        <w:rPr>
          <w:rFonts w:ascii="宋体" w:hAnsi="宋体" w:hint="eastAsia"/>
          <w:color w:val="000000" w:themeColor="text1"/>
        </w:rPr>
        <w:t>指非居民投资者的中文或英文名称。</w:t>
      </w:r>
    </w:p>
    <w:p w:rsidR="003E78B5" w:rsidRPr="009263D7" w:rsidRDefault="003E78B5" w:rsidP="003E78B5">
      <w:pPr>
        <w:spacing w:line="360" w:lineRule="auto"/>
        <w:ind w:firstLineChars="200" w:firstLine="420"/>
        <w:jc w:val="left"/>
        <w:rPr>
          <w:rFonts w:ascii="宋体" w:hAnsi="宋体"/>
          <w:color w:val="000000" w:themeColor="text1"/>
        </w:rPr>
      </w:pPr>
      <w:r w:rsidRPr="00C020B4">
        <w:rPr>
          <w:rFonts w:ascii="黑体" w:eastAsia="黑体" w:hAnsi="宋体"/>
          <w:color w:val="000000" w:themeColor="text1"/>
          <w:szCs w:val="21"/>
        </w:rPr>
        <w:t>B0601</w:t>
      </w:r>
      <w:r>
        <w:rPr>
          <w:rFonts w:ascii="黑体" w:eastAsia="黑体" w:hAnsi="宋体" w:hint="eastAsia"/>
          <w:color w:val="000000" w:themeColor="text1"/>
          <w:szCs w:val="21"/>
        </w:rPr>
        <w:t>CODE</w:t>
      </w:r>
      <w:r w:rsidRPr="00C020B4">
        <w:rPr>
          <w:rFonts w:ascii="黑体" w:eastAsia="黑体" w:hAnsi="宋体"/>
          <w:color w:val="000000" w:themeColor="text1"/>
          <w:szCs w:val="21"/>
        </w:rPr>
        <w:t>.业务类型：</w:t>
      </w:r>
      <w:r w:rsidRPr="00C020B4">
        <w:rPr>
          <w:rFonts w:ascii="宋体" w:hAnsi="宋体" w:hint="eastAsia"/>
          <w:color w:val="000000" w:themeColor="text1"/>
        </w:rPr>
        <w:t>填写①</w:t>
      </w:r>
      <w:r w:rsidRPr="00C020B4">
        <w:rPr>
          <w:rFonts w:ascii="宋体" w:hAnsi="宋体"/>
          <w:color w:val="000000" w:themeColor="text1"/>
        </w:rPr>
        <w:t>QFII</w:t>
      </w:r>
      <w:r w:rsidRPr="00C020B4">
        <w:rPr>
          <w:rFonts w:ascii="宋体" w:hAnsi="宋体" w:hint="eastAsia"/>
          <w:color w:val="000000" w:themeColor="text1"/>
        </w:rPr>
        <w:t>；②</w:t>
      </w:r>
      <w:r w:rsidRPr="00C020B4">
        <w:rPr>
          <w:rFonts w:ascii="宋体" w:hAnsi="宋体"/>
          <w:color w:val="000000" w:themeColor="text1"/>
        </w:rPr>
        <w:t>RQFII</w:t>
      </w:r>
      <w:r w:rsidRPr="00C020B4">
        <w:rPr>
          <w:rFonts w:ascii="宋体" w:hAnsi="宋体" w:hint="eastAsia"/>
          <w:color w:val="000000" w:themeColor="text1"/>
        </w:rPr>
        <w:t>；③沪港通；④深港通；</w:t>
      </w:r>
      <w:r w:rsidRPr="00FE7524">
        <w:rPr>
          <w:rFonts w:ascii="宋体" w:hAnsi="宋体"/>
          <w:color w:val="000000" w:themeColor="text1"/>
        </w:rPr>
        <w:t>⑤</w:t>
      </w:r>
      <w:r>
        <w:rPr>
          <w:rFonts w:ascii="宋体" w:hAnsi="宋体" w:hint="eastAsia"/>
          <w:color w:val="000000" w:themeColor="text1"/>
        </w:rPr>
        <w:t>境外机构投资者投资银行间债券市场；</w:t>
      </w:r>
      <w:r w:rsidR="00CB4B9E" w:rsidRPr="00C020B4">
        <w:rPr>
          <w:rFonts w:ascii="宋体" w:hAnsi="宋体"/>
          <w:color w:val="000000" w:themeColor="text1"/>
        </w:rPr>
        <w:fldChar w:fldCharType="begin"/>
      </w:r>
      <w:r w:rsidRPr="00C020B4">
        <w:rPr>
          <w:rFonts w:ascii="宋体" w:hAnsi="宋体"/>
          <w:color w:val="000000" w:themeColor="text1"/>
        </w:rPr>
        <w:instrText xml:space="preserve"> = 9 \* GB3 </w:instrText>
      </w:r>
      <w:r w:rsidR="00CB4B9E" w:rsidRPr="00C020B4">
        <w:rPr>
          <w:rFonts w:ascii="宋体" w:hAnsi="宋体"/>
          <w:color w:val="000000" w:themeColor="text1"/>
        </w:rPr>
        <w:fldChar w:fldCharType="separate"/>
      </w:r>
      <w:r w:rsidRPr="00C020B4">
        <w:rPr>
          <w:rFonts w:ascii="宋体" w:hAnsi="宋体" w:hint="eastAsia"/>
          <w:noProof/>
          <w:color w:val="000000" w:themeColor="text1"/>
        </w:rPr>
        <w:t>⑨</w:t>
      </w:r>
      <w:r w:rsidR="00CB4B9E" w:rsidRPr="00C020B4">
        <w:rPr>
          <w:rFonts w:ascii="宋体" w:hAnsi="宋体"/>
          <w:color w:val="000000" w:themeColor="text1"/>
        </w:rPr>
        <w:fldChar w:fldCharType="end"/>
      </w:r>
      <w:r w:rsidRPr="00C020B4">
        <w:rPr>
          <w:rFonts w:ascii="宋体" w:hAnsi="宋体"/>
          <w:color w:val="000000" w:themeColor="text1"/>
        </w:rPr>
        <w:t>其他</w:t>
      </w:r>
      <w:r>
        <w:rPr>
          <w:rFonts w:ascii="宋体" w:hAnsi="宋体" w:hint="eastAsia"/>
          <w:color w:val="000000" w:themeColor="text1"/>
        </w:rPr>
        <w:t>。</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B0602.非居民投资者</w:t>
      </w:r>
      <w:r w:rsidRPr="00CB4B9E">
        <w:rPr>
          <w:rFonts w:ascii="黑体" w:eastAsia="黑体" w:hAnsi="宋体" w:hint="eastAsia"/>
          <w:color w:val="000000" w:themeColor="text1"/>
          <w:szCs w:val="21"/>
        </w:rPr>
        <w:t>所属国家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rPr>
        <w:t>填报相关非居民机构注册或非居民个人投资者常住的国家</w:t>
      </w:r>
      <w:r w:rsidRPr="00CB4B9E">
        <w:rPr>
          <w:rFonts w:ascii="宋体" w:hAnsi="宋体"/>
          <w:color w:val="000000" w:themeColor="text1"/>
        </w:rPr>
        <w:t>/地区</w:t>
      </w:r>
      <w:r w:rsidRPr="00CB4B9E">
        <w:rPr>
          <w:rFonts w:ascii="宋体" w:hAnsi="宋体" w:hint="eastAsia"/>
          <w:color w:val="000000" w:themeColor="text1"/>
        </w:rPr>
        <w:t>代码。对于无法确定其注册地的，按非居民机构的经营所在地填报。</w:t>
      </w:r>
    </w:p>
    <w:p w:rsidR="009E5D8D" w:rsidRPr="009263D7" w:rsidRDefault="00CB4B9E" w:rsidP="004A608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B0603.非居民投资者所属部门：</w:t>
      </w:r>
      <w:r w:rsidRPr="00CB4B9E">
        <w:rPr>
          <w:rFonts w:ascii="宋体" w:hAnsi="宋体" w:hint="eastAsia"/>
          <w:color w:val="000000" w:themeColor="text1"/>
        </w:rPr>
        <w:t>请按以下五个子部门填列，即：①政府；②中央银行</w:t>
      </w:r>
      <w:r w:rsidRPr="00CB4B9E">
        <w:rPr>
          <w:rFonts w:ascii="宋体" w:hAnsi="宋体"/>
          <w:color w:val="000000" w:themeColor="text1"/>
        </w:rPr>
        <w:t>/货币当局；③银行；④非银行金融机构；⑤其他企业</w:t>
      </w:r>
      <w:r w:rsidRPr="00CB4B9E">
        <w:rPr>
          <w:rFonts w:ascii="宋体" w:hAnsi="宋体" w:hint="eastAsia"/>
          <w:color w:val="000000" w:themeColor="text1"/>
        </w:rPr>
        <w:t>和个人。请按非居民投资者的主营业务归类。</w:t>
      </w:r>
    </w:p>
    <w:p w:rsidR="009E5D8D" w:rsidRPr="009263D7" w:rsidRDefault="00CB4B9E" w:rsidP="004A6081">
      <w:pPr>
        <w:spacing w:line="360" w:lineRule="auto"/>
        <w:rPr>
          <w:rFonts w:ascii="宋体" w:hAnsi="宋体"/>
          <w:color w:val="000000" w:themeColor="text1"/>
        </w:rPr>
      </w:pPr>
      <w:r w:rsidRPr="00CB4B9E">
        <w:rPr>
          <w:rFonts w:ascii="黑体" w:eastAsia="黑体" w:hAnsi="宋体"/>
          <w:color w:val="000000" w:themeColor="text1"/>
          <w:szCs w:val="21"/>
        </w:rPr>
        <w:t xml:space="preserve">    B0604.</w:t>
      </w:r>
      <w:r w:rsidRPr="00CB4B9E">
        <w:rPr>
          <w:rFonts w:ascii="黑体" w:eastAsia="黑体" w:hAnsi="宋体" w:hint="eastAsia"/>
          <w:color w:val="000000" w:themeColor="text1"/>
          <w:szCs w:val="21"/>
        </w:rPr>
        <w:t>投资产品类型：</w:t>
      </w:r>
      <w:r w:rsidRPr="00CB4B9E">
        <w:rPr>
          <w:rFonts w:ascii="宋体" w:hAnsi="宋体" w:hint="eastAsia"/>
          <w:color w:val="000000" w:themeColor="text1"/>
        </w:rPr>
        <w:t>指非居民投资者买卖或持有境内相关金融产品的类型。划分</w:t>
      </w:r>
      <w:r w:rsidRPr="00CB4B9E">
        <w:rPr>
          <w:rFonts w:ascii="宋体" w:hAnsi="宋体" w:hint="eastAsia"/>
          <w:color w:val="000000" w:themeColor="text1"/>
          <w:szCs w:val="21"/>
        </w:rPr>
        <w:t>为</w:t>
      </w:r>
      <w:r w:rsidR="001A4E2A">
        <w:rPr>
          <w:rFonts w:ascii="宋体" w:hAnsi="宋体" w:hint="eastAsia"/>
          <w:color w:val="000000" w:themeColor="text1"/>
          <w:szCs w:val="21"/>
        </w:rPr>
        <w:t>六</w:t>
      </w:r>
      <w:r w:rsidRPr="00CB4B9E">
        <w:rPr>
          <w:rFonts w:ascii="宋体" w:hAnsi="宋体" w:hint="eastAsia"/>
          <w:color w:val="000000" w:themeColor="text1"/>
          <w:szCs w:val="21"/>
        </w:rPr>
        <w:t>类，按以下序号填列：</w:t>
      </w:r>
      <w:r w:rsidRPr="00CB4B9E">
        <w:rPr>
          <w:rFonts w:ascii="宋体" w:hAnsi="宋体" w:hint="eastAsia"/>
          <w:color w:val="000000" w:themeColor="text1"/>
        </w:rPr>
        <w:t>①</w:t>
      </w:r>
      <w:r w:rsidR="001A4E2A">
        <w:rPr>
          <w:rFonts w:ascii="宋体" w:hAnsi="宋体" w:hint="eastAsia"/>
          <w:color w:val="000000" w:themeColor="text1"/>
        </w:rPr>
        <w:t>上市</w:t>
      </w:r>
      <w:r w:rsidRPr="00CB4B9E">
        <w:rPr>
          <w:rFonts w:ascii="宋体" w:hAnsi="宋体" w:hint="eastAsia"/>
          <w:color w:val="000000" w:themeColor="text1"/>
        </w:rPr>
        <w:t>普通股</w:t>
      </w:r>
      <w:r w:rsidRPr="00CB4B9E">
        <w:rPr>
          <w:rFonts w:ascii="宋体" w:hAnsi="宋体" w:hint="eastAsia"/>
          <w:color w:val="000000" w:themeColor="text1"/>
          <w:szCs w:val="21"/>
        </w:rPr>
        <w:t>；</w:t>
      </w:r>
      <w:r w:rsidRPr="00CB4B9E">
        <w:rPr>
          <w:rFonts w:ascii="宋体" w:hAnsi="宋体" w:hint="eastAsia"/>
          <w:color w:val="000000" w:themeColor="text1"/>
        </w:rPr>
        <w:t>②</w:t>
      </w:r>
      <w:r w:rsidRPr="00CB4B9E">
        <w:rPr>
          <w:rFonts w:ascii="宋体" w:hAnsi="宋体" w:hint="eastAsia"/>
          <w:color w:val="000000" w:themeColor="text1"/>
          <w:szCs w:val="21"/>
        </w:rPr>
        <w:t>投资基金份额</w:t>
      </w:r>
      <w:r w:rsidRPr="00CB4B9E">
        <w:rPr>
          <w:rFonts w:ascii="宋体" w:hAnsi="宋体"/>
          <w:color w:val="000000" w:themeColor="text1"/>
          <w:szCs w:val="21"/>
        </w:rPr>
        <w:t>/单位；</w:t>
      </w:r>
      <w:r w:rsidRPr="00CB4B9E">
        <w:rPr>
          <w:rFonts w:ascii="宋体" w:hAnsi="宋体" w:hint="eastAsia"/>
          <w:color w:val="000000" w:themeColor="text1"/>
        </w:rPr>
        <w:t>③债券；④</w:t>
      </w:r>
      <w:r w:rsidR="001A4E2A">
        <w:rPr>
          <w:rFonts w:ascii="宋体" w:hAnsi="宋体" w:hint="eastAsia"/>
          <w:color w:val="000000" w:themeColor="text1"/>
        </w:rPr>
        <w:t>非上市普通股；</w:t>
      </w:r>
      <w:r w:rsidR="001A4E2A" w:rsidRPr="00173D1B">
        <w:rPr>
          <w:rFonts w:ascii="宋体" w:hAnsi="宋体" w:hint="eastAsia"/>
          <w:color w:val="000000" w:themeColor="text1"/>
        </w:rPr>
        <w:t>⑤</w:t>
      </w:r>
      <w:r w:rsidRPr="00CB4B9E">
        <w:rPr>
          <w:rFonts w:ascii="宋体" w:hAnsi="宋体" w:hint="eastAsia"/>
          <w:color w:val="000000" w:themeColor="text1"/>
        </w:rPr>
        <w:t>参与性优先股；</w:t>
      </w:r>
      <w:r w:rsidR="001A4E2A">
        <w:rPr>
          <w:rFonts w:ascii="宋体" w:hAnsi="宋体" w:hint="eastAsia"/>
          <w:color w:val="000000" w:themeColor="text1"/>
        </w:rPr>
        <w:t>⑥</w:t>
      </w:r>
      <w:r w:rsidRPr="00CB4B9E">
        <w:rPr>
          <w:rFonts w:ascii="宋体" w:hAnsi="宋体" w:hint="eastAsia"/>
          <w:color w:val="000000" w:themeColor="text1"/>
        </w:rPr>
        <w:t>非参与性优先股</w:t>
      </w:r>
      <w:r w:rsidRPr="00CB4B9E">
        <w:rPr>
          <w:rFonts w:ascii="宋体" w:hAnsi="宋体" w:hint="eastAsia"/>
          <w:color w:val="000000" w:themeColor="text1"/>
          <w:szCs w:val="21"/>
        </w:rPr>
        <w:t>。可转债在转换前，统计为债务证券；转换后，统计为股本证券。资产证券化工具根据其是否具有债权债务性质（如是否支付固定或浮动利息，是否约定到期支付固定本金等）确定，一般情况</w:t>
      </w:r>
      <w:r w:rsidRPr="00CB4B9E">
        <w:rPr>
          <w:rFonts w:ascii="宋体" w:hAnsi="宋体" w:hint="eastAsia"/>
          <w:color w:val="000000" w:themeColor="text1"/>
          <w:szCs w:val="21"/>
        </w:rPr>
        <w:lastRenderedPageBreak/>
        <w:t>下属于债券。如资产证券化产品为权益性（如赋予表决权、支付的是股利、无到期期限且无约定的本金收回等），归入股票统计。</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B0605.投资产品代码（逐支报送使用）：</w:t>
      </w:r>
      <w:r w:rsidRPr="00CB4B9E">
        <w:rPr>
          <w:rFonts w:ascii="Calibri" w:hAnsi="Calibri" w:hint="eastAsia"/>
          <w:color w:val="000000" w:themeColor="text1"/>
        </w:rPr>
        <w:t>对于选择报送逐支投资产品信息的，请填写此项。</w:t>
      </w:r>
      <w:r w:rsidRPr="00CB4B9E">
        <w:rPr>
          <w:rFonts w:ascii="宋体" w:hAnsi="宋体" w:hint="eastAsia"/>
          <w:color w:val="000000" w:themeColor="text1"/>
        </w:rPr>
        <w:t>指非居民投资者所投资金融产品的代码（应带有上市地信息）。如该金融产品有</w:t>
      </w:r>
      <w:r w:rsidRPr="00CB4B9E">
        <w:rPr>
          <w:rFonts w:ascii="宋体" w:hAnsi="宋体"/>
          <w:color w:val="000000" w:themeColor="text1"/>
        </w:rPr>
        <w:t>ISIN码，应优先填写ISIN码。</w:t>
      </w:r>
      <w:r w:rsidRPr="00CB4B9E">
        <w:rPr>
          <w:rFonts w:ascii="宋体" w:hAnsi="宋体" w:hint="eastAsia"/>
          <w:color w:val="000000" w:themeColor="text1"/>
        </w:rPr>
        <w:t>如无</w:t>
      </w:r>
      <w:r w:rsidRPr="00CB4B9E">
        <w:rPr>
          <w:rFonts w:ascii="宋体" w:hAnsi="宋体"/>
          <w:color w:val="000000" w:themeColor="text1"/>
        </w:rPr>
        <w:t>ISIN码</w:t>
      </w:r>
      <w:r w:rsidRPr="00CB4B9E">
        <w:rPr>
          <w:rFonts w:ascii="宋体" w:hAnsi="宋体" w:hint="eastAsia"/>
          <w:color w:val="000000" w:themeColor="text1"/>
        </w:rPr>
        <w:t>，应填写该金融产品所在市场唯一通用代码。</w:t>
      </w:r>
    </w:p>
    <w:p w:rsidR="009E5D8D" w:rsidRPr="009263D7" w:rsidRDefault="00CB4B9E" w:rsidP="009E5D8D">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B0606.发行主体名称（逐支报送使用）：</w:t>
      </w:r>
      <w:r w:rsidRPr="00CB4B9E">
        <w:rPr>
          <w:rFonts w:ascii="Calibri" w:hAnsi="Calibri" w:hint="eastAsia"/>
          <w:color w:val="000000" w:themeColor="text1"/>
        </w:rPr>
        <w:t>对于选择报送逐支投资产品信息的，请填写此项。</w:t>
      </w:r>
      <w:r w:rsidRPr="00CB4B9E">
        <w:rPr>
          <w:rFonts w:ascii="宋体" w:hAnsi="宋体" w:hint="eastAsia"/>
          <w:color w:val="000000" w:themeColor="text1"/>
        </w:rPr>
        <w:t>指相关投资产品的发行主体</w:t>
      </w:r>
      <w:r w:rsidRPr="00CB4B9E">
        <w:rPr>
          <w:rFonts w:ascii="宋体" w:hAnsi="宋体" w:hint="eastAsia"/>
          <w:color w:val="000000" w:themeColor="text1"/>
          <w:szCs w:val="21"/>
        </w:rPr>
        <w:t>全称，按其中文全称填列。</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B0607.发行主体</w:t>
      </w:r>
      <w:r w:rsidRPr="00CB4B9E">
        <w:rPr>
          <w:rFonts w:ascii="黑体" w:eastAsia="黑体" w:hAnsi="宋体" w:hint="eastAsia"/>
          <w:color w:val="000000" w:themeColor="text1"/>
          <w:szCs w:val="21"/>
        </w:rPr>
        <w:t>所属国家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rPr>
        <w:t>即发行主体注册国家</w:t>
      </w:r>
      <w:r w:rsidRPr="00CB4B9E">
        <w:rPr>
          <w:rFonts w:ascii="宋体" w:hAnsi="宋体"/>
          <w:color w:val="000000" w:themeColor="text1"/>
        </w:rPr>
        <w:t>/地区</w:t>
      </w:r>
      <w:r w:rsidRPr="00CB4B9E">
        <w:rPr>
          <w:rFonts w:ascii="宋体" w:hAnsi="宋体" w:hint="eastAsia"/>
          <w:color w:val="000000" w:themeColor="text1"/>
        </w:rPr>
        <w:t>代码。</w:t>
      </w:r>
      <w:r w:rsidRPr="00CB4B9E">
        <w:rPr>
          <w:rFonts w:ascii="黑体" w:eastAsia="黑体" w:hAnsi="宋体" w:hint="eastAsia"/>
          <w:b/>
          <w:color w:val="000000" w:themeColor="text1"/>
        </w:rPr>
        <w:t>本表中，发行主体应为中国境内机构，国家</w:t>
      </w:r>
      <w:r w:rsidRPr="00CB4B9E">
        <w:rPr>
          <w:rFonts w:ascii="黑体" w:eastAsia="黑体" w:hAnsi="宋体"/>
          <w:b/>
          <w:color w:val="000000" w:themeColor="text1"/>
        </w:rPr>
        <w:t>/地区为中国</w:t>
      </w:r>
      <w:r w:rsidRPr="00CB4B9E">
        <w:rPr>
          <w:rFonts w:ascii="宋体" w:hAnsi="宋体" w:hint="eastAsia"/>
          <w:color w:val="000000" w:themeColor="text1"/>
        </w:rPr>
        <w:t>（不含中国香港、澳门和台湾地区）。</w:t>
      </w:r>
    </w:p>
    <w:p w:rsidR="009E5D8D" w:rsidRPr="009263D7" w:rsidRDefault="00CB4B9E" w:rsidP="009E5D8D">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B0608.发行主体所属部门：</w:t>
      </w:r>
      <w:r w:rsidRPr="00CB4B9E">
        <w:rPr>
          <w:rFonts w:ascii="宋体" w:hAnsi="宋体" w:hint="eastAsia"/>
          <w:color w:val="000000" w:themeColor="text1"/>
        </w:rPr>
        <w:t>请按以下五个子部门填列，即：①政府；②中央银行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。请按证券发行主体的主营业务归类。对于政府支持（机构）类债券，应按其发行主体自身所属部门归类。如为公司制或非公司制机构，应确定为③</w:t>
      </w:r>
      <w:r w:rsidRPr="00CB4B9E">
        <w:rPr>
          <w:rFonts w:ascii="宋体" w:hAnsi="宋体"/>
          <w:color w:val="000000" w:themeColor="text1"/>
        </w:rPr>
        <w:t>-⑤中的一类</w:t>
      </w:r>
      <w:r w:rsidRPr="00CB4B9E">
        <w:rPr>
          <w:rFonts w:ascii="宋体" w:hAnsi="宋体" w:hint="eastAsia"/>
          <w:color w:val="000000" w:themeColor="text1"/>
        </w:rPr>
        <w:t>。</w:t>
      </w:r>
    </w:p>
    <w:p w:rsidR="00650DAB" w:rsidRPr="009263D7" w:rsidRDefault="00CB4B9E" w:rsidP="008D6CB1">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B0609.债务证券原始期限：</w:t>
      </w:r>
      <w:r w:rsidRPr="00CB4B9E">
        <w:rPr>
          <w:rFonts w:ascii="宋体" w:hAnsi="宋体" w:hint="eastAsia"/>
          <w:color w:val="000000" w:themeColor="text1"/>
        </w:rPr>
        <w:t>指相关债务证券从初始发行至最终到期的期限。划分为两类：①一年及以下；②一年以上，含永久性债券</w:t>
      </w:r>
      <w:r w:rsidRPr="00CB4B9E">
        <w:rPr>
          <w:rFonts w:ascii="SimSun" w:hAnsi="SimSun" w:hint="eastAsia"/>
          <w:color w:val="000000" w:themeColor="text1"/>
          <w:szCs w:val="21"/>
        </w:rPr>
        <w:t>和非参与性优先股</w:t>
      </w:r>
      <w:r w:rsidRPr="00CB4B9E">
        <w:rPr>
          <w:rFonts w:ascii="宋体" w:hAnsi="宋体" w:hint="eastAsia"/>
          <w:color w:val="000000" w:themeColor="text1"/>
        </w:rPr>
        <w:t>。如无初始发行日期，请按相关债务证券在本市场登记日至最终到期期限计算原始期限。</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B0610.</w:t>
      </w:r>
      <w:r w:rsidRPr="00CB4B9E">
        <w:rPr>
          <w:rFonts w:ascii="黑体" w:eastAsia="黑体" w:hAnsi="宋体" w:hint="eastAsia"/>
          <w:color w:val="000000" w:themeColor="text1"/>
        </w:rPr>
        <w:t>原始币种：</w:t>
      </w:r>
      <w:r w:rsidRPr="00CB4B9E">
        <w:rPr>
          <w:rFonts w:ascii="宋体" w:hAnsi="宋体" w:hint="eastAsia"/>
          <w:color w:val="000000" w:themeColor="text1"/>
          <w:szCs w:val="21"/>
        </w:rPr>
        <w:t>指非居民投资者交易和持有产品的计价币种，</w:t>
      </w:r>
      <w:r w:rsidRPr="00CB4B9E">
        <w:rPr>
          <w:rFonts w:ascii="宋体" w:hAnsi="宋体" w:hint="eastAsia"/>
          <w:color w:val="000000" w:themeColor="text1"/>
        </w:rPr>
        <w:t>请参照数据采集规范最新版本中的相关代码表</w:t>
      </w:r>
      <w:r w:rsidRPr="00CB4B9E">
        <w:rPr>
          <w:rFonts w:ascii="宋体" w:hAnsi="宋体" w:hint="eastAsia"/>
          <w:color w:val="000000" w:themeColor="text1"/>
          <w:szCs w:val="21"/>
        </w:rPr>
        <w:t>填列。如，所持有产品的计价币种为人民币的，填入人民币代码。适用于</w:t>
      </w:r>
      <w:r w:rsidRPr="00CB4B9E">
        <w:rPr>
          <w:rFonts w:ascii="宋体" w:hAnsi="宋体"/>
          <w:color w:val="000000" w:themeColor="text1"/>
          <w:szCs w:val="21"/>
        </w:rPr>
        <w:t>B0611-B0619各项。</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B0611.上月末市值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指上月末非居民投资者所持有相关金融产品的市值，按上月末最后一个交易日收盘价计算（债券类工具应按全价计值）。</w:t>
      </w:r>
    </w:p>
    <w:p w:rsidR="009E5D8D" w:rsidRPr="009263D7" w:rsidRDefault="00CB4B9E" w:rsidP="009E5D8D">
      <w:pPr>
        <w:spacing w:line="360" w:lineRule="auto"/>
        <w:ind w:firstLineChars="200" w:firstLine="420"/>
        <w:jc w:val="left"/>
        <w:rPr>
          <w:color w:val="000000" w:themeColor="text1"/>
        </w:rPr>
      </w:pPr>
      <w:r w:rsidRPr="00CB4B9E">
        <w:rPr>
          <w:rFonts w:ascii="黑体" w:eastAsia="黑体" w:hAnsi="宋体"/>
          <w:color w:val="000000" w:themeColor="text1"/>
          <w:szCs w:val="21"/>
        </w:rPr>
        <w:t>B0612.本月买入金额</w:t>
      </w:r>
      <w:r w:rsidRPr="00CB4B9E">
        <w:rPr>
          <w:rFonts w:ascii="黑体" w:eastAsia="黑体" w:hAnsi="宋体" w:hint="eastAsia"/>
          <w:color w:val="000000" w:themeColor="text1"/>
        </w:rPr>
        <w:t>：</w:t>
      </w:r>
      <w:r w:rsidRPr="00CB4B9E">
        <w:rPr>
          <w:rFonts w:ascii="宋体" w:hAnsi="宋体"/>
          <w:color w:val="000000" w:themeColor="text1"/>
          <w:szCs w:val="21"/>
        </w:rPr>
        <w:t xml:space="preserve"> 指本月内，非居民投资者买入相关金融产品所支付的金额（债券类工具应为全价）</w:t>
      </w:r>
      <w:r w:rsidRPr="00CB4B9E">
        <w:rPr>
          <w:rFonts w:ascii="宋体" w:hAnsi="宋体" w:hint="eastAsia"/>
          <w:color w:val="000000" w:themeColor="text1"/>
          <w:szCs w:val="21"/>
        </w:rPr>
        <w:t>，对于基金，专指申购金额。不过，如果</w:t>
      </w:r>
      <w:r w:rsidRPr="00CB4B9E">
        <w:rPr>
          <w:rFonts w:hint="eastAsia"/>
          <w:color w:val="000000" w:themeColor="text1"/>
        </w:rPr>
        <w:t>股票发行主体因股票分割或发行红利股（即公司重组其股票）而向股东提供的新股票，不纳入本栏统计。与发行新股票获得新融资不同，股票分割和红利股不发生新的融资。此外，非居民投资者以过户、继承、法院裁定、大宗交易（协议定价交易）等方式发生相关产品所有权转移，但资金未经清算结算机构集中清算的，视同买卖处理。其中，非居民投资者获得居民相关产品所有权视为买入（填入本栏），转出相关产品所有权视为卖出（填入</w:t>
      </w:r>
      <w:r w:rsidRPr="00CB4B9E">
        <w:rPr>
          <w:color w:val="000000" w:themeColor="text1"/>
        </w:rPr>
        <w:t>B0613</w:t>
      </w:r>
      <w:r w:rsidRPr="00CB4B9E">
        <w:rPr>
          <w:rFonts w:hint="eastAsia"/>
          <w:color w:val="000000" w:themeColor="text1"/>
        </w:rPr>
        <w:t>栏）。</w:t>
      </w:r>
    </w:p>
    <w:p w:rsidR="009E5D8D" w:rsidRPr="009263D7" w:rsidRDefault="00CB4B9E" w:rsidP="009E5D8D">
      <w:pPr>
        <w:spacing w:line="360" w:lineRule="auto"/>
        <w:ind w:firstLineChars="200" w:firstLine="420"/>
        <w:jc w:val="left"/>
        <w:rPr>
          <w:color w:val="000000" w:themeColor="text1"/>
        </w:rPr>
      </w:pPr>
      <w:r w:rsidRPr="00CB4B9E">
        <w:rPr>
          <w:rFonts w:ascii="黑体" w:eastAsia="黑体" w:hAnsi="宋体"/>
          <w:color w:val="000000" w:themeColor="text1"/>
          <w:szCs w:val="21"/>
        </w:rPr>
        <w:t>B0613.本月卖出金额</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指本月内，非居民投资者卖出、赎回或持有到期相关金融产品所获得的金额（债券类工具应按全价计值），对于基金，专指赎回金额。</w:t>
      </w:r>
      <w:r w:rsidRPr="00CB4B9E">
        <w:rPr>
          <w:rFonts w:hint="eastAsia"/>
          <w:color w:val="000000" w:themeColor="text1"/>
        </w:rPr>
        <w:t>非居民投资者以过户、继承、法院裁定、大宗交易（协议定价交易）等方式发生相关产品所有权转移，但资金未经清算结算机构集中清算的，视同买卖处理。其中，非居民获得居民相关产品所有权视为买入（填入</w:t>
      </w:r>
      <w:r w:rsidRPr="00CB4B9E">
        <w:rPr>
          <w:color w:val="000000" w:themeColor="text1"/>
        </w:rPr>
        <w:t>B0612</w:t>
      </w:r>
      <w:r w:rsidRPr="00CB4B9E">
        <w:rPr>
          <w:rFonts w:hint="eastAsia"/>
          <w:color w:val="000000" w:themeColor="text1"/>
        </w:rPr>
        <w:t>栏），转出相关产品所有权视为卖出（填入本栏）。</w:t>
      </w:r>
    </w:p>
    <w:p w:rsidR="009E5D8D" w:rsidRPr="009263D7" w:rsidRDefault="00CB4B9E" w:rsidP="009E5D8D">
      <w:pPr>
        <w:spacing w:line="360" w:lineRule="auto"/>
        <w:ind w:firstLineChars="200" w:firstLine="420"/>
        <w:jc w:val="left"/>
        <w:rPr>
          <w:color w:val="000000" w:themeColor="text1"/>
        </w:rPr>
      </w:pPr>
      <w:r w:rsidRPr="00CB4B9E">
        <w:rPr>
          <w:rFonts w:ascii="黑体" w:eastAsia="黑体" w:hAnsi="宋体"/>
          <w:color w:val="000000" w:themeColor="text1"/>
          <w:szCs w:val="21"/>
        </w:rPr>
        <w:lastRenderedPageBreak/>
        <w:t>B0614.本月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反映统计期间投资产品交易净值变化以外的非交易因素引起的变动。计算方法为：</w:t>
      </w:r>
      <w:r w:rsidRPr="00CB4B9E">
        <w:rPr>
          <w:color w:val="000000" w:themeColor="text1"/>
        </w:rPr>
        <w:t>B0614=B0617-B0611-</w:t>
      </w:r>
      <w:r w:rsidRPr="00CB4B9E">
        <w:rPr>
          <w:rFonts w:hint="eastAsia"/>
          <w:color w:val="000000" w:themeColor="text1"/>
        </w:rPr>
        <w:t>（</w:t>
      </w:r>
      <w:r w:rsidRPr="00CB4B9E">
        <w:rPr>
          <w:color w:val="000000" w:themeColor="text1"/>
        </w:rPr>
        <w:t>B0612-B0613</w:t>
      </w:r>
      <w:r w:rsidRPr="00CB4B9E">
        <w:rPr>
          <w:rFonts w:hint="eastAsia"/>
          <w:color w:val="000000" w:themeColor="text1"/>
        </w:rPr>
        <w:t>）。</w:t>
      </w:r>
    </w:p>
    <w:p w:rsidR="009E5D8D"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B0615. 重新分类至其他报表统计的金额</w:t>
      </w:r>
      <w:r w:rsidRPr="00CB4B9E">
        <w:rPr>
          <w:rFonts w:ascii="黑体" w:eastAsia="黑体" w:hAnsi="宋体" w:hint="eastAsia"/>
          <w:color w:val="000000" w:themeColor="text1"/>
        </w:rPr>
        <w:t>：</w:t>
      </w:r>
      <w:r w:rsidRPr="00CB4B9E">
        <w:rPr>
          <w:rFonts w:hint="eastAsia"/>
          <w:color w:val="000000" w:themeColor="text1"/>
        </w:rPr>
        <w:t>指非买卖因素引起的证券资产数量增减和价值变动。包括但不限于本月相关投资者单方面放弃（或注销）债权的金额。其与</w:t>
      </w:r>
      <w:r w:rsidRPr="00CB4B9E">
        <w:rPr>
          <w:color w:val="000000" w:themeColor="text1"/>
        </w:rPr>
        <w:t>B0614</w:t>
      </w:r>
      <w:r w:rsidRPr="00CB4B9E">
        <w:rPr>
          <w:rFonts w:hint="eastAsia"/>
          <w:color w:val="000000" w:themeColor="text1"/>
        </w:rPr>
        <w:t>和</w:t>
      </w:r>
      <w:r w:rsidRPr="00CB4B9E">
        <w:rPr>
          <w:color w:val="000000" w:themeColor="text1"/>
        </w:rPr>
        <w:t>B0616</w:t>
      </w:r>
      <w:r w:rsidRPr="00CB4B9E">
        <w:rPr>
          <w:rFonts w:hint="eastAsia"/>
          <w:color w:val="000000" w:themeColor="text1"/>
        </w:rPr>
        <w:t>项目的关系为：</w:t>
      </w:r>
      <w:r w:rsidRPr="00CB4B9E">
        <w:rPr>
          <w:color w:val="000000" w:themeColor="text1"/>
        </w:rPr>
        <w:t>B0614=B0615+B0616</w:t>
      </w:r>
      <w:r w:rsidRPr="00CB4B9E">
        <w:rPr>
          <w:rFonts w:hint="eastAsia"/>
          <w:color w:val="000000" w:themeColor="text1"/>
        </w:rPr>
        <w:t>。</w:t>
      </w:r>
    </w:p>
    <w:p w:rsidR="009E5D8D" w:rsidRPr="009263D7" w:rsidRDefault="00CB4B9E" w:rsidP="009E5D8D">
      <w:pPr>
        <w:spacing w:line="360" w:lineRule="auto"/>
        <w:ind w:firstLineChars="200" w:firstLine="420"/>
        <w:jc w:val="left"/>
        <w:rPr>
          <w:color w:val="000000" w:themeColor="text1"/>
        </w:rPr>
      </w:pPr>
      <w:r w:rsidRPr="00CB4B9E">
        <w:rPr>
          <w:rFonts w:ascii="黑体" w:eastAsia="黑体" w:hAnsi="宋体"/>
          <w:color w:val="000000" w:themeColor="text1"/>
          <w:szCs w:val="21"/>
        </w:rPr>
        <w:t>B0616.</w:t>
      </w:r>
      <w:r w:rsidRPr="00CB4B9E">
        <w:rPr>
          <w:rFonts w:ascii="黑体" w:eastAsia="黑体" w:hAnsi="宋体" w:hint="eastAsia"/>
          <w:color w:val="000000" w:themeColor="text1"/>
          <w:szCs w:val="21"/>
        </w:rPr>
        <w:t>价值重估因素</w:t>
      </w:r>
      <w:r w:rsidRPr="00CB4B9E">
        <w:rPr>
          <w:rFonts w:ascii="黑体" w:eastAsia="黑体" w:hAnsi="宋体" w:hint="eastAsia"/>
          <w:color w:val="000000" w:themeColor="text1"/>
        </w:rPr>
        <w:t>：</w:t>
      </w:r>
      <w:r w:rsidRPr="00CB4B9E">
        <w:rPr>
          <w:rFonts w:hint="eastAsia"/>
          <w:color w:val="000000" w:themeColor="text1"/>
        </w:rPr>
        <w:t>剔除买卖因素和</w:t>
      </w:r>
      <w:r w:rsidRPr="00CB4B9E">
        <w:rPr>
          <w:color w:val="000000" w:themeColor="text1"/>
        </w:rPr>
        <w:t>B0615</w:t>
      </w:r>
      <w:r w:rsidRPr="00CB4B9E">
        <w:rPr>
          <w:rFonts w:hint="eastAsia"/>
          <w:color w:val="000000" w:themeColor="text1"/>
        </w:rPr>
        <w:t>因素外，本月市场价格或近似参考价格波动带来的相关工具价值增减。其与</w:t>
      </w:r>
      <w:r w:rsidRPr="00CB4B9E">
        <w:rPr>
          <w:color w:val="000000" w:themeColor="text1"/>
        </w:rPr>
        <w:t>B0614</w:t>
      </w:r>
      <w:r w:rsidRPr="00CB4B9E">
        <w:rPr>
          <w:rFonts w:hint="eastAsia"/>
          <w:color w:val="000000" w:themeColor="text1"/>
        </w:rPr>
        <w:t>和</w:t>
      </w:r>
      <w:r w:rsidRPr="00CB4B9E">
        <w:rPr>
          <w:color w:val="000000" w:themeColor="text1"/>
        </w:rPr>
        <w:t>B0615</w:t>
      </w:r>
      <w:r w:rsidRPr="00CB4B9E">
        <w:rPr>
          <w:rFonts w:hint="eastAsia"/>
          <w:color w:val="000000" w:themeColor="text1"/>
        </w:rPr>
        <w:t>项目的关系为：</w:t>
      </w:r>
      <w:r w:rsidRPr="00CB4B9E">
        <w:rPr>
          <w:color w:val="000000" w:themeColor="text1"/>
        </w:rPr>
        <w:t>B0614=B0615+B0616</w:t>
      </w:r>
      <w:r w:rsidRPr="00CB4B9E">
        <w:rPr>
          <w:rFonts w:hint="eastAsia"/>
          <w:color w:val="000000" w:themeColor="text1"/>
        </w:rPr>
        <w:t>。</w:t>
      </w:r>
      <w:r w:rsidRPr="00CB4B9E">
        <w:rPr>
          <w:color w:val="000000" w:themeColor="text1"/>
        </w:rPr>
        <w:t xml:space="preserve"> </w:t>
      </w:r>
    </w:p>
    <w:p w:rsidR="009E5D8D" w:rsidRPr="009263D7" w:rsidRDefault="00CB4B9E" w:rsidP="009E5D8D">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B0617.本月末市值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指本月末非居民投资者所持有相关金融产品的市值，按本月末最后一个交易日收盘价计算（债券类工具应按全价计值）。</w:t>
      </w:r>
    </w:p>
    <w:p w:rsidR="00515BA8" w:rsidRPr="009263D7" w:rsidRDefault="00CB4B9E" w:rsidP="009E5D8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B0618.其中：剩余期限在一年及以下</w:t>
      </w:r>
      <w:r w:rsidRPr="00CB4B9E">
        <w:rPr>
          <w:rFonts w:ascii="黑体" w:eastAsia="黑体" w:hAnsi="宋体" w:hint="eastAsia"/>
          <w:color w:val="000000" w:themeColor="text1"/>
        </w:rPr>
        <w:t>：</w:t>
      </w:r>
      <w:r w:rsidRPr="00CB4B9E">
        <w:rPr>
          <w:rFonts w:ascii="宋体" w:hAnsi="宋体" w:hint="eastAsia"/>
          <w:color w:val="000000" w:themeColor="text1"/>
          <w:szCs w:val="21"/>
        </w:rPr>
        <w:t>仅适用于</w:t>
      </w:r>
      <w:r w:rsidRPr="00CB4B9E">
        <w:rPr>
          <w:rFonts w:ascii="宋体" w:hAnsi="宋体"/>
          <w:color w:val="000000" w:themeColor="text1"/>
          <w:szCs w:val="21"/>
        </w:rPr>
        <w:t>B0604</w:t>
      </w:r>
      <w:r w:rsidRPr="00CB4B9E">
        <w:rPr>
          <w:rFonts w:ascii="宋体" w:hAnsi="宋体" w:hint="eastAsia"/>
          <w:color w:val="000000" w:themeColor="text1"/>
          <w:szCs w:val="21"/>
        </w:rPr>
        <w:t>下</w:t>
      </w:r>
      <w:r w:rsidRPr="00CB4B9E">
        <w:rPr>
          <w:rFonts w:ascii="宋体" w:hAnsi="宋体" w:hint="eastAsia"/>
          <w:color w:val="000000" w:themeColor="text1"/>
        </w:rPr>
        <w:t>③（</w:t>
      </w:r>
      <w:r w:rsidRPr="00CB4B9E">
        <w:rPr>
          <w:rFonts w:ascii="宋体" w:hAnsi="宋体" w:hint="eastAsia"/>
          <w:color w:val="000000" w:themeColor="text1"/>
          <w:szCs w:val="21"/>
        </w:rPr>
        <w:t>债券）类工具，指自本月末自最终到期在一年及以下的相关债务类工具的市值，按本月末最后一个工作日债券的全价计值。</w:t>
      </w:r>
    </w:p>
    <w:p w:rsidR="009E5D8D" w:rsidRPr="009263D7" w:rsidRDefault="00CB4B9E" w:rsidP="009E5D8D">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B0619.本月非居民投资者红利或利息收入</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非居民因持有境内发行的股权、股票、投资基金份额、债券而实现的红利、股息或利息。其中，红利、股息按股票除息日统计。利息按利息分发日统计。相关红利或利息收入应为税前收入。对于股票股息，按照除息日当天每股收盘价格乘以股票股息份数填报。</w:t>
      </w:r>
    </w:p>
    <w:p w:rsidR="00535EB6" w:rsidRPr="009263D7" w:rsidRDefault="00CB4B9E" w:rsidP="00C7129D">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B0620.备注：</w:t>
      </w:r>
      <w:r w:rsidRPr="00CB4B9E">
        <w:rPr>
          <w:rFonts w:ascii="宋体" w:hAnsi="宋体" w:hint="eastAsia"/>
          <w:color w:val="000000" w:themeColor="text1"/>
          <w:szCs w:val="21"/>
        </w:rPr>
        <w:t>其他需要说明的情况。</w:t>
      </w:r>
    </w:p>
    <w:p w:rsidR="00FB0F60" w:rsidRPr="009263D7" w:rsidRDefault="00CB4B9E" w:rsidP="00FB0F60">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3.证券投资</w:t>
      </w:r>
      <w:r w:rsidRPr="00CB4B9E">
        <w:rPr>
          <w:rFonts w:ascii="黑体" w:eastAsia="黑体" w:hAnsi="宋体" w:hint="eastAsia"/>
          <w:color w:val="000000" w:themeColor="text1"/>
          <w:szCs w:val="21"/>
        </w:rPr>
        <w:t>相关概念：</w:t>
      </w:r>
    </w:p>
    <w:p w:rsidR="00FB0F60" w:rsidRPr="009263D7" w:rsidRDefault="00CB4B9E" w:rsidP="00FB0F60">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1）股本证券：包括上市股份和非上市但可交易的股份，具体表现为股份、股票、参股、存托凭证或类似单据等。</w:t>
      </w:r>
      <w:r w:rsidRPr="00CB4B9E">
        <w:rPr>
          <w:rFonts w:ascii="宋体" w:hAnsi="宋体" w:hint="eastAsia"/>
          <w:color w:val="000000" w:themeColor="text1"/>
          <w:szCs w:val="21"/>
        </w:rPr>
        <w:t>统计内容：</w:t>
      </w:r>
    </w:p>
    <w:tbl>
      <w:tblPr>
        <w:tblW w:w="9440" w:type="dxa"/>
        <w:tblInd w:w="97" w:type="dxa"/>
        <w:tblLook w:val="04A0"/>
      </w:tblPr>
      <w:tblGrid>
        <w:gridCol w:w="4840"/>
        <w:gridCol w:w="4600"/>
      </w:tblGrid>
      <w:tr w:rsidR="00FB0F60"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67C24" w:rsidRPr="009263D7">
        <w:trPr>
          <w:trHeight w:val="1200"/>
        </w:trPr>
        <w:tc>
          <w:tcPr>
            <w:tcW w:w="4840" w:type="dxa"/>
            <w:tcBorders>
              <w:top w:val="nil"/>
              <w:left w:val="nil"/>
              <w:bottom w:val="single" w:sz="4" w:space="0" w:color="auto"/>
              <w:right w:val="single" w:sz="4" w:space="0" w:color="auto"/>
            </w:tcBorders>
            <w:shd w:val="clear" w:color="auto" w:fill="auto"/>
            <w:vAlign w:val="center"/>
          </w:tcPr>
          <w:p w:rsidR="00F67C24" w:rsidRPr="009263D7" w:rsidRDefault="00CB4B9E" w:rsidP="00F0060A">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1.上市股份和非上市但可交易（流通）的股份，且本统计期初或期末跨境持有的表决权比例均在10%以下,</w:t>
            </w:r>
            <w:r w:rsidRPr="00CB4B9E">
              <w:rPr>
                <w:color w:val="000000" w:themeColor="text1"/>
              </w:rPr>
              <w:t xml:space="preserve"> </w:t>
            </w:r>
            <w:r w:rsidRPr="00CB4B9E">
              <w:rPr>
                <w:rFonts w:ascii="宋体" w:hAnsi="宋体" w:cs="宋体" w:hint="eastAsia"/>
                <w:color w:val="000000" w:themeColor="text1"/>
                <w:kern w:val="0"/>
                <w:sz w:val="18"/>
                <w:szCs w:val="18"/>
              </w:rPr>
              <w:t>，包括普通股和参与性优先股</w:t>
            </w:r>
            <w:r w:rsidRPr="00CB4B9E">
              <w:rPr>
                <w:rFonts w:ascii="宋体" w:hAnsi="宋体" w:cs="宋体"/>
                <w:color w:val="000000" w:themeColor="text1"/>
                <w:kern w:val="0"/>
                <w:sz w:val="18"/>
                <w:szCs w:val="18"/>
              </w:rPr>
              <w:t>。其中，上市股份指在交易所上市的股份，有时被称为挂牌股份。非上市但可交易（流通）的股权包括公司股权、投资于上市公司的私募股权和风险资本等。</w:t>
            </w:r>
          </w:p>
        </w:tc>
        <w:tc>
          <w:tcPr>
            <w:tcW w:w="4600" w:type="dxa"/>
            <w:tcBorders>
              <w:top w:val="nil"/>
              <w:left w:val="nil"/>
              <w:bottom w:val="single" w:sz="4" w:space="0" w:color="auto"/>
              <w:right w:val="nil"/>
            </w:tcBorders>
            <w:shd w:val="clear" w:color="auto" w:fill="auto"/>
            <w:vAlign w:val="center"/>
          </w:tcPr>
          <w:p w:rsidR="00F67C24" w:rsidRPr="009263D7" w:rsidRDefault="00CB4B9E" w:rsidP="00F0060A">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1.非证券形式的股权。如，在非公司制机构中的股权。所谓准公司或非公司制机构，指分支机构、信托、有限责任和其他合伙企业、非公司型基金以及拥有不动产和其他自然资源的名义单位。</w:t>
            </w:r>
          </w:p>
        </w:tc>
      </w:tr>
      <w:tr w:rsidR="00F67C24"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F67C24" w:rsidRPr="009263D7" w:rsidRDefault="00F67C24" w:rsidP="008E2D8C">
            <w:pPr>
              <w:widowControl/>
              <w:jc w:val="left"/>
              <w:rPr>
                <w:rFonts w:ascii="宋体" w:hAnsi="宋体" w:cs="宋体"/>
                <w:color w:val="000000" w:themeColor="text1"/>
                <w:kern w:val="0"/>
                <w:sz w:val="18"/>
                <w:szCs w:val="18"/>
              </w:rPr>
            </w:pPr>
          </w:p>
        </w:tc>
        <w:tc>
          <w:tcPr>
            <w:tcW w:w="4600" w:type="dxa"/>
            <w:tcBorders>
              <w:top w:val="nil"/>
              <w:left w:val="nil"/>
              <w:bottom w:val="single" w:sz="4" w:space="0" w:color="auto"/>
              <w:right w:val="nil"/>
            </w:tcBorders>
            <w:shd w:val="clear" w:color="auto" w:fill="auto"/>
            <w:vAlign w:val="center"/>
          </w:tcPr>
          <w:p w:rsidR="00F67C24" w:rsidRPr="009263D7" w:rsidRDefault="00CB4B9E" w:rsidP="00F0060A">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2.非参与性优先股、购股权、期权、认股权证和其他衍生工具、根据回购协议买入的股权证券、根据证券出借安排获得的股权证券。</w:t>
            </w:r>
          </w:p>
        </w:tc>
      </w:tr>
      <w:tr w:rsidR="00F67C24" w:rsidRPr="009263D7">
        <w:trPr>
          <w:trHeight w:val="735"/>
        </w:trPr>
        <w:tc>
          <w:tcPr>
            <w:tcW w:w="4840" w:type="dxa"/>
            <w:tcBorders>
              <w:top w:val="nil"/>
              <w:left w:val="nil"/>
              <w:bottom w:val="single" w:sz="8" w:space="0" w:color="auto"/>
              <w:right w:val="single" w:sz="4" w:space="0" w:color="auto"/>
            </w:tcBorders>
            <w:shd w:val="clear" w:color="auto" w:fill="auto"/>
            <w:vAlign w:val="center"/>
          </w:tcPr>
          <w:p w:rsidR="00F67C24" w:rsidRPr="009263D7" w:rsidRDefault="00F67C24" w:rsidP="008E2D8C">
            <w:pPr>
              <w:widowControl/>
              <w:jc w:val="left"/>
              <w:rPr>
                <w:rFonts w:ascii="宋体" w:hAnsi="宋体" w:cs="宋体"/>
                <w:color w:val="000000" w:themeColor="text1"/>
                <w:kern w:val="0"/>
                <w:sz w:val="18"/>
                <w:szCs w:val="18"/>
              </w:rPr>
            </w:pPr>
          </w:p>
        </w:tc>
        <w:tc>
          <w:tcPr>
            <w:tcW w:w="4600" w:type="dxa"/>
            <w:tcBorders>
              <w:top w:val="nil"/>
              <w:left w:val="nil"/>
              <w:bottom w:val="single" w:sz="8" w:space="0" w:color="auto"/>
              <w:right w:val="nil"/>
            </w:tcBorders>
            <w:shd w:val="clear" w:color="auto" w:fill="auto"/>
            <w:vAlign w:val="center"/>
          </w:tcPr>
          <w:p w:rsidR="00F67C24" w:rsidRPr="009263D7" w:rsidRDefault="00F67C24" w:rsidP="008E2D8C">
            <w:pPr>
              <w:widowControl/>
              <w:jc w:val="left"/>
              <w:rPr>
                <w:rFonts w:ascii="宋体" w:hAnsi="宋体" w:cs="宋体"/>
                <w:color w:val="000000" w:themeColor="text1"/>
                <w:kern w:val="0"/>
                <w:sz w:val="18"/>
                <w:szCs w:val="18"/>
              </w:rPr>
            </w:pPr>
          </w:p>
        </w:tc>
      </w:tr>
    </w:tbl>
    <w:p w:rsidR="00FB0F60" w:rsidRPr="009263D7" w:rsidRDefault="00CB4B9E" w:rsidP="00FB0F60">
      <w:pPr>
        <w:spacing w:line="360" w:lineRule="auto"/>
        <w:ind w:firstLineChars="200" w:firstLine="420"/>
        <w:jc w:val="left"/>
        <w:rPr>
          <w:rFonts w:ascii="宋体" w:hAnsi="宋体"/>
          <w:color w:val="000000" w:themeColor="text1"/>
        </w:rPr>
      </w:pPr>
      <w:r w:rsidRPr="00CB4B9E">
        <w:rPr>
          <w:rFonts w:ascii="宋体" w:hAnsi="宋体" w:hint="eastAsia"/>
          <w:color w:val="000000" w:themeColor="text1"/>
        </w:rPr>
        <w:t>（</w:t>
      </w:r>
      <w:r w:rsidRPr="00CB4B9E">
        <w:rPr>
          <w:rFonts w:ascii="宋体" w:hAnsi="宋体"/>
          <w:color w:val="000000" w:themeColor="text1"/>
        </w:rPr>
        <w:t>2）投资基金份额/单位：投资基金是指投资者将资金集合起来，投资于金融或非金融资产或两者都投资的集体投资业务。投资基金份额/单位指共同基金等发行的份额和单位信托，而不是它们可能持有的股份。包括货币市场基金份额/单位和非货币市场投资基金份额/单位。</w:t>
      </w:r>
      <w:r w:rsidRPr="00CB4B9E">
        <w:rPr>
          <w:rFonts w:ascii="宋体" w:hAnsi="宋体" w:hint="eastAsia"/>
          <w:color w:val="000000" w:themeColor="text1"/>
        </w:rPr>
        <w:t>统计内容：</w:t>
      </w:r>
    </w:p>
    <w:tbl>
      <w:tblPr>
        <w:tblW w:w="0" w:type="auto"/>
        <w:tblBorders>
          <w:top w:val="single" w:sz="4" w:space="0" w:color="000000"/>
          <w:bottom w:val="single" w:sz="4" w:space="0" w:color="000000"/>
          <w:insideH w:val="single" w:sz="4" w:space="0" w:color="000000"/>
          <w:insideV w:val="single" w:sz="4" w:space="0" w:color="000000"/>
        </w:tblBorders>
        <w:tblLook w:val="04A0"/>
      </w:tblPr>
      <w:tblGrid>
        <w:gridCol w:w="4814"/>
        <w:gridCol w:w="4815"/>
      </w:tblGrid>
      <w:tr w:rsidR="00FB0F60" w:rsidRPr="009263D7">
        <w:tc>
          <w:tcPr>
            <w:tcW w:w="4814" w:type="dxa"/>
          </w:tcPr>
          <w:p w:rsidR="00FB0F60" w:rsidRPr="009263D7" w:rsidRDefault="00CB4B9E" w:rsidP="008E2D8C">
            <w:pPr>
              <w:jc w:val="center"/>
              <w:rPr>
                <w:rFonts w:ascii="宋体" w:hAnsi="宋体"/>
                <w:color w:val="000000" w:themeColor="text1"/>
              </w:rPr>
            </w:pPr>
            <w:r w:rsidRPr="00CB4B9E">
              <w:rPr>
                <w:rFonts w:ascii="宋体" w:hAnsi="宋体" w:cs="宋体" w:hint="eastAsia"/>
                <w:b/>
                <w:bCs/>
                <w:color w:val="000000" w:themeColor="text1"/>
                <w:kern w:val="0"/>
                <w:sz w:val="20"/>
                <w:szCs w:val="20"/>
              </w:rPr>
              <w:lastRenderedPageBreak/>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815" w:type="dxa"/>
          </w:tcPr>
          <w:p w:rsidR="00FB0F60" w:rsidRPr="009263D7" w:rsidRDefault="00CB4B9E" w:rsidP="008E2D8C">
            <w:pPr>
              <w:jc w:val="center"/>
              <w:rPr>
                <w:rFonts w:ascii="宋体" w:hAnsi="宋体"/>
                <w:color w:val="000000" w:themeColor="text1"/>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B0F60" w:rsidRPr="009263D7">
        <w:tc>
          <w:tcPr>
            <w:tcW w:w="4814" w:type="dxa"/>
          </w:tcPr>
          <w:p w:rsidR="00FB0F60" w:rsidRPr="009263D7" w:rsidRDefault="00CB4B9E" w:rsidP="001C48A4">
            <w:pPr>
              <w:jc w:val="left"/>
              <w:rPr>
                <w:rFonts w:ascii="宋体" w:hAnsi="宋体"/>
                <w:color w:val="000000" w:themeColor="text1"/>
                <w:sz w:val="20"/>
                <w:szCs w:val="20"/>
              </w:rPr>
            </w:pPr>
            <w:r w:rsidRPr="00CB4B9E">
              <w:rPr>
                <w:rFonts w:ascii="宋体" w:hAnsi="宋体" w:cs="宋体"/>
                <w:color w:val="000000" w:themeColor="text1"/>
                <w:kern w:val="0"/>
                <w:sz w:val="20"/>
                <w:szCs w:val="20"/>
              </w:rPr>
              <w:t>1.投资基金份额/单位</w:t>
            </w:r>
            <w:r w:rsidRPr="00CB4B9E">
              <w:rPr>
                <w:rFonts w:ascii="宋体" w:hAnsi="宋体" w:cs="宋体" w:hint="eastAsia"/>
                <w:color w:val="000000" w:themeColor="text1"/>
                <w:kern w:val="0"/>
                <w:sz w:val="20"/>
                <w:szCs w:val="20"/>
              </w:rPr>
              <w:t>，且</w:t>
            </w:r>
            <w:r w:rsidRPr="00CB4B9E">
              <w:rPr>
                <w:rFonts w:ascii="宋体" w:hAnsi="宋体" w:cs="宋体" w:hint="eastAsia"/>
                <w:color w:val="000000" w:themeColor="text1"/>
                <w:kern w:val="0"/>
                <w:sz w:val="18"/>
                <w:szCs w:val="18"/>
              </w:rPr>
              <w:t>本统计期初或期末跨境持有份额的比例</w:t>
            </w:r>
            <w:r w:rsidRPr="00CB4B9E">
              <w:rPr>
                <w:rFonts w:ascii="宋体" w:hAnsi="宋体" w:hint="eastAsia"/>
                <w:color w:val="000000" w:themeColor="text1"/>
                <w:sz w:val="18"/>
                <w:szCs w:val="18"/>
              </w:rPr>
              <w:t>＜</w:t>
            </w:r>
            <w:r w:rsidRPr="00CB4B9E">
              <w:rPr>
                <w:rFonts w:ascii="宋体" w:hAnsi="宋体" w:cs="宋体"/>
                <w:color w:val="000000" w:themeColor="text1"/>
                <w:kern w:val="0"/>
                <w:sz w:val="18"/>
                <w:szCs w:val="18"/>
              </w:rPr>
              <w:t>10%的</w:t>
            </w:r>
            <w:r w:rsidRPr="00CB4B9E">
              <w:rPr>
                <w:rFonts w:ascii="宋体" w:hAnsi="宋体" w:cs="宋体" w:hint="eastAsia"/>
                <w:color w:val="000000" w:themeColor="text1"/>
                <w:kern w:val="0"/>
                <w:sz w:val="20"/>
                <w:szCs w:val="20"/>
              </w:rPr>
              <w:t>。</w:t>
            </w:r>
          </w:p>
        </w:tc>
        <w:tc>
          <w:tcPr>
            <w:tcW w:w="4815" w:type="dxa"/>
          </w:tcPr>
          <w:p w:rsidR="00FB0F60" w:rsidRPr="009263D7" w:rsidRDefault="00FB0F60" w:rsidP="006F7CB0">
            <w:pPr>
              <w:jc w:val="left"/>
              <w:rPr>
                <w:rFonts w:ascii="宋体" w:hAnsi="宋体"/>
                <w:color w:val="000000" w:themeColor="text1"/>
                <w:sz w:val="20"/>
                <w:szCs w:val="20"/>
              </w:rPr>
            </w:pPr>
          </w:p>
        </w:tc>
      </w:tr>
    </w:tbl>
    <w:p w:rsidR="00FB0F60" w:rsidRPr="009263D7" w:rsidRDefault="00CB4B9E" w:rsidP="00FB0F60">
      <w:pPr>
        <w:spacing w:line="360" w:lineRule="auto"/>
        <w:ind w:firstLineChars="200" w:firstLine="420"/>
        <w:jc w:val="left"/>
        <w:rPr>
          <w:color w:val="000000" w:themeColor="text1"/>
        </w:rPr>
      </w:pPr>
      <w:r w:rsidRPr="00CB4B9E">
        <w:rPr>
          <w:rFonts w:ascii="宋体" w:hAnsi="宋体" w:hint="eastAsia"/>
          <w:color w:val="000000" w:themeColor="text1"/>
        </w:rPr>
        <w:t>（</w:t>
      </w:r>
      <w:r w:rsidRPr="00CB4B9E">
        <w:rPr>
          <w:rFonts w:ascii="宋体" w:hAnsi="宋体"/>
          <w:color w:val="000000" w:themeColor="text1"/>
        </w:rPr>
        <w:t>3）债务证券:</w:t>
      </w:r>
      <w:r w:rsidRPr="00CB4B9E">
        <w:rPr>
          <w:rFonts w:hint="eastAsia"/>
          <w:color w:val="000000" w:themeColor="text1"/>
        </w:rPr>
        <w:t>可流通的债务工具，是证明其持有人（债权人）有权在未来某个（些）时点向其发行人（债务人）收回本金或收取利息的凭证。统计内容：</w:t>
      </w:r>
    </w:p>
    <w:tbl>
      <w:tblPr>
        <w:tblW w:w="9440" w:type="dxa"/>
        <w:tblInd w:w="97" w:type="dxa"/>
        <w:tblLook w:val="04A0"/>
      </w:tblPr>
      <w:tblGrid>
        <w:gridCol w:w="4840"/>
        <w:gridCol w:w="4600"/>
      </w:tblGrid>
      <w:tr w:rsidR="00FB0F60" w:rsidRPr="009263D7">
        <w:trPr>
          <w:trHeight w:val="285"/>
        </w:trPr>
        <w:tc>
          <w:tcPr>
            <w:tcW w:w="4840" w:type="dxa"/>
            <w:tcBorders>
              <w:top w:val="single" w:sz="8" w:space="0" w:color="auto"/>
              <w:left w:val="nil"/>
              <w:bottom w:val="nil"/>
              <w:right w:val="single" w:sz="8" w:space="0" w:color="auto"/>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nil"/>
              <w:right w:val="nil"/>
            </w:tcBorders>
            <w:shd w:val="clear" w:color="auto" w:fill="auto"/>
            <w:noWrap/>
            <w:vAlign w:val="center"/>
          </w:tcPr>
          <w:p w:rsidR="00FB0F60"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B0F60" w:rsidRPr="009263D7">
        <w:trPr>
          <w:trHeight w:val="720"/>
        </w:trPr>
        <w:tc>
          <w:tcPr>
            <w:tcW w:w="4840" w:type="dxa"/>
            <w:tcBorders>
              <w:top w:val="single" w:sz="4" w:space="0" w:color="auto"/>
              <w:left w:val="nil"/>
              <w:bottom w:val="single" w:sz="4" w:space="0" w:color="auto"/>
              <w:right w:val="single" w:sz="4" w:space="0" w:color="auto"/>
            </w:tcBorders>
            <w:shd w:val="clear" w:color="auto" w:fill="auto"/>
            <w:vAlign w:val="center"/>
          </w:tcPr>
          <w:p w:rsidR="000A1871" w:rsidRPr="009263D7" w:rsidRDefault="00CB4B9E" w:rsidP="001173F7">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w:t>
            </w:r>
            <w:r w:rsidRPr="00CB4B9E">
              <w:rPr>
                <w:rFonts w:ascii="宋体" w:hAnsi="宋体" w:cs="宋体" w:hint="eastAsia"/>
                <w:color w:val="000000" w:themeColor="text1"/>
                <w:kern w:val="0"/>
                <w:sz w:val="20"/>
                <w:szCs w:val="20"/>
              </w:rPr>
              <w:t>可流通的债务工具，包括各种短期和中长期债券、可流通的贷款、非参与性优先股、可转债等。其中，跨境买断或由境内银行承兑的银行承兑汇票纳入</w:t>
            </w:r>
            <w:r w:rsidRPr="00CB4B9E">
              <w:rPr>
                <w:rFonts w:ascii="宋体" w:hAnsi="宋体" w:cs="宋体"/>
                <w:color w:val="000000" w:themeColor="text1"/>
                <w:kern w:val="0"/>
                <w:sz w:val="20"/>
                <w:szCs w:val="20"/>
              </w:rPr>
              <w:t>F01表和F02表统计，本表不再重复统计。</w:t>
            </w:r>
          </w:p>
        </w:tc>
        <w:tc>
          <w:tcPr>
            <w:tcW w:w="4600" w:type="dxa"/>
            <w:tcBorders>
              <w:top w:val="single" w:sz="4" w:space="0" w:color="auto"/>
              <w:left w:val="nil"/>
              <w:bottom w:val="single" w:sz="4" w:space="0" w:color="auto"/>
              <w:right w:val="nil"/>
            </w:tcBorders>
            <w:shd w:val="clear" w:color="auto" w:fill="auto"/>
            <w:vAlign w:val="center"/>
          </w:tcPr>
          <w:p w:rsidR="00FB0F60" w:rsidRPr="009263D7" w:rsidRDefault="00CB4B9E" w:rsidP="001C48A4">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1.不可流通的债务工具</w:t>
            </w:r>
            <w:r w:rsidRPr="00CB4B9E">
              <w:rPr>
                <w:rFonts w:ascii="宋体" w:hAnsi="宋体" w:cs="宋体" w:hint="eastAsia"/>
                <w:color w:val="000000" w:themeColor="text1"/>
                <w:kern w:val="0"/>
                <w:sz w:val="20"/>
                <w:szCs w:val="20"/>
              </w:rPr>
              <w:t>，包括但不限于不可流通的贷款。</w:t>
            </w:r>
          </w:p>
        </w:tc>
      </w:tr>
    </w:tbl>
    <w:p w:rsidR="00FB0F60" w:rsidRPr="009263D7" w:rsidRDefault="00CB4B9E" w:rsidP="00FB0F60">
      <w:pPr>
        <w:spacing w:line="360" w:lineRule="auto"/>
        <w:ind w:firstLineChars="200" w:firstLine="420"/>
        <w:jc w:val="left"/>
        <w:rPr>
          <w:color w:val="000000" w:themeColor="text1"/>
        </w:rPr>
      </w:pPr>
      <w:r w:rsidRPr="00CB4B9E">
        <w:rPr>
          <w:rFonts w:hint="eastAsia"/>
          <w:color w:val="000000" w:themeColor="text1"/>
        </w:rPr>
        <w:t>债务证券统计常见名词解释见下文</w:t>
      </w:r>
      <w:r w:rsidRPr="00CB4B9E">
        <w:rPr>
          <w:color w:val="000000" w:themeColor="text1"/>
        </w:rPr>
        <w:t>A-G</w:t>
      </w:r>
      <w:r w:rsidRPr="00CB4B9E">
        <w:rPr>
          <w:rFonts w:hint="eastAsia"/>
          <w:color w:val="000000" w:themeColor="text1"/>
        </w:rPr>
        <w:t>：</w:t>
      </w:r>
    </w:p>
    <w:p w:rsidR="00A02E64" w:rsidRPr="009263D7" w:rsidDel="00A02E64" w:rsidRDefault="00CB4B9E" w:rsidP="00A02E64">
      <w:pPr>
        <w:spacing w:line="360" w:lineRule="auto"/>
        <w:ind w:firstLineChars="200" w:firstLine="420"/>
        <w:jc w:val="left"/>
        <w:rPr>
          <w:color w:val="000000" w:themeColor="text1"/>
        </w:rPr>
      </w:pPr>
      <w:r w:rsidRPr="00CB4B9E">
        <w:rPr>
          <w:color w:val="000000" w:themeColor="text1"/>
        </w:rPr>
        <w:t>A.</w:t>
      </w:r>
      <w:r w:rsidRPr="00CB4B9E">
        <w:rPr>
          <w:rFonts w:hint="eastAsia"/>
          <w:color w:val="000000" w:themeColor="text1"/>
        </w:rPr>
        <w:t>债券</w:t>
      </w:r>
      <w:r w:rsidRPr="00CB4B9E">
        <w:rPr>
          <w:rFonts w:eastAsia="华文楷体" w:hint="eastAsia"/>
          <w:color w:val="000000" w:themeColor="text1"/>
        </w:rPr>
        <w:t>：</w:t>
      </w:r>
      <w:r w:rsidRPr="00CB4B9E">
        <w:rPr>
          <w:rFonts w:ascii="宋体" w:hAnsi="宋体" w:hint="eastAsia"/>
          <w:color w:val="000000" w:themeColor="text1"/>
        </w:rPr>
        <w:t>一类</w:t>
      </w:r>
      <w:r w:rsidRPr="00CB4B9E">
        <w:rPr>
          <w:rFonts w:hint="eastAsia"/>
          <w:color w:val="000000" w:themeColor="text1"/>
        </w:rPr>
        <w:t>可流通的债务工具，用以证明其持有人（债权人）有权在未来某个（些）时点向其发行人（债务人）收回本金或收取利息的凭证。根据其到期期限，可分为国库券、银行承兑汇票、本票、商业票据、</w:t>
      </w:r>
      <w:r w:rsidRPr="00CB4B9E">
        <w:rPr>
          <w:rFonts w:hAnsi="宋体"/>
          <w:color w:val="000000" w:themeColor="text1"/>
        </w:rPr>
        <w:t>合同偿还期为一年或更短的大额存单</w:t>
      </w:r>
      <w:r w:rsidRPr="00CB4B9E">
        <w:rPr>
          <w:rFonts w:hint="eastAsia"/>
          <w:color w:val="000000" w:themeColor="text1"/>
        </w:rPr>
        <w:t>等短期债券，以及国债、浮动利率债券和合同偿还期超过一年的可转让大额存单等长期债券。</w:t>
      </w:r>
    </w:p>
    <w:p w:rsidR="00FB0F60" w:rsidRPr="009263D7" w:rsidRDefault="00CB4B9E" w:rsidP="00FB0F60">
      <w:pPr>
        <w:spacing w:line="360" w:lineRule="auto"/>
        <w:ind w:firstLineChars="200" w:firstLine="420"/>
        <w:jc w:val="left"/>
        <w:rPr>
          <w:color w:val="000000" w:themeColor="text1"/>
        </w:rPr>
      </w:pPr>
      <w:r w:rsidRPr="00CB4B9E">
        <w:rPr>
          <w:color w:val="000000" w:themeColor="text1"/>
        </w:rPr>
        <w:t>B.</w:t>
      </w:r>
      <w:r w:rsidRPr="00CB4B9E">
        <w:rPr>
          <w:rFonts w:hint="eastAsia"/>
          <w:color w:val="000000" w:themeColor="text1"/>
        </w:rPr>
        <w:t>可流通</w:t>
      </w:r>
      <w:r w:rsidRPr="00CB4B9E">
        <w:rPr>
          <w:rFonts w:hAnsi="宋体"/>
          <w:color w:val="000000" w:themeColor="text1"/>
        </w:rPr>
        <w:t>的贷款：</w:t>
      </w:r>
      <w:r w:rsidRPr="00CB4B9E">
        <w:rPr>
          <w:rFonts w:hAnsi="宋体" w:hint="eastAsia"/>
          <w:color w:val="000000" w:themeColor="text1"/>
        </w:rPr>
        <w:t>存在二级市场交易（包括具有做市商、有频繁报价等特征）、具有可流通性的贷款属于债务证券类工具，如大额可转让存单（</w:t>
      </w:r>
      <w:r w:rsidRPr="00CB4B9E">
        <w:rPr>
          <w:rFonts w:hAnsi="宋体"/>
          <w:color w:val="000000" w:themeColor="text1"/>
        </w:rPr>
        <w:t>CDs</w:t>
      </w:r>
      <w:r w:rsidRPr="00CB4B9E">
        <w:rPr>
          <w:rFonts w:hAnsi="宋体" w:hint="eastAsia"/>
          <w:color w:val="000000" w:themeColor="text1"/>
        </w:rPr>
        <w:t>）</w:t>
      </w:r>
      <w:r w:rsidRPr="00CB4B9E">
        <w:rPr>
          <w:rFonts w:hAnsi="宋体"/>
          <w:color w:val="000000" w:themeColor="text1"/>
        </w:rPr>
        <w:t>。</w:t>
      </w:r>
    </w:p>
    <w:p w:rsidR="00A71483" w:rsidRPr="009263D7" w:rsidRDefault="00CB4B9E" w:rsidP="00FB0F60">
      <w:pPr>
        <w:spacing w:line="360" w:lineRule="auto"/>
        <w:ind w:firstLineChars="200" w:firstLine="420"/>
        <w:jc w:val="left"/>
        <w:rPr>
          <w:rFonts w:hAnsi="宋体"/>
          <w:color w:val="000000" w:themeColor="text1"/>
        </w:rPr>
      </w:pPr>
      <w:r w:rsidRPr="00CB4B9E">
        <w:rPr>
          <w:color w:val="000000" w:themeColor="text1"/>
        </w:rPr>
        <w:t>C.</w:t>
      </w:r>
      <w:r w:rsidRPr="00CB4B9E">
        <w:rPr>
          <w:rFonts w:hAnsi="宋体"/>
          <w:color w:val="000000" w:themeColor="text1"/>
        </w:rPr>
        <w:t>非参与</w:t>
      </w:r>
      <w:r w:rsidRPr="00CB4B9E">
        <w:rPr>
          <w:rFonts w:hAnsi="宋体" w:hint="eastAsia"/>
          <w:color w:val="000000" w:themeColor="text1"/>
        </w:rPr>
        <w:t>性</w:t>
      </w:r>
      <w:r w:rsidRPr="00CB4B9E">
        <w:rPr>
          <w:rFonts w:hAnsi="宋体"/>
          <w:color w:val="000000" w:themeColor="text1"/>
        </w:rPr>
        <w:t>优先股票或股份：是支付固定收入，但不允许在一个公司型企业解散时参与剩余价值分配的股票或股份。这些股份列为债务证券。</w:t>
      </w:r>
    </w:p>
    <w:p w:rsidR="00FB0F60" w:rsidRPr="009263D7" w:rsidRDefault="00CB4B9E" w:rsidP="00FB0F60">
      <w:pPr>
        <w:spacing w:line="360" w:lineRule="auto"/>
        <w:ind w:firstLineChars="200" w:firstLine="420"/>
        <w:jc w:val="left"/>
        <w:rPr>
          <w:color w:val="000000" w:themeColor="text1"/>
        </w:rPr>
      </w:pPr>
      <w:r w:rsidRPr="00CB4B9E">
        <w:rPr>
          <w:rFonts w:hAnsi="宋体"/>
          <w:color w:val="000000" w:themeColor="text1"/>
        </w:rPr>
        <w:t>D</w:t>
      </w:r>
      <w:r w:rsidRPr="00CB4B9E">
        <w:rPr>
          <w:rFonts w:hAnsi="宋体" w:hint="eastAsia"/>
          <w:color w:val="000000" w:themeColor="text1"/>
        </w:rPr>
        <w:t>．可转债：是根据约定条件</w:t>
      </w:r>
      <w:r w:rsidRPr="00CB4B9E">
        <w:rPr>
          <w:rFonts w:hAnsi="宋体"/>
          <w:color w:val="000000" w:themeColor="text1"/>
        </w:rPr>
        <w:t>可转换为股权的债券</w:t>
      </w:r>
      <w:r w:rsidRPr="00CB4B9E">
        <w:rPr>
          <w:rFonts w:hAnsi="宋体" w:hint="eastAsia"/>
          <w:color w:val="000000" w:themeColor="text1"/>
        </w:rPr>
        <w:t>，</w:t>
      </w:r>
      <w:r w:rsidRPr="00CB4B9E">
        <w:rPr>
          <w:rFonts w:hAnsi="宋体"/>
          <w:color w:val="000000" w:themeColor="text1"/>
        </w:rPr>
        <w:t>在其被转换前</w:t>
      </w:r>
      <w:r w:rsidRPr="00CB4B9E">
        <w:rPr>
          <w:rFonts w:hAnsi="宋体" w:hint="eastAsia"/>
          <w:color w:val="000000" w:themeColor="text1"/>
        </w:rPr>
        <w:t>属于</w:t>
      </w:r>
      <w:r w:rsidRPr="00CB4B9E">
        <w:rPr>
          <w:rFonts w:hAnsi="宋体"/>
          <w:color w:val="000000" w:themeColor="text1"/>
        </w:rPr>
        <w:t>债务证券。</w:t>
      </w:r>
    </w:p>
    <w:p w:rsidR="00FB0F60" w:rsidRPr="009263D7" w:rsidRDefault="00CB4B9E" w:rsidP="00FB0F60">
      <w:pPr>
        <w:spacing w:line="360" w:lineRule="auto"/>
        <w:ind w:firstLineChars="200" w:firstLine="420"/>
        <w:jc w:val="left"/>
        <w:rPr>
          <w:color w:val="000000" w:themeColor="text1"/>
        </w:rPr>
      </w:pPr>
      <w:r w:rsidRPr="00CB4B9E">
        <w:rPr>
          <w:color w:val="000000" w:themeColor="text1"/>
        </w:rPr>
        <w:t>E.</w:t>
      </w:r>
      <w:r w:rsidRPr="00CB4B9E">
        <w:rPr>
          <w:rFonts w:hAnsi="宋体"/>
          <w:color w:val="000000" w:themeColor="text1"/>
        </w:rPr>
        <w:t>资产担保证券、债务抵押证券（</w:t>
      </w:r>
      <w:r w:rsidRPr="00CB4B9E">
        <w:rPr>
          <w:color w:val="000000" w:themeColor="text1"/>
        </w:rPr>
        <w:t>CDO</w:t>
      </w:r>
      <w:r w:rsidRPr="00CB4B9E">
        <w:rPr>
          <w:rFonts w:hAnsi="宋体"/>
          <w:color w:val="000000" w:themeColor="text1"/>
        </w:rPr>
        <w:t>）和抵押担保证券（</w:t>
      </w:r>
      <w:r w:rsidRPr="00CB4B9E">
        <w:rPr>
          <w:color w:val="000000" w:themeColor="text1"/>
        </w:rPr>
        <w:t>CMO</w:t>
      </w:r>
      <w:r w:rsidRPr="00CB4B9E">
        <w:rPr>
          <w:rFonts w:hAnsi="宋体"/>
          <w:color w:val="000000" w:themeColor="text1"/>
        </w:rPr>
        <w:t>）：是由特定资产或收入流为利息和本金</w:t>
      </w:r>
      <w:r w:rsidRPr="00CB4B9E">
        <w:rPr>
          <w:rFonts w:hAnsi="宋体" w:hint="eastAsia"/>
          <w:color w:val="000000" w:themeColor="text1"/>
        </w:rPr>
        <w:t>支付</w:t>
      </w:r>
      <w:r w:rsidRPr="00CB4B9E">
        <w:rPr>
          <w:rFonts w:hAnsi="宋体"/>
          <w:color w:val="000000" w:themeColor="text1"/>
        </w:rPr>
        <w:t>提供支持</w:t>
      </w:r>
      <w:r w:rsidRPr="00CB4B9E">
        <w:rPr>
          <w:rFonts w:hAnsi="宋体" w:hint="eastAsia"/>
          <w:color w:val="000000" w:themeColor="text1"/>
        </w:rPr>
        <w:t>，而产品购买者</w:t>
      </w:r>
      <w:r w:rsidRPr="00CB4B9E">
        <w:rPr>
          <w:rFonts w:hAnsi="宋体"/>
          <w:color w:val="000000" w:themeColor="text1"/>
        </w:rPr>
        <w:t>对基础资产的剩余价值没有要求权的各种安排。这些支持包括：抵押品、房屋净值贷款、学生贷款和其他债务，以及被租赁资产组合。这些资产的证券化为原本不流动的资产提供了流动性。</w:t>
      </w:r>
    </w:p>
    <w:p w:rsidR="00FB0F60" w:rsidRPr="009263D7" w:rsidRDefault="00CB4B9E" w:rsidP="00FB0F60">
      <w:pPr>
        <w:spacing w:line="360" w:lineRule="auto"/>
        <w:ind w:firstLineChars="200" w:firstLine="420"/>
        <w:jc w:val="left"/>
        <w:rPr>
          <w:color w:val="000000" w:themeColor="text1"/>
        </w:rPr>
      </w:pPr>
      <w:r w:rsidRPr="00CB4B9E">
        <w:rPr>
          <w:color w:val="000000" w:themeColor="text1"/>
        </w:rPr>
        <w:t>F.</w:t>
      </w:r>
      <w:r w:rsidRPr="00CB4B9E">
        <w:rPr>
          <w:rFonts w:hAnsi="宋体"/>
          <w:color w:val="000000" w:themeColor="text1"/>
        </w:rPr>
        <w:t>指数挂钩证券：指证券的本金、息票或本金和息票</w:t>
      </w:r>
      <w:r w:rsidRPr="00CB4B9E">
        <w:rPr>
          <w:rFonts w:hAnsi="宋体" w:hint="eastAsia"/>
          <w:color w:val="000000" w:themeColor="text1"/>
        </w:rPr>
        <w:t>金额</w:t>
      </w:r>
      <w:r w:rsidRPr="00CB4B9E">
        <w:rPr>
          <w:rFonts w:hAnsi="宋体"/>
          <w:color w:val="000000" w:themeColor="text1"/>
        </w:rPr>
        <w:t>同时与另一个项目挂钩，例如：价格指数或某商品的价格。</w:t>
      </w:r>
    </w:p>
    <w:p w:rsidR="00FB0F60" w:rsidRPr="009263D7" w:rsidRDefault="00CB4B9E" w:rsidP="00FB0F60">
      <w:pPr>
        <w:spacing w:line="360" w:lineRule="auto"/>
        <w:ind w:firstLineChars="200" w:firstLine="420"/>
        <w:jc w:val="left"/>
        <w:rPr>
          <w:rFonts w:hAnsi="宋体"/>
          <w:color w:val="000000" w:themeColor="text1"/>
        </w:rPr>
      </w:pPr>
      <w:r w:rsidRPr="00CB4B9E">
        <w:rPr>
          <w:color w:val="000000" w:themeColor="text1"/>
        </w:rPr>
        <w:t>G.</w:t>
      </w:r>
      <w:r w:rsidRPr="00CB4B9E">
        <w:rPr>
          <w:rFonts w:hAnsi="宋体"/>
          <w:color w:val="000000" w:themeColor="text1"/>
        </w:rPr>
        <w:t>本息分离证券：指将一个带有本金和息票支付的证券转化为一系列零息债券，且该系列零息债券的到期日与原债券息票的（一个或多个）付款日和（一份或多份）本金的偿还日相匹配。该证券又称除息证券。本息分离是为了按照不同于原始证券现金流组合的方式，满足投资者对特定现金流的偏好。本息分离证券的发行人可能不同于原有发行人。</w:t>
      </w:r>
    </w:p>
    <w:p w:rsidR="00D83316" w:rsidRPr="009263D7" w:rsidRDefault="00D83316" w:rsidP="002616CC">
      <w:pPr>
        <w:spacing w:line="360" w:lineRule="auto"/>
        <w:jc w:val="left"/>
        <w:rPr>
          <w:rFonts w:hAnsi="宋体"/>
          <w:color w:val="000000" w:themeColor="text1"/>
        </w:rPr>
      </w:pPr>
    </w:p>
    <w:p w:rsidR="00CB7316" w:rsidRPr="009263D7" w:rsidRDefault="00CB4B9E" w:rsidP="00CB7316">
      <w:pPr>
        <w:spacing w:line="360" w:lineRule="auto"/>
        <w:ind w:firstLineChars="200" w:firstLine="480"/>
        <w:rPr>
          <w:rFonts w:ascii="黑体" w:eastAsia="黑体"/>
          <w:color w:val="000000" w:themeColor="text1"/>
          <w:sz w:val="24"/>
        </w:rPr>
      </w:pPr>
      <w:r w:rsidRPr="00CB4B9E">
        <w:rPr>
          <w:rFonts w:ascii="黑体" w:eastAsia="黑体" w:hint="eastAsia"/>
          <w:color w:val="000000" w:themeColor="text1"/>
          <w:sz w:val="24"/>
        </w:rPr>
        <w:t>（四）金融衍生产品及雇员认股权</w:t>
      </w:r>
    </w:p>
    <w:p w:rsidR="00CB7316" w:rsidRPr="009263D7" w:rsidRDefault="00CB4B9E" w:rsidP="0035150A">
      <w:pPr>
        <w:spacing w:line="360" w:lineRule="auto"/>
        <w:ind w:firstLineChars="200" w:firstLine="420"/>
        <w:rPr>
          <w:rFonts w:ascii="黑体" w:eastAsia="黑体"/>
          <w:color w:val="000000" w:themeColor="text1"/>
        </w:rPr>
      </w:pPr>
      <w:r w:rsidRPr="00CB4B9E">
        <w:rPr>
          <w:rFonts w:ascii="黑体" w:eastAsia="黑体"/>
          <w:color w:val="000000" w:themeColor="text1"/>
        </w:rPr>
        <w:t>1.</w:t>
      </w:r>
      <w:r w:rsidRPr="00CB4B9E">
        <w:rPr>
          <w:rFonts w:ascii="黑体" w:eastAsia="黑体" w:hint="eastAsia"/>
          <w:color w:val="000000" w:themeColor="text1"/>
        </w:rPr>
        <w:t>统计内容：</w:t>
      </w:r>
    </w:p>
    <w:p w:rsidR="00CB7316" w:rsidRPr="009263D7" w:rsidRDefault="00CB4B9E" w:rsidP="00CB7316">
      <w:pPr>
        <w:spacing w:line="360" w:lineRule="auto"/>
        <w:ind w:firstLineChars="200" w:firstLine="420"/>
        <w:rPr>
          <w:rFonts w:ascii="宋体" w:hAnsi="宋体"/>
          <w:color w:val="000000" w:themeColor="text1"/>
        </w:rPr>
      </w:pPr>
      <w:r w:rsidRPr="00CB4B9E">
        <w:rPr>
          <w:rFonts w:ascii="宋体" w:hAnsi="宋体" w:hint="eastAsia"/>
          <w:color w:val="000000" w:themeColor="text1"/>
        </w:rPr>
        <w:lastRenderedPageBreak/>
        <w:t>本表统计居民与非居民之间开展的金融衍生产品及雇员认股权交易，以及金融衍生产品及雇员认股权的期末余额。金融衍生产品是一种金融工具，该金融工具与另一个特定的金融工具、指标或商品相联系，可以独立在金融市场上针对特定金融风险（例如，利率风险、外汇风险、股权和商品价格风险、信用风险等）进行交易。</w:t>
      </w:r>
    </w:p>
    <w:tbl>
      <w:tblPr>
        <w:tblW w:w="5000" w:type="pct"/>
        <w:tblBorders>
          <w:top w:val="single" w:sz="4" w:space="0" w:color="auto"/>
          <w:bottom w:val="single" w:sz="4" w:space="0" w:color="auto"/>
          <w:insideH w:val="single" w:sz="4" w:space="0" w:color="auto"/>
          <w:insideV w:val="single" w:sz="4" w:space="0" w:color="auto"/>
        </w:tblBorders>
        <w:tblLook w:val="04A0"/>
      </w:tblPr>
      <w:tblGrid>
        <w:gridCol w:w="4684"/>
        <w:gridCol w:w="4945"/>
      </w:tblGrid>
      <w:tr w:rsidR="00CB7316" w:rsidRPr="009263D7">
        <w:trPr>
          <w:trHeight w:val="274"/>
        </w:trPr>
        <w:tc>
          <w:tcPr>
            <w:tcW w:w="2432" w:type="pct"/>
            <w:shd w:val="clear" w:color="auto" w:fill="auto"/>
          </w:tcPr>
          <w:p w:rsidR="00CB7316" w:rsidRPr="009263D7" w:rsidRDefault="00CB4B9E" w:rsidP="008E2D8C">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2568" w:type="pct"/>
            <w:shd w:val="clear" w:color="auto" w:fill="auto"/>
          </w:tcPr>
          <w:p w:rsidR="00CB7316" w:rsidRPr="009263D7" w:rsidRDefault="00CB4B9E" w:rsidP="008E2D8C">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CB7316" w:rsidRPr="009263D7">
        <w:trPr>
          <w:trHeight w:val="274"/>
        </w:trPr>
        <w:tc>
          <w:tcPr>
            <w:tcW w:w="2432" w:type="pct"/>
            <w:shd w:val="clear" w:color="auto" w:fill="auto"/>
            <w:vAlign w:val="center"/>
          </w:tcPr>
          <w:p w:rsidR="00CB7316" w:rsidRPr="009263D7" w:rsidRDefault="00CB4B9E" w:rsidP="0092486E">
            <w:pPr>
              <w:widowControl/>
              <w:rPr>
                <w:rFonts w:ascii="宋体" w:hAnsi="宋体" w:cs="宋体"/>
                <w:color w:val="000000" w:themeColor="text1"/>
                <w:kern w:val="0"/>
                <w:sz w:val="20"/>
                <w:szCs w:val="20"/>
              </w:rPr>
            </w:pPr>
            <w:r w:rsidRPr="00CB4B9E">
              <w:rPr>
                <w:rFonts w:ascii="宋体" w:hAnsi="宋体" w:cs="宋体"/>
                <w:color w:val="000000" w:themeColor="text1"/>
                <w:kern w:val="0"/>
                <w:sz w:val="20"/>
                <w:szCs w:val="20"/>
              </w:rPr>
              <w:t>1.</w:t>
            </w:r>
            <w:r w:rsidRPr="00CB4B9E">
              <w:rPr>
                <w:rFonts w:ascii="宋体" w:hAnsi="宋体" w:cs="宋体" w:hint="eastAsia"/>
                <w:color w:val="000000" w:themeColor="text1"/>
                <w:kern w:val="0"/>
                <w:sz w:val="20"/>
                <w:szCs w:val="20"/>
              </w:rPr>
              <w:t>境内机构和个人与非居民之间开展的远期、期权、期货、掉期、雇员认股权以及各类组合类金融衍生产品交易和存量。</w:t>
            </w:r>
          </w:p>
        </w:tc>
        <w:tc>
          <w:tcPr>
            <w:tcW w:w="2568" w:type="pct"/>
            <w:shd w:val="clear" w:color="auto" w:fill="auto"/>
            <w:vAlign w:val="center"/>
          </w:tcPr>
          <w:p w:rsidR="00CB7316" w:rsidRPr="009263D7" w:rsidRDefault="00CB4B9E" w:rsidP="008E2D8C">
            <w:pPr>
              <w:widowControl/>
              <w:rPr>
                <w:rFonts w:ascii="宋体" w:hAnsi="宋体"/>
                <w:color w:val="000000" w:themeColor="text1"/>
                <w:sz w:val="20"/>
                <w:szCs w:val="20"/>
              </w:rPr>
            </w:pPr>
            <w:r w:rsidRPr="00CB4B9E">
              <w:rPr>
                <w:rFonts w:ascii="宋体" w:hAnsi="宋体"/>
                <w:color w:val="000000" w:themeColor="text1"/>
                <w:sz w:val="20"/>
                <w:szCs w:val="20"/>
              </w:rPr>
              <w:t>1.固定价格的货物和服务。</w:t>
            </w:r>
          </w:p>
        </w:tc>
      </w:tr>
      <w:tr w:rsidR="00CB7316" w:rsidRPr="009263D7">
        <w:trPr>
          <w:trHeight w:val="274"/>
        </w:trPr>
        <w:tc>
          <w:tcPr>
            <w:tcW w:w="2432" w:type="pct"/>
            <w:shd w:val="clear" w:color="auto" w:fill="auto"/>
            <w:vAlign w:val="center"/>
          </w:tcPr>
          <w:p w:rsidR="00CB7316" w:rsidRPr="009263D7" w:rsidRDefault="00CB4B9E" w:rsidP="007C0A10">
            <w:pPr>
              <w:rPr>
                <w:rFonts w:ascii="宋体" w:hAnsi="宋体"/>
                <w:color w:val="000000" w:themeColor="text1"/>
                <w:sz w:val="20"/>
                <w:szCs w:val="20"/>
              </w:rPr>
            </w:pPr>
            <w:r w:rsidRPr="00CB4B9E">
              <w:rPr>
                <w:rFonts w:ascii="宋体" w:hAnsi="宋体" w:cs="宋体"/>
                <w:color w:val="000000" w:themeColor="text1"/>
                <w:kern w:val="0"/>
                <w:sz w:val="20"/>
                <w:szCs w:val="20"/>
              </w:rPr>
              <w:t>2.上述业务如发生在境内交易所（有组织的市场），由境内相关交易所或结算机构代为填报。本机构不再重复申报。</w:t>
            </w:r>
          </w:p>
        </w:tc>
        <w:tc>
          <w:tcPr>
            <w:tcW w:w="2568" w:type="pct"/>
            <w:shd w:val="clear" w:color="auto" w:fill="auto"/>
            <w:vAlign w:val="center"/>
          </w:tcPr>
          <w:p w:rsidR="00CB7316" w:rsidRPr="009263D7" w:rsidRDefault="00CB4B9E" w:rsidP="008E2D8C">
            <w:pPr>
              <w:widowControl/>
              <w:rPr>
                <w:rFonts w:ascii="宋体" w:hAnsi="宋体" w:cs="宋体"/>
                <w:color w:val="000000" w:themeColor="text1"/>
                <w:kern w:val="0"/>
                <w:sz w:val="20"/>
                <w:szCs w:val="20"/>
              </w:rPr>
            </w:pPr>
            <w:r w:rsidRPr="00CB4B9E">
              <w:rPr>
                <w:rFonts w:ascii="宋体" w:hAnsi="宋体"/>
                <w:color w:val="000000" w:themeColor="text1"/>
                <w:sz w:val="20"/>
                <w:szCs w:val="20"/>
              </w:rPr>
              <w:t>2.分担风险而非交易金融风险的产品，如保险和标准化担保。</w:t>
            </w:r>
          </w:p>
        </w:tc>
      </w:tr>
      <w:tr w:rsidR="00CB7316" w:rsidRPr="009263D7">
        <w:trPr>
          <w:trHeight w:val="274"/>
        </w:trPr>
        <w:tc>
          <w:tcPr>
            <w:tcW w:w="2432" w:type="pct"/>
            <w:shd w:val="clear" w:color="auto" w:fill="auto"/>
            <w:vAlign w:val="center"/>
          </w:tcPr>
          <w:p w:rsidR="003D3F41" w:rsidRPr="009263D7" w:rsidRDefault="00CB4B9E" w:rsidP="003D3F41">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3.上述业务如发生在境内场外或境外，境内机构或个人应按照以下先后顺序确定是否报送相关业务：</w:t>
            </w:r>
          </w:p>
          <w:p w:rsidR="003D3F41" w:rsidRPr="009263D7" w:rsidRDefault="00CB4B9E" w:rsidP="003D3F41">
            <w:pPr>
              <w:widowControl/>
              <w:jc w:val="left"/>
              <w:rPr>
                <w:rFonts w:ascii="宋体" w:hAnsi="宋体" w:cs="宋体"/>
                <w:color w:val="000000" w:themeColor="text1"/>
                <w:kern w:val="0"/>
                <w:sz w:val="20"/>
                <w:szCs w:val="20"/>
              </w:rPr>
            </w:pPr>
            <w:r w:rsidRPr="00CB4B9E">
              <w:rPr>
                <w:rFonts w:ascii="宋体" w:hAnsi="宋体" w:cs="宋体" w:hint="eastAsia"/>
                <w:color w:val="000000" w:themeColor="text1"/>
                <w:kern w:val="0"/>
                <w:sz w:val="20"/>
                <w:szCs w:val="20"/>
              </w:rPr>
              <w:t>——有境内托管人的，由境内托管人负责代为报送，本机构（委托人）不再重复申报；</w:t>
            </w:r>
          </w:p>
          <w:p w:rsidR="003D3F41" w:rsidRPr="009263D7" w:rsidRDefault="00CB4B9E" w:rsidP="003D3F41">
            <w:pPr>
              <w:widowControl/>
              <w:jc w:val="left"/>
              <w:rPr>
                <w:rFonts w:ascii="宋体" w:hAnsi="宋体" w:cs="宋体"/>
                <w:color w:val="000000" w:themeColor="text1"/>
                <w:kern w:val="0"/>
                <w:sz w:val="20"/>
                <w:szCs w:val="20"/>
              </w:rPr>
            </w:pPr>
            <w:r w:rsidRPr="00CB4B9E">
              <w:rPr>
                <w:rFonts w:ascii="宋体" w:hAnsi="宋体" w:cs="宋体" w:hint="eastAsia"/>
                <w:color w:val="000000" w:themeColor="text1"/>
                <w:kern w:val="0"/>
                <w:sz w:val="20"/>
                <w:szCs w:val="20"/>
              </w:rPr>
              <w:t>——</w:t>
            </w:r>
            <w:r w:rsidRPr="00CB4B9E">
              <w:rPr>
                <w:rFonts w:ascii="宋体" w:hAnsi="宋体" w:cs="宋体"/>
                <w:color w:val="000000" w:themeColor="text1"/>
                <w:kern w:val="0"/>
                <w:sz w:val="20"/>
                <w:szCs w:val="20"/>
              </w:rPr>
              <w:t>无境内托管人，但相关对外业务</w:t>
            </w:r>
            <w:r w:rsidRPr="00CB4B9E">
              <w:rPr>
                <w:rFonts w:ascii="宋体" w:hAnsi="宋体" w:cs="宋体" w:hint="eastAsia"/>
                <w:color w:val="000000" w:themeColor="text1"/>
                <w:kern w:val="0"/>
                <w:sz w:val="20"/>
                <w:szCs w:val="20"/>
              </w:rPr>
              <w:t>有</w:t>
            </w:r>
            <w:r w:rsidRPr="00CB4B9E">
              <w:rPr>
                <w:rFonts w:ascii="宋体" w:hAnsi="宋体" w:cs="宋体"/>
                <w:color w:val="000000" w:themeColor="text1"/>
                <w:kern w:val="0"/>
                <w:sz w:val="20"/>
                <w:szCs w:val="20"/>
              </w:rPr>
              <w:t>境内代理人</w:t>
            </w:r>
            <w:r w:rsidRPr="00CB4B9E">
              <w:rPr>
                <w:rFonts w:ascii="宋体" w:hAnsi="宋体" w:cs="宋体" w:hint="eastAsia"/>
                <w:color w:val="000000" w:themeColor="text1"/>
                <w:kern w:val="0"/>
                <w:sz w:val="20"/>
                <w:szCs w:val="20"/>
              </w:rPr>
              <w:t>或管理人</w:t>
            </w:r>
            <w:r w:rsidRPr="00CB4B9E">
              <w:rPr>
                <w:rFonts w:ascii="宋体" w:hAnsi="宋体" w:cs="宋体"/>
                <w:color w:val="000000" w:themeColor="text1"/>
                <w:kern w:val="0"/>
                <w:sz w:val="20"/>
                <w:szCs w:val="20"/>
              </w:rPr>
              <w:t>的，由</w:t>
            </w:r>
            <w:r w:rsidRPr="00CB4B9E">
              <w:rPr>
                <w:rFonts w:ascii="宋体" w:hAnsi="宋体" w:cs="宋体" w:hint="eastAsia"/>
                <w:color w:val="000000" w:themeColor="text1"/>
                <w:kern w:val="0"/>
                <w:sz w:val="20"/>
                <w:szCs w:val="20"/>
              </w:rPr>
              <w:t>该</w:t>
            </w:r>
            <w:r w:rsidRPr="00CB4B9E">
              <w:rPr>
                <w:rFonts w:ascii="宋体" w:hAnsi="宋体" w:cs="宋体"/>
                <w:color w:val="000000" w:themeColor="text1"/>
                <w:kern w:val="0"/>
                <w:sz w:val="20"/>
                <w:szCs w:val="20"/>
              </w:rPr>
              <w:t>境内代理人</w:t>
            </w:r>
            <w:r w:rsidRPr="00CB4B9E">
              <w:rPr>
                <w:rFonts w:ascii="宋体" w:hAnsi="宋体" w:cs="宋体" w:hint="eastAsia"/>
                <w:color w:val="000000" w:themeColor="text1"/>
                <w:kern w:val="0"/>
                <w:sz w:val="20"/>
                <w:szCs w:val="20"/>
              </w:rPr>
              <w:t>或管理人</w:t>
            </w:r>
            <w:r w:rsidRPr="00CB4B9E">
              <w:rPr>
                <w:rFonts w:ascii="宋体" w:hAnsi="宋体" w:cs="宋体"/>
                <w:color w:val="000000" w:themeColor="text1"/>
                <w:kern w:val="0"/>
                <w:sz w:val="20"/>
                <w:szCs w:val="20"/>
              </w:rPr>
              <w:t>代为报送</w:t>
            </w:r>
            <w:r w:rsidRPr="00CB4B9E">
              <w:rPr>
                <w:rFonts w:ascii="宋体" w:hAnsi="宋体" w:cs="宋体" w:hint="eastAsia"/>
                <w:color w:val="000000" w:themeColor="text1"/>
                <w:kern w:val="0"/>
                <w:sz w:val="20"/>
                <w:szCs w:val="20"/>
              </w:rPr>
              <w:t>，本机构（被代理人）不再重复申报</w:t>
            </w:r>
            <w:r w:rsidRPr="00CB4B9E">
              <w:rPr>
                <w:rFonts w:ascii="宋体" w:hAnsi="宋体" w:cs="宋体"/>
                <w:color w:val="000000" w:themeColor="text1"/>
                <w:kern w:val="0"/>
                <w:sz w:val="20"/>
                <w:szCs w:val="20"/>
              </w:rPr>
              <w:t>；</w:t>
            </w:r>
          </w:p>
          <w:p w:rsidR="00CB7316" w:rsidRPr="009263D7" w:rsidRDefault="00CB4B9E" w:rsidP="003D3F41">
            <w:pPr>
              <w:widowControl/>
              <w:rPr>
                <w:rFonts w:ascii="宋体" w:hAnsi="宋体" w:cs="宋体"/>
                <w:color w:val="000000" w:themeColor="text1"/>
                <w:kern w:val="0"/>
                <w:sz w:val="20"/>
                <w:szCs w:val="20"/>
              </w:rPr>
            </w:pPr>
            <w:r w:rsidRPr="00CB4B9E">
              <w:rPr>
                <w:rFonts w:ascii="宋体" w:hAnsi="宋体" w:cs="宋体" w:hint="eastAsia"/>
                <w:color w:val="000000" w:themeColor="text1"/>
                <w:kern w:val="0"/>
                <w:sz w:val="20"/>
                <w:szCs w:val="20"/>
              </w:rPr>
              <w:t>——</w:t>
            </w:r>
            <w:r w:rsidRPr="00CB4B9E">
              <w:rPr>
                <w:rFonts w:ascii="宋体" w:hAnsi="宋体" w:cs="宋体"/>
                <w:color w:val="000000" w:themeColor="text1"/>
                <w:kern w:val="0"/>
                <w:sz w:val="20"/>
                <w:szCs w:val="20"/>
              </w:rPr>
              <w:t>既无境内托管人，也无境内代理人</w:t>
            </w:r>
            <w:r w:rsidRPr="00CB4B9E">
              <w:rPr>
                <w:rFonts w:ascii="宋体" w:hAnsi="宋体" w:cs="宋体" w:hint="eastAsia"/>
                <w:color w:val="000000" w:themeColor="text1"/>
                <w:kern w:val="0"/>
                <w:sz w:val="20"/>
                <w:szCs w:val="20"/>
              </w:rPr>
              <w:t>或管理人</w:t>
            </w:r>
            <w:r w:rsidRPr="00CB4B9E">
              <w:rPr>
                <w:rFonts w:ascii="宋体" w:hAnsi="宋体" w:cs="宋体"/>
                <w:color w:val="000000" w:themeColor="text1"/>
                <w:kern w:val="0"/>
                <w:sz w:val="20"/>
                <w:szCs w:val="20"/>
              </w:rPr>
              <w:t>的，</w:t>
            </w:r>
            <w:r w:rsidRPr="00CB4B9E">
              <w:rPr>
                <w:rFonts w:ascii="宋体" w:hAnsi="宋体" w:cs="宋体" w:hint="eastAsia"/>
                <w:color w:val="000000" w:themeColor="text1"/>
                <w:kern w:val="0"/>
                <w:sz w:val="20"/>
                <w:szCs w:val="20"/>
              </w:rPr>
              <w:t>本机构</w:t>
            </w:r>
            <w:r w:rsidRPr="00CB4B9E">
              <w:rPr>
                <w:rFonts w:ascii="宋体" w:hAnsi="宋体" w:cs="宋体"/>
                <w:color w:val="000000" w:themeColor="text1"/>
                <w:kern w:val="0"/>
                <w:sz w:val="20"/>
                <w:szCs w:val="20"/>
              </w:rPr>
              <w:t>应报送以自身名义投资的部分，包括以自身名义持有，但使用客户资金对外投资的部分</w:t>
            </w:r>
            <w:r w:rsidRPr="00CB4B9E">
              <w:rPr>
                <w:rFonts w:ascii="宋体" w:hAnsi="宋体" w:cs="宋体" w:hint="eastAsia"/>
                <w:color w:val="000000" w:themeColor="text1"/>
                <w:kern w:val="0"/>
                <w:sz w:val="20"/>
                <w:szCs w:val="20"/>
              </w:rPr>
              <w:t>。</w:t>
            </w:r>
          </w:p>
        </w:tc>
        <w:tc>
          <w:tcPr>
            <w:tcW w:w="2568" w:type="pct"/>
            <w:shd w:val="clear" w:color="auto" w:fill="auto"/>
            <w:vAlign w:val="center"/>
          </w:tcPr>
          <w:p w:rsidR="00CB7316" w:rsidRPr="009263D7" w:rsidRDefault="00CB4B9E" w:rsidP="008E2D8C">
            <w:pPr>
              <w:widowControl/>
              <w:rPr>
                <w:rFonts w:ascii="宋体" w:hAnsi="宋体"/>
                <w:color w:val="000000" w:themeColor="text1"/>
                <w:sz w:val="20"/>
                <w:szCs w:val="20"/>
              </w:rPr>
            </w:pPr>
            <w:r w:rsidRPr="00CB4B9E">
              <w:rPr>
                <w:rFonts w:ascii="宋体" w:hAnsi="宋体"/>
                <w:color w:val="000000" w:themeColor="text1"/>
                <w:sz w:val="20"/>
                <w:szCs w:val="20"/>
              </w:rPr>
              <w:t>3.或有资产和负债，如一次性担保和信用证。</w:t>
            </w:r>
          </w:p>
        </w:tc>
      </w:tr>
      <w:tr w:rsidR="003D3F41" w:rsidRPr="009263D7">
        <w:trPr>
          <w:trHeight w:val="1217"/>
        </w:trPr>
        <w:tc>
          <w:tcPr>
            <w:tcW w:w="2432" w:type="pct"/>
            <w:shd w:val="clear" w:color="auto" w:fill="auto"/>
            <w:vAlign w:val="center"/>
          </w:tcPr>
          <w:p w:rsidR="00000000" w:rsidRDefault="00C97103" w:rsidP="00D1396C">
            <w:pPr>
              <w:keepNext/>
              <w:keepLines/>
              <w:tabs>
                <w:tab w:val="num" w:pos="1440"/>
              </w:tabs>
              <w:spacing w:before="260" w:after="260" w:line="415" w:lineRule="auto"/>
              <w:ind w:left="1080" w:firstLineChars="200" w:firstLine="400"/>
              <w:outlineLvl w:val="2"/>
              <w:rPr>
                <w:rFonts w:ascii="宋体" w:hAnsi="宋体" w:cs="宋体"/>
                <w:color w:val="000000" w:themeColor="text1"/>
                <w:kern w:val="0"/>
                <w:sz w:val="20"/>
                <w:szCs w:val="20"/>
              </w:rPr>
            </w:pPr>
          </w:p>
        </w:tc>
        <w:tc>
          <w:tcPr>
            <w:tcW w:w="2568" w:type="pct"/>
            <w:shd w:val="clear" w:color="auto" w:fill="auto"/>
            <w:vAlign w:val="center"/>
          </w:tcPr>
          <w:p w:rsidR="003D3F41" w:rsidRPr="009263D7" w:rsidRDefault="00CB4B9E" w:rsidP="003D3F41">
            <w:pPr>
              <w:widowControl/>
              <w:rPr>
                <w:rFonts w:ascii="宋体" w:hAnsi="宋体"/>
                <w:color w:val="000000" w:themeColor="text1"/>
                <w:sz w:val="20"/>
                <w:szCs w:val="20"/>
              </w:rPr>
            </w:pPr>
            <w:r w:rsidRPr="00CB4B9E">
              <w:rPr>
                <w:rFonts w:ascii="宋体" w:hAnsi="宋体"/>
                <w:color w:val="000000" w:themeColor="text1"/>
                <w:sz w:val="20"/>
                <w:szCs w:val="20"/>
              </w:rPr>
              <w:t>4.因金融衍生品交易产生的佣金和费用，应计入金融服务项下（见E表）。</w:t>
            </w:r>
          </w:p>
        </w:tc>
      </w:tr>
    </w:tbl>
    <w:p w:rsidR="001A6A9D" w:rsidRPr="001A6A9D" w:rsidRDefault="00CB4B9E" w:rsidP="00D1396C">
      <w:pPr>
        <w:spacing w:beforeLines="50" w:line="360" w:lineRule="auto"/>
        <w:ind w:firstLineChars="200" w:firstLine="422"/>
        <w:rPr>
          <w:b/>
          <w:color w:val="000000" w:themeColor="text1"/>
        </w:rPr>
      </w:pPr>
      <w:r w:rsidRPr="00CB4B9E">
        <w:rPr>
          <w:b/>
          <w:color w:val="000000" w:themeColor="text1"/>
        </w:rPr>
        <w:t>2.</w:t>
      </w:r>
      <w:r w:rsidRPr="00CB4B9E">
        <w:rPr>
          <w:rFonts w:hint="eastAsia"/>
          <w:b/>
          <w:color w:val="000000" w:themeColor="text1"/>
        </w:rPr>
        <w:t>相关填报说明：</w:t>
      </w:r>
    </w:p>
    <w:p w:rsidR="00CB7316" w:rsidRPr="009263D7" w:rsidRDefault="00CB4B9E" w:rsidP="00CB7316">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C0101.填报</w:t>
      </w:r>
      <w:r w:rsidRPr="00CB4B9E">
        <w:rPr>
          <w:rFonts w:ascii="黑体" w:eastAsia="黑体" w:hAnsi="宋体" w:hint="eastAsia"/>
          <w:color w:val="000000" w:themeColor="text1"/>
          <w:szCs w:val="21"/>
        </w:rPr>
        <w:t>机构身份</w:t>
      </w:r>
      <w:r w:rsidRPr="00CB4B9E">
        <w:rPr>
          <w:rFonts w:ascii="黑体" w:eastAsia="黑体" w:hAnsi="宋体" w:hint="eastAsia"/>
          <w:color w:val="000000" w:themeColor="text1"/>
        </w:rPr>
        <w:t>：</w:t>
      </w:r>
      <w:r w:rsidRPr="00CB4B9E">
        <w:rPr>
          <w:rFonts w:ascii="宋体" w:hAnsi="宋体" w:hint="eastAsia"/>
          <w:color w:val="000000" w:themeColor="text1"/>
        </w:rPr>
        <w:t>请按以下三种情况填列：①以自身名义投资（无境内托管人、代理人或管理人）；②是代理人或管理人，以客户或产品名义投资；③是境内结算机构或交易所，从居民投资者角度填报。</w:t>
      </w:r>
    </w:p>
    <w:p w:rsidR="00CB7316" w:rsidRPr="009263D7" w:rsidRDefault="00CB4B9E" w:rsidP="00CB7316">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C0102.居民被代理人/</w:t>
      </w:r>
      <w:r w:rsidRPr="00CB4B9E">
        <w:rPr>
          <w:rFonts w:ascii="黑体" w:eastAsia="黑体" w:hAnsi="宋体" w:hint="eastAsia"/>
          <w:color w:val="000000" w:themeColor="text1"/>
          <w:szCs w:val="21"/>
        </w:rPr>
        <w:t>委托人所属国家</w:t>
      </w:r>
      <w:r w:rsidRPr="00CB4B9E">
        <w:rPr>
          <w:rFonts w:ascii="黑体" w:eastAsia="黑体" w:hAnsi="宋体"/>
          <w:color w:val="000000" w:themeColor="text1"/>
          <w:szCs w:val="21"/>
        </w:rPr>
        <w:t>/地区：</w:t>
      </w:r>
      <w:r w:rsidRPr="00CB4B9E">
        <w:rPr>
          <w:rFonts w:ascii="宋体" w:hAnsi="宋体" w:hint="eastAsia"/>
          <w:color w:val="000000" w:themeColor="text1"/>
        </w:rPr>
        <w:t>填报居民被代理人</w:t>
      </w:r>
      <w:r w:rsidRPr="00CB4B9E">
        <w:rPr>
          <w:rFonts w:ascii="宋体" w:hAnsi="宋体"/>
          <w:color w:val="000000" w:themeColor="text1"/>
        </w:rPr>
        <w:t>/委托人</w:t>
      </w:r>
      <w:r w:rsidRPr="00CB4B9E">
        <w:rPr>
          <w:rFonts w:ascii="宋体" w:hAnsi="宋体" w:hint="eastAsia"/>
          <w:color w:val="000000" w:themeColor="text1"/>
        </w:rPr>
        <w:t>机构注册或个人常住的国家</w:t>
      </w:r>
      <w:r w:rsidRPr="00CB4B9E">
        <w:rPr>
          <w:rFonts w:ascii="宋体" w:hAnsi="宋体"/>
          <w:color w:val="000000" w:themeColor="text1"/>
        </w:rPr>
        <w:t>/地区</w:t>
      </w:r>
      <w:r w:rsidRPr="00CB4B9E">
        <w:rPr>
          <w:rFonts w:ascii="宋体" w:hAnsi="宋体" w:hint="eastAsia"/>
          <w:color w:val="000000" w:themeColor="text1"/>
        </w:rPr>
        <w:t>代码。应是中国居民，所属国家</w:t>
      </w:r>
      <w:r w:rsidRPr="00CB4B9E">
        <w:rPr>
          <w:rFonts w:ascii="宋体" w:hAnsi="宋体"/>
          <w:color w:val="000000" w:themeColor="text1"/>
        </w:rPr>
        <w:t>/地区</w:t>
      </w:r>
      <w:r w:rsidRPr="00CB4B9E">
        <w:rPr>
          <w:rFonts w:ascii="宋体" w:hAnsi="宋体" w:hint="eastAsia"/>
          <w:color w:val="000000" w:themeColor="text1"/>
        </w:rPr>
        <w:t>为中国（不含中国香港、澳门和台湾地区）。</w:t>
      </w:r>
    </w:p>
    <w:p w:rsidR="00CB7316" w:rsidRPr="009263D7" w:rsidRDefault="00CB4B9E" w:rsidP="00CB7316">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C0103.居民被代理人/</w:t>
      </w:r>
      <w:r w:rsidRPr="00CB4B9E">
        <w:rPr>
          <w:rFonts w:ascii="黑体" w:eastAsia="黑体" w:hAnsi="宋体" w:hint="eastAsia"/>
          <w:color w:val="000000" w:themeColor="text1"/>
          <w:szCs w:val="21"/>
        </w:rPr>
        <w:t>委托人所属部门：</w:t>
      </w:r>
      <w:r w:rsidRPr="00CB4B9E">
        <w:rPr>
          <w:rFonts w:ascii="宋体" w:hAnsi="宋体" w:hint="eastAsia"/>
          <w:color w:val="000000" w:themeColor="text1"/>
        </w:rPr>
        <w:t>指本机构所代理的客户所属部门。请按以下五个子部门填列：①政府；②中央银行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请按该客户的主营业务归类。</w:t>
      </w:r>
    </w:p>
    <w:p w:rsidR="00CB7316" w:rsidRPr="009263D7" w:rsidRDefault="00CB4B9E" w:rsidP="00CB7316">
      <w:pPr>
        <w:spacing w:line="360" w:lineRule="auto"/>
        <w:ind w:firstLineChars="200" w:firstLine="420"/>
        <w:rPr>
          <w:color w:val="000000" w:themeColor="text1"/>
        </w:rPr>
      </w:pPr>
      <w:r w:rsidRPr="00CB4B9E">
        <w:rPr>
          <w:rFonts w:ascii="黑体" w:eastAsia="黑体" w:hint="eastAsia"/>
          <w:color w:val="000000" w:themeColor="text1"/>
        </w:rPr>
        <w:t>C0104.合约类别：</w:t>
      </w:r>
      <w:r w:rsidRPr="00CB4B9E">
        <w:rPr>
          <w:rFonts w:hint="eastAsia"/>
          <w:color w:val="000000" w:themeColor="text1"/>
        </w:rPr>
        <w:t>按远期类和期权类合约两大类划分。远期类合约包括：①远期、②期货、③掉期、④远期特征的结构性产品及其他产品。期权类合约包括：⑤单一期权、⑥组合类期权、⑦权证、⑧期权特征的结构性产品及其他产品。对于结构复杂的产品，应根据其核心特征进行归类。</w:t>
      </w:r>
    </w:p>
    <w:p w:rsidR="00CB7316" w:rsidRPr="009263D7" w:rsidRDefault="00CB4B9E" w:rsidP="00CB7316">
      <w:pPr>
        <w:spacing w:line="360" w:lineRule="auto"/>
        <w:ind w:firstLineChars="200" w:firstLine="420"/>
        <w:rPr>
          <w:rFonts w:ascii="Calibri" w:hAnsi="Calibri"/>
          <w:color w:val="000000" w:themeColor="text1"/>
        </w:rPr>
      </w:pPr>
      <w:r w:rsidRPr="00CB4B9E">
        <w:rPr>
          <w:rFonts w:ascii="黑体" w:eastAsia="黑体" w:hint="eastAsia"/>
          <w:color w:val="000000" w:themeColor="text1"/>
        </w:rPr>
        <w:lastRenderedPageBreak/>
        <w:t>C0105.金融风险类别：</w:t>
      </w:r>
      <w:r w:rsidRPr="00CB4B9E">
        <w:rPr>
          <w:rFonts w:ascii="Calibri" w:hAnsi="Calibri" w:hint="eastAsia"/>
          <w:bCs/>
          <w:color w:val="000000" w:themeColor="text1"/>
        </w:rPr>
        <w:t>金融衍生产品按</w:t>
      </w:r>
      <w:r w:rsidRPr="00CB4B9E">
        <w:rPr>
          <w:rFonts w:hint="eastAsia"/>
          <w:bCs/>
          <w:color w:val="000000" w:themeColor="text1"/>
        </w:rPr>
        <w:t>金融</w:t>
      </w:r>
      <w:r w:rsidRPr="00CB4B9E">
        <w:rPr>
          <w:rFonts w:ascii="Calibri" w:hAnsi="Calibri" w:hint="eastAsia"/>
          <w:bCs/>
          <w:color w:val="000000" w:themeColor="text1"/>
        </w:rPr>
        <w:t>风险主要挂钩指标进行分类，请按以下七种情况填列：</w:t>
      </w:r>
      <w:r w:rsidRPr="00CB4B9E">
        <w:rPr>
          <w:rFonts w:hint="eastAsia"/>
          <w:color w:val="000000" w:themeColor="text1"/>
        </w:rPr>
        <w:t>①</w:t>
      </w:r>
      <w:r w:rsidRPr="00CB4B9E">
        <w:rPr>
          <w:rFonts w:ascii="Calibri" w:hAnsi="Calibri" w:hint="eastAsia"/>
          <w:color w:val="000000" w:themeColor="text1"/>
        </w:rPr>
        <w:t>外汇产品；</w:t>
      </w:r>
      <w:r w:rsidRPr="00CB4B9E">
        <w:rPr>
          <w:rFonts w:hint="eastAsia"/>
          <w:color w:val="000000" w:themeColor="text1"/>
        </w:rPr>
        <w:t>②</w:t>
      </w:r>
      <w:r w:rsidRPr="00CB4B9E">
        <w:rPr>
          <w:rFonts w:ascii="Calibri" w:hAnsi="Calibri" w:hint="eastAsia"/>
          <w:color w:val="000000" w:themeColor="text1"/>
        </w:rPr>
        <w:t>单一货币利率产品；</w:t>
      </w:r>
      <w:r w:rsidRPr="00CB4B9E">
        <w:rPr>
          <w:rFonts w:hint="eastAsia"/>
          <w:color w:val="000000" w:themeColor="text1"/>
        </w:rPr>
        <w:t>③</w:t>
      </w:r>
      <w:r w:rsidRPr="00CB4B9E">
        <w:rPr>
          <w:rFonts w:ascii="Calibri" w:hAnsi="Calibri" w:hint="eastAsia"/>
          <w:color w:val="000000" w:themeColor="text1"/>
        </w:rPr>
        <w:t>股权类产品；</w:t>
      </w:r>
      <w:r w:rsidRPr="00CB4B9E">
        <w:rPr>
          <w:rFonts w:hint="eastAsia"/>
          <w:color w:val="000000" w:themeColor="text1"/>
        </w:rPr>
        <w:t>④</w:t>
      </w:r>
      <w:r w:rsidRPr="00CB4B9E">
        <w:rPr>
          <w:rFonts w:ascii="Calibri" w:hAnsi="Calibri" w:hint="eastAsia"/>
          <w:color w:val="000000" w:themeColor="text1"/>
        </w:rPr>
        <w:t>商品类产品；</w:t>
      </w:r>
      <w:r w:rsidRPr="00CB4B9E">
        <w:rPr>
          <w:rFonts w:hint="eastAsia"/>
          <w:color w:val="000000" w:themeColor="text1"/>
        </w:rPr>
        <w:t>⑤</w:t>
      </w:r>
      <w:r w:rsidRPr="00CB4B9E">
        <w:rPr>
          <w:rFonts w:ascii="Calibri" w:hAnsi="Calibri" w:hint="eastAsia"/>
          <w:color w:val="000000" w:themeColor="text1"/>
        </w:rPr>
        <w:t>信用类产品；</w:t>
      </w:r>
      <w:r w:rsidRPr="00CB4B9E">
        <w:rPr>
          <w:rFonts w:hint="eastAsia"/>
          <w:color w:val="000000" w:themeColor="text1"/>
        </w:rPr>
        <w:t>⑥贵金属产品；⑦</w:t>
      </w:r>
      <w:r w:rsidRPr="00CB4B9E">
        <w:rPr>
          <w:rFonts w:ascii="Calibri" w:hAnsi="Calibri" w:hint="eastAsia"/>
          <w:color w:val="000000" w:themeColor="text1"/>
        </w:rPr>
        <w:t>不能归入上述</w:t>
      </w:r>
      <w:r w:rsidRPr="00CB4B9E">
        <w:rPr>
          <w:rFonts w:ascii="Calibri" w:hAnsi="Calibri"/>
          <w:color w:val="000000" w:themeColor="text1"/>
        </w:rPr>
        <w:t>6</w:t>
      </w:r>
      <w:r w:rsidRPr="00CB4B9E">
        <w:rPr>
          <w:rFonts w:ascii="Calibri" w:hAnsi="Calibri" w:hint="eastAsia"/>
          <w:color w:val="000000" w:themeColor="text1"/>
        </w:rPr>
        <w:t>类市场风险类别的其他衍生产品。如，权证的金融风险类别为股权类产品，商品期货的金融风险类别为商品类产品。</w:t>
      </w:r>
    </w:p>
    <w:p w:rsidR="00CB7316" w:rsidRPr="009263D7" w:rsidRDefault="00CB4B9E" w:rsidP="00CB7316">
      <w:pPr>
        <w:spacing w:line="360" w:lineRule="auto"/>
        <w:ind w:firstLineChars="200" w:firstLine="420"/>
        <w:rPr>
          <w:color w:val="000000" w:themeColor="text1"/>
        </w:rPr>
      </w:pPr>
      <w:r w:rsidRPr="00CB4B9E">
        <w:rPr>
          <w:rFonts w:ascii="Calibri" w:hAnsi="Calibri" w:hint="eastAsia"/>
          <w:color w:val="000000" w:themeColor="text1"/>
        </w:rPr>
        <w:t>对于具有一个以上风险类别的产品，如果产品为敞口风险的简单组合，应按照各风险细项分别记录；如果难以分离风险细项，则按照最重要原则在单一风险细目项记录，无法辨别重要性的，则按照商品、股权、外汇、单一货币利率和信用的序列记录。</w:t>
      </w:r>
    </w:p>
    <w:p w:rsidR="00CB7316" w:rsidRPr="009263D7" w:rsidRDefault="00CB4B9E" w:rsidP="00CB7316">
      <w:pPr>
        <w:spacing w:line="360" w:lineRule="auto"/>
        <w:ind w:firstLineChars="200" w:firstLine="420"/>
        <w:rPr>
          <w:rFonts w:ascii="Calibri" w:hAnsi="Calibri"/>
          <w:color w:val="000000" w:themeColor="text1"/>
        </w:rPr>
      </w:pPr>
      <w:r w:rsidRPr="00CB4B9E">
        <w:rPr>
          <w:rFonts w:ascii="黑体" w:eastAsia="黑体"/>
          <w:color w:val="000000" w:themeColor="text1"/>
        </w:rPr>
        <w:t>C0106.</w:t>
      </w:r>
      <w:r w:rsidRPr="00CB4B9E">
        <w:rPr>
          <w:color w:val="000000" w:themeColor="text1"/>
        </w:rPr>
        <w:t xml:space="preserve"> </w:t>
      </w:r>
      <w:r w:rsidRPr="00CB4B9E">
        <w:rPr>
          <w:rFonts w:ascii="黑体" w:eastAsia="黑体" w:hint="eastAsia"/>
          <w:color w:val="000000" w:themeColor="text1"/>
        </w:rPr>
        <w:t>非居民交易对手所属国家/地区：</w:t>
      </w:r>
      <w:r w:rsidRPr="00CB4B9E">
        <w:rPr>
          <w:rFonts w:ascii="Calibri" w:hAnsi="Calibri" w:hint="eastAsia"/>
          <w:color w:val="000000" w:themeColor="text1"/>
        </w:rPr>
        <w:t>指对应金融衍生产品交易的非居民交易主体注册地所属国家（或地区）。如果交易主体是境外准公司（如分支机构等）的，应填写该分支机构所在的国家或地区，而非其总部所在的国家或地区。</w:t>
      </w:r>
    </w:p>
    <w:p w:rsidR="00CB7316" w:rsidRPr="009263D7" w:rsidRDefault="00CB4B9E" w:rsidP="00CB7316">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 xml:space="preserve">C0107. </w:t>
      </w:r>
      <w:r w:rsidRPr="00CB4B9E">
        <w:rPr>
          <w:rFonts w:ascii="黑体" w:eastAsia="黑体" w:hAnsi="宋体" w:hint="eastAsia"/>
          <w:color w:val="000000" w:themeColor="text1"/>
          <w:szCs w:val="21"/>
        </w:rPr>
        <w:t>非居民交易对手所属部门</w:t>
      </w:r>
      <w:r w:rsidRPr="00CB4B9E">
        <w:rPr>
          <w:rFonts w:ascii="黑体" w:eastAsia="黑体" w:hAnsi="宋体"/>
          <w:color w:val="000000" w:themeColor="text1"/>
          <w:szCs w:val="21"/>
        </w:rPr>
        <w:t>:</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。请按非居民交易对手的主营业务归类。</w:t>
      </w:r>
    </w:p>
    <w:p w:rsidR="00CB7316" w:rsidRPr="009263D7" w:rsidRDefault="00CB4B9E" w:rsidP="00CB7316">
      <w:pPr>
        <w:spacing w:line="360" w:lineRule="auto"/>
        <w:ind w:firstLineChars="200" w:firstLine="420"/>
        <w:rPr>
          <w:rFonts w:ascii="黑体" w:eastAsia="黑体"/>
          <w:color w:val="000000" w:themeColor="text1"/>
        </w:rPr>
      </w:pPr>
      <w:r w:rsidRPr="00CB4B9E">
        <w:rPr>
          <w:rFonts w:ascii="黑体" w:eastAsia="黑体"/>
          <w:color w:val="000000" w:themeColor="text1"/>
        </w:rPr>
        <w:t xml:space="preserve">C0108. </w:t>
      </w:r>
      <w:r w:rsidRPr="00CB4B9E">
        <w:rPr>
          <w:rFonts w:ascii="黑体" w:eastAsia="黑体" w:hint="eastAsia"/>
          <w:color w:val="000000" w:themeColor="text1"/>
        </w:rPr>
        <w:t>非居民交易对手与本机构/居民机构的关系：</w:t>
      </w:r>
      <w:r w:rsidRPr="00CB4B9E">
        <w:rPr>
          <w:rFonts w:ascii="宋体" w:hAnsi="宋体" w:hint="eastAsia"/>
          <w:color w:val="000000" w:themeColor="text1"/>
        </w:rPr>
        <w:t>请按以下四种情况填列：①交易对手方是本机构</w:t>
      </w:r>
      <w:r w:rsidRPr="00CB4B9E">
        <w:rPr>
          <w:rFonts w:ascii="宋体" w:hAnsi="宋体"/>
          <w:color w:val="000000" w:themeColor="text1"/>
        </w:rPr>
        <w:t>/</w:t>
      </w:r>
      <w:r w:rsidRPr="00CB4B9E">
        <w:rPr>
          <w:rFonts w:ascii="宋体" w:hAnsi="宋体" w:hint="eastAsia"/>
          <w:color w:val="000000" w:themeColor="text1"/>
        </w:rPr>
        <w:t>被代理居民机构的境外直接投资者，即持有本机构</w:t>
      </w:r>
      <w:r w:rsidRPr="00CB4B9E">
        <w:rPr>
          <w:rFonts w:ascii="宋体" w:hAnsi="宋体"/>
          <w:color w:val="000000" w:themeColor="text1"/>
        </w:rPr>
        <w:t>/居民机构表决权≥10%</w:t>
      </w:r>
      <w:r w:rsidRPr="00CB4B9E">
        <w:rPr>
          <w:rFonts w:ascii="宋体" w:hAnsi="宋体" w:hint="eastAsia"/>
          <w:color w:val="000000" w:themeColor="text1"/>
        </w:rPr>
        <w:t>；②交易对手方是本机构</w:t>
      </w:r>
      <w:r w:rsidRPr="00CB4B9E">
        <w:rPr>
          <w:rFonts w:ascii="宋体" w:hAnsi="宋体"/>
          <w:color w:val="000000" w:themeColor="text1"/>
        </w:rPr>
        <w:t>/</w:t>
      </w:r>
      <w:r w:rsidRPr="00CB4B9E">
        <w:rPr>
          <w:rFonts w:ascii="宋体" w:hAnsi="宋体" w:hint="eastAsia"/>
          <w:color w:val="000000" w:themeColor="text1"/>
        </w:rPr>
        <w:t>被代理居民机构的境外直接投资企业，即本机构</w:t>
      </w:r>
      <w:r w:rsidRPr="00CB4B9E">
        <w:rPr>
          <w:rFonts w:ascii="宋体" w:hAnsi="宋体"/>
          <w:color w:val="000000" w:themeColor="text1"/>
        </w:rPr>
        <w:t>/被代理居民机构持有表决权在10%及以上的</w:t>
      </w:r>
      <w:r w:rsidRPr="00CB4B9E">
        <w:rPr>
          <w:rFonts w:ascii="宋体" w:hAnsi="宋体" w:hint="eastAsia"/>
          <w:color w:val="000000" w:themeColor="text1"/>
        </w:rPr>
        <w:t>境外分支机构、子机构、联营机构或合营机构；③交易对手方是本机构</w:t>
      </w:r>
      <w:r w:rsidRPr="00CB4B9E">
        <w:rPr>
          <w:rFonts w:ascii="宋体" w:hAnsi="宋体"/>
          <w:color w:val="000000" w:themeColor="text1"/>
        </w:rPr>
        <w:t>/</w:t>
      </w:r>
      <w:r w:rsidRPr="00CB4B9E">
        <w:rPr>
          <w:rFonts w:ascii="宋体" w:hAnsi="宋体" w:hint="eastAsia"/>
          <w:color w:val="000000" w:themeColor="text1"/>
        </w:rPr>
        <w:t>被代理居民机构的境外联属机构，即两机构有共同母公司，且相互持有表决权＜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或相互不持有表决权；④交易对手方与本机构</w:t>
      </w:r>
      <w:r w:rsidRPr="00CB4B9E">
        <w:rPr>
          <w:rFonts w:ascii="宋体" w:hAnsi="宋体"/>
          <w:color w:val="000000" w:themeColor="text1"/>
        </w:rPr>
        <w:t>/</w:t>
      </w:r>
      <w:r w:rsidRPr="00CB4B9E">
        <w:rPr>
          <w:rFonts w:ascii="宋体" w:hAnsi="宋体" w:hint="eastAsia"/>
          <w:color w:val="000000" w:themeColor="text1"/>
        </w:rPr>
        <w:t>被代理居民机构无关联关系。</w:t>
      </w:r>
    </w:p>
    <w:p w:rsidR="00CB7316" w:rsidRPr="009263D7" w:rsidRDefault="00CB4B9E" w:rsidP="00CB7316">
      <w:pPr>
        <w:spacing w:line="360" w:lineRule="auto"/>
        <w:ind w:firstLineChars="200" w:firstLine="420"/>
        <w:rPr>
          <w:rFonts w:ascii="Calibri" w:hAnsi="Calibri"/>
          <w:color w:val="000000" w:themeColor="text1"/>
        </w:rPr>
      </w:pPr>
      <w:r w:rsidRPr="00CB4B9E">
        <w:rPr>
          <w:rFonts w:ascii="黑体" w:eastAsia="黑体"/>
          <w:color w:val="000000" w:themeColor="text1"/>
        </w:rPr>
        <w:t>C0109</w:t>
      </w:r>
      <w:r w:rsidRPr="00CB4B9E">
        <w:rPr>
          <w:rFonts w:ascii="黑体" w:eastAsia="黑体" w:hint="eastAsia"/>
          <w:color w:val="000000" w:themeColor="text1"/>
        </w:rPr>
        <w:t>.结算的原始币种：</w:t>
      </w:r>
      <w:r w:rsidRPr="00CB4B9E">
        <w:rPr>
          <w:rFonts w:ascii="Calibri" w:hAnsi="Calibri" w:hint="eastAsia"/>
          <w:bCs/>
          <w:color w:val="000000" w:themeColor="text1"/>
        </w:rPr>
        <w:t>指相关合约的计价币种，如涉及双币种，可选取基础币种或按本机构惯例。适用于</w:t>
      </w:r>
      <w:r w:rsidRPr="00CB4B9E">
        <w:rPr>
          <w:rFonts w:ascii="Calibri" w:hAnsi="Calibri"/>
          <w:bCs/>
          <w:color w:val="000000" w:themeColor="text1"/>
        </w:rPr>
        <w:t>C0110-C0116</w:t>
      </w:r>
      <w:r w:rsidRPr="00CB4B9E">
        <w:rPr>
          <w:rFonts w:ascii="Calibri" w:hAnsi="Calibri" w:hint="eastAsia"/>
          <w:bCs/>
          <w:color w:val="000000" w:themeColor="text1"/>
        </w:rPr>
        <w:t>各项。</w:t>
      </w:r>
    </w:p>
    <w:p w:rsidR="00CB7316" w:rsidRPr="009263D7" w:rsidRDefault="00CB4B9E" w:rsidP="00CB7316">
      <w:pPr>
        <w:spacing w:line="360" w:lineRule="auto"/>
        <w:ind w:firstLineChars="200" w:firstLine="420"/>
        <w:rPr>
          <w:rFonts w:ascii="宋体" w:hAnsi="宋体"/>
          <w:color w:val="000000" w:themeColor="text1"/>
          <w:szCs w:val="21"/>
        </w:rPr>
      </w:pPr>
      <w:r w:rsidRPr="00CB4B9E">
        <w:rPr>
          <w:rFonts w:ascii="黑体" w:eastAsia="黑体"/>
          <w:color w:val="000000" w:themeColor="text1"/>
        </w:rPr>
        <w:t>C0110</w:t>
      </w:r>
      <w:r w:rsidRPr="00CB4B9E">
        <w:rPr>
          <w:rFonts w:ascii="黑体" w:eastAsia="黑体" w:hint="eastAsia"/>
          <w:color w:val="000000" w:themeColor="text1"/>
        </w:rPr>
        <w:t>.上月末头寸市值：</w:t>
      </w:r>
      <w:r w:rsidRPr="00CB4B9E">
        <w:rPr>
          <w:rFonts w:ascii="Calibri" w:hAnsi="Calibri" w:hint="eastAsia"/>
          <w:bCs/>
          <w:color w:val="000000" w:themeColor="text1"/>
        </w:rPr>
        <w:t>指上月末仍存续的金融衍生产品合约</w:t>
      </w:r>
      <w:r w:rsidRPr="00CB4B9E">
        <w:rPr>
          <w:rFonts w:hint="eastAsia"/>
          <w:color w:val="000000" w:themeColor="text1"/>
        </w:rPr>
        <w:t>的公允价值。应优先使用市场价值。如无市场价值，则按照记账惯例填报公允价值。在汇总填报数据时，则公允价值为正值的合约，不得与公允价值为负值的合约进行轧差合并。</w:t>
      </w:r>
      <w:r w:rsidRPr="00CB4B9E">
        <w:rPr>
          <w:rFonts w:ascii="宋体" w:hAnsi="宋体"/>
          <w:color w:val="000000" w:themeColor="text1"/>
          <w:szCs w:val="21"/>
        </w:rPr>
        <w:t xml:space="preserve"> </w:t>
      </w:r>
    </w:p>
    <w:p w:rsidR="00CB7316" w:rsidRPr="009263D7" w:rsidRDefault="00CB4B9E" w:rsidP="00CB7316">
      <w:pPr>
        <w:spacing w:line="360" w:lineRule="auto"/>
        <w:ind w:firstLineChars="200" w:firstLine="420"/>
        <w:rPr>
          <w:rFonts w:ascii="Calibri" w:hAnsi="Calibri"/>
          <w:color w:val="000000" w:themeColor="text1"/>
        </w:rPr>
      </w:pPr>
      <w:r w:rsidRPr="00CB4B9E">
        <w:rPr>
          <w:rFonts w:ascii="黑体" w:eastAsia="黑体"/>
          <w:color w:val="000000" w:themeColor="text1"/>
        </w:rPr>
        <w:t>C0111</w:t>
      </w:r>
      <w:r w:rsidRPr="00CB4B9E">
        <w:rPr>
          <w:rFonts w:ascii="黑体" w:eastAsia="黑体" w:hint="eastAsia"/>
          <w:color w:val="000000" w:themeColor="text1"/>
        </w:rPr>
        <w:t>.本月（现金）结算付款额：</w:t>
      </w:r>
      <w:r w:rsidRPr="00CB4B9E">
        <w:rPr>
          <w:rFonts w:ascii="Calibri" w:hAnsi="Calibri" w:hint="eastAsia"/>
          <w:color w:val="000000" w:themeColor="text1"/>
        </w:rPr>
        <w:t>指本月内，本机构</w:t>
      </w:r>
      <w:r w:rsidRPr="00CB4B9E">
        <w:rPr>
          <w:rFonts w:ascii="宋体" w:hAnsi="宋体"/>
          <w:color w:val="000000" w:themeColor="text1"/>
        </w:rPr>
        <w:t>/</w:t>
      </w:r>
      <w:r w:rsidRPr="00CB4B9E">
        <w:rPr>
          <w:rFonts w:ascii="宋体" w:hAnsi="宋体" w:hint="eastAsia"/>
          <w:color w:val="000000" w:themeColor="text1"/>
        </w:rPr>
        <w:t>被代理居民机构</w:t>
      </w:r>
      <w:r w:rsidRPr="00CB4B9E">
        <w:rPr>
          <w:rFonts w:ascii="Calibri" w:hAnsi="Calibri" w:hint="eastAsia"/>
          <w:color w:val="000000" w:themeColor="text1"/>
        </w:rPr>
        <w:t>作为期权的购买方向期权的出售方支付的期权费，或与非居民进行金融衍生品合约结算时支付的款项，以正值填列。为已实现损益。对于月内交易并结算的金融衍生产品，即使期末余额为零，也应填报相关结算付款金额。</w:t>
      </w:r>
    </w:p>
    <w:p w:rsidR="00CB7316" w:rsidRPr="009263D7" w:rsidRDefault="00CB4B9E" w:rsidP="00CB7316">
      <w:pPr>
        <w:spacing w:line="360" w:lineRule="auto"/>
        <w:ind w:firstLineChars="200" w:firstLine="420"/>
        <w:rPr>
          <w:rFonts w:ascii="黑体" w:eastAsia="黑体"/>
          <w:color w:val="000000" w:themeColor="text1"/>
        </w:rPr>
      </w:pPr>
      <w:r w:rsidRPr="00CB4B9E">
        <w:rPr>
          <w:rFonts w:ascii="黑体" w:eastAsia="黑体"/>
          <w:color w:val="000000" w:themeColor="text1"/>
        </w:rPr>
        <w:t>C0112</w:t>
      </w:r>
      <w:r w:rsidRPr="00CB4B9E">
        <w:rPr>
          <w:rFonts w:ascii="黑体" w:eastAsia="黑体" w:hint="eastAsia"/>
          <w:color w:val="000000" w:themeColor="text1"/>
        </w:rPr>
        <w:t>.本月（现金）结算收款额：</w:t>
      </w:r>
      <w:r w:rsidRPr="00CB4B9E">
        <w:rPr>
          <w:rFonts w:ascii="Calibri" w:hAnsi="Calibri" w:hint="eastAsia"/>
          <w:color w:val="000000" w:themeColor="text1"/>
        </w:rPr>
        <w:t>指本月内，本机构</w:t>
      </w:r>
      <w:r w:rsidRPr="00CB4B9E">
        <w:rPr>
          <w:rFonts w:ascii="宋体" w:hAnsi="宋体"/>
          <w:color w:val="000000" w:themeColor="text1"/>
        </w:rPr>
        <w:t>/</w:t>
      </w:r>
      <w:r w:rsidRPr="00CB4B9E">
        <w:rPr>
          <w:rFonts w:ascii="宋体" w:hAnsi="宋体" w:hint="eastAsia"/>
          <w:color w:val="000000" w:themeColor="text1"/>
        </w:rPr>
        <w:t>被代理居民机构</w:t>
      </w:r>
      <w:r w:rsidRPr="00CB4B9E">
        <w:rPr>
          <w:rFonts w:ascii="Calibri" w:hAnsi="Calibri" w:hint="eastAsia"/>
          <w:color w:val="000000" w:themeColor="text1"/>
        </w:rPr>
        <w:t>作为期权的出售方收到的期权费，或与非居民进行金融衍生品合约结算时收到的款项，以正值填列。为已实现损益。对于月内交易并结算的金融衍生产品，即使期末余额为零，也应填报相关结算收款金额。</w:t>
      </w:r>
    </w:p>
    <w:p w:rsidR="00CB7316" w:rsidRPr="009263D7" w:rsidRDefault="00CB4B9E" w:rsidP="00CB7316">
      <w:pPr>
        <w:spacing w:line="360" w:lineRule="auto"/>
        <w:ind w:firstLineChars="200" w:firstLine="420"/>
        <w:rPr>
          <w:rFonts w:ascii="Calibri" w:hAnsi="Calibri"/>
          <w:color w:val="000000" w:themeColor="text1"/>
        </w:rPr>
      </w:pPr>
      <w:r w:rsidRPr="00CB4B9E">
        <w:rPr>
          <w:rFonts w:ascii="黑体" w:eastAsia="黑体"/>
          <w:color w:val="000000" w:themeColor="text1"/>
        </w:rPr>
        <w:t>C0111</w:t>
      </w:r>
      <w:r w:rsidRPr="00CB4B9E">
        <w:rPr>
          <w:rFonts w:ascii="黑体" w:eastAsia="黑体" w:hint="eastAsia"/>
          <w:color w:val="000000" w:themeColor="text1"/>
        </w:rPr>
        <w:t>和</w:t>
      </w:r>
      <w:r w:rsidRPr="00CB4B9E">
        <w:rPr>
          <w:rFonts w:ascii="黑体" w:eastAsia="黑体"/>
          <w:color w:val="000000" w:themeColor="text1"/>
        </w:rPr>
        <w:t>C0112</w:t>
      </w:r>
      <w:r w:rsidRPr="00CB4B9E">
        <w:rPr>
          <w:rFonts w:ascii="Calibri" w:hAnsi="Calibri" w:hint="eastAsia"/>
          <w:color w:val="000000" w:themeColor="text1"/>
        </w:rPr>
        <w:t>项下：</w:t>
      </w:r>
    </w:p>
    <w:tbl>
      <w:tblPr>
        <w:tblW w:w="5000" w:type="pct"/>
        <w:tblBorders>
          <w:top w:val="single" w:sz="4" w:space="0" w:color="auto"/>
          <w:bottom w:val="single" w:sz="4" w:space="0" w:color="auto"/>
          <w:insideH w:val="single" w:sz="4" w:space="0" w:color="auto"/>
          <w:insideV w:val="single" w:sz="4" w:space="0" w:color="auto"/>
        </w:tblBorders>
        <w:tblLook w:val="04A0"/>
      </w:tblPr>
      <w:tblGrid>
        <w:gridCol w:w="4614"/>
        <w:gridCol w:w="5015"/>
      </w:tblGrid>
      <w:tr w:rsidR="00CB7316" w:rsidRPr="009263D7">
        <w:trPr>
          <w:trHeight w:val="274"/>
        </w:trPr>
        <w:tc>
          <w:tcPr>
            <w:tcW w:w="2396" w:type="pct"/>
            <w:shd w:val="clear" w:color="auto" w:fill="auto"/>
          </w:tcPr>
          <w:p w:rsidR="00CB7316" w:rsidRPr="009263D7" w:rsidRDefault="00CB4B9E" w:rsidP="008E2D8C">
            <w:pPr>
              <w:widowControl/>
              <w:jc w:val="center"/>
              <w:rPr>
                <w:rFonts w:ascii="宋体" w:hAnsi="宋体" w:cs="宋体"/>
                <w:b/>
                <w:color w:val="000000" w:themeColor="text1"/>
                <w:kern w:val="0"/>
                <w:sz w:val="18"/>
                <w:szCs w:val="18"/>
              </w:rPr>
            </w:pPr>
            <w:r w:rsidRPr="00CB4B9E">
              <w:rPr>
                <w:rFonts w:ascii="宋体" w:hAnsi="宋体" w:cs="宋体" w:hint="eastAsia"/>
                <w:b/>
                <w:color w:val="000000" w:themeColor="text1"/>
                <w:kern w:val="0"/>
                <w:sz w:val="18"/>
                <w:szCs w:val="18"/>
              </w:rPr>
              <w:lastRenderedPageBreak/>
              <w:t>期权类合约</w:t>
            </w:r>
          </w:p>
        </w:tc>
        <w:tc>
          <w:tcPr>
            <w:tcW w:w="2604" w:type="pct"/>
            <w:shd w:val="clear" w:color="auto" w:fill="auto"/>
          </w:tcPr>
          <w:p w:rsidR="00CB7316" w:rsidRPr="009263D7" w:rsidRDefault="00CB4B9E" w:rsidP="008E2D8C">
            <w:pPr>
              <w:widowControl/>
              <w:jc w:val="center"/>
              <w:rPr>
                <w:rFonts w:ascii="宋体" w:hAnsi="宋体" w:cs="宋体"/>
                <w:b/>
                <w:color w:val="000000" w:themeColor="text1"/>
                <w:kern w:val="0"/>
                <w:sz w:val="18"/>
                <w:szCs w:val="18"/>
              </w:rPr>
            </w:pPr>
            <w:r w:rsidRPr="00CB4B9E">
              <w:rPr>
                <w:rFonts w:ascii="宋体" w:hAnsi="宋体" w:cs="宋体" w:hint="eastAsia"/>
                <w:b/>
                <w:color w:val="000000" w:themeColor="text1"/>
                <w:kern w:val="0"/>
                <w:sz w:val="18"/>
                <w:szCs w:val="18"/>
              </w:rPr>
              <w:t>远期类合约</w:t>
            </w:r>
          </w:p>
        </w:tc>
      </w:tr>
      <w:tr w:rsidR="00CB7316" w:rsidRPr="009263D7">
        <w:trPr>
          <w:trHeight w:val="274"/>
        </w:trPr>
        <w:tc>
          <w:tcPr>
            <w:tcW w:w="2396" w:type="pct"/>
            <w:shd w:val="clear" w:color="auto" w:fill="auto"/>
          </w:tcPr>
          <w:p w:rsidR="00CB7316" w:rsidRPr="009263D7" w:rsidRDefault="00CB4B9E" w:rsidP="00F97807">
            <w:pPr>
              <w:widowControl/>
              <w:rPr>
                <w:rFonts w:ascii="宋体" w:hAnsi="宋体" w:cs="宋体"/>
                <w:b/>
                <w:color w:val="000000" w:themeColor="text1"/>
                <w:kern w:val="0"/>
                <w:sz w:val="20"/>
                <w:szCs w:val="20"/>
              </w:rPr>
            </w:pPr>
            <w:r w:rsidRPr="00CB4B9E">
              <w:rPr>
                <w:rFonts w:ascii="宋体" w:hAnsi="宋体" w:cs="宋体"/>
                <w:color w:val="000000" w:themeColor="text1"/>
                <w:kern w:val="0"/>
                <w:sz w:val="20"/>
                <w:szCs w:val="20"/>
              </w:rPr>
              <w:t>1.期权类合约的购买方向合约的出售方支付期权费，期权购买方计入C0111</w:t>
            </w:r>
            <w:r w:rsidRPr="00CB4B9E">
              <w:rPr>
                <w:rFonts w:ascii="宋体" w:hAnsi="宋体" w:cs="宋体" w:hint="eastAsia"/>
                <w:color w:val="000000" w:themeColor="text1"/>
                <w:kern w:val="0"/>
                <w:sz w:val="20"/>
                <w:szCs w:val="20"/>
              </w:rPr>
              <w:t>，期权出售方计入</w:t>
            </w:r>
            <w:r w:rsidRPr="00CB4B9E">
              <w:rPr>
                <w:rFonts w:ascii="宋体" w:hAnsi="宋体" w:cs="宋体"/>
                <w:color w:val="000000" w:themeColor="text1"/>
                <w:kern w:val="0"/>
                <w:sz w:val="20"/>
                <w:szCs w:val="20"/>
              </w:rPr>
              <w:t>C0112</w:t>
            </w:r>
            <w:r w:rsidRPr="00CB4B9E">
              <w:rPr>
                <w:rFonts w:ascii="宋体" w:hAnsi="宋体" w:cs="宋体" w:hint="eastAsia"/>
                <w:color w:val="000000" w:themeColor="text1"/>
                <w:kern w:val="0"/>
                <w:sz w:val="20"/>
                <w:szCs w:val="20"/>
              </w:rPr>
              <w:t>。</w:t>
            </w:r>
          </w:p>
        </w:tc>
        <w:tc>
          <w:tcPr>
            <w:tcW w:w="2604" w:type="pct"/>
            <w:shd w:val="clear" w:color="auto" w:fill="auto"/>
          </w:tcPr>
          <w:p w:rsidR="00CB7316" w:rsidRPr="009263D7" w:rsidRDefault="00CB4B9E" w:rsidP="00F97807">
            <w:pPr>
              <w:widowControl/>
              <w:rPr>
                <w:rFonts w:ascii="宋体" w:hAnsi="宋体" w:cs="宋体"/>
                <w:b/>
                <w:color w:val="000000" w:themeColor="text1"/>
                <w:kern w:val="0"/>
                <w:sz w:val="20"/>
                <w:szCs w:val="20"/>
              </w:rPr>
            </w:pPr>
            <w:r w:rsidRPr="00CB4B9E">
              <w:rPr>
                <w:rFonts w:ascii="宋体" w:hAnsi="宋体" w:cs="宋体"/>
                <w:color w:val="000000" w:themeColor="text1"/>
                <w:kern w:val="0"/>
                <w:sz w:val="20"/>
                <w:szCs w:val="20"/>
              </w:rPr>
              <w:t>1.远期类合约，期初以零值开始，C0111</w:t>
            </w:r>
            <w:r w:rsidRPr="00CB4B9E">
              <w:rPr>
                <w:rFonts w:ascii="宋体" w:hAnsi="宋体" w:cs="宋体" w:hint="eastAsia"/>
                <w:color w:val="000000" w:themeColor="text1"/>
                <w:kern w:val="0"/>
                <w:sz w:val="20"/>
                <w:szCs w:val="20"/>
              </w:rPr>
              <w:t>和</w:t>
            </w:r>
            <w:r w:rsidRPr="00CB4B9E">
              <w:rPr>
                <w:rFonts w:ascii="宋体" w:hAnsi="宋体" w:cs="宋体"/>
                <w:color w:val="000000" w:themeColor="text1"/>
                <w:kern w:val="0"/>
                <w:sz w:val="20"/>
                <w:szCs w:val="20"/>
              </w:rPr>
              <w:t>C0112</w:t>
            </w:r>
            <w:r w:rsidRPr="00CB4B9E">
              <w:rPr>
                <w:rFonts w:ascii="宋体" w:hAnsi="宋体" w:cs="宋体" w:hint="eastAsia"/>
                <w:color w:val="000000" w:themeColor="text1"/>
                <w:kern w:val="0"/>
                <w:sz w:val="20"/>
                <w:szCs w:val="20"/>
              </w:rPr>
              <w:t>均不计入。</w:t>
            </w:r>
          </w:p>
        </w:tc>
      </w:tr>
      <w:tr w:rsidR="00CB7316" w:rsidRPr="009263D7">
        <w:trPr>
          <w:trHeight w:val="274"/>
        </w:trPr>
        <w:tc>
          <w:tcPr>
            <w:tcW w:w="2396" w:type="pct"/>
            <w:shd w:val="clear" w:color="auto" w:fill="auto"/>
          </w:tcPr>
          <w:p w:rsidR="00CB7316" w:rsidRPr="009263D7" w:rsidRDefault="00CB4B9E" w:rsidP="00234F42">
            <w:pPr>
              <w:widowControl/>
              <w:rPr>
                <w:rFonts w:ascii="宋体" w:hAnsi="宋体" w:cs="宋体"/>
                <w:color w:val="000000" w:themeColor="text1"/>
                <w:kern w:val="0"/>
                <w:sz w:val="20"/>
                <w:szCs w:val="20"/>
              </w:rPr>
            </w:pPr>
            <w:r w:rsidRPr="00CB4B9E">
              <w:rPr>
                <w:rFonts w:ascii="宋体" w:hAnsi="宋体" w:cs="宋体"/>
                <w:color w:val="000000" w:themeColor="text1"/>
                <w:kern w:val="0"/>
                <w:sz w:val="20"/>
                <w:szCs w:val="20"/>
              </w:rPr>
              <w:t>2.期权类合约转让产生的现金流，买入方计入C0111,卖出方计入C0112。</w:t>
            </w:r>
          </w:p>
        </w:tc>
        <w:tc>
          <w:tcPr>
            <w:tcW w:w="2604" w:type="pct"/>
            <w:shd w:val="clear" w:color="auto" w:fill="auto"/>
          </w:tcPr>
          <w:p w:rsidR="00CB7316" w:rsidRPr="009263D7" w:rsidRDefault="00CB4B9E" w:rsidP="00F97807">
            <w:pPr>
              <w:widowControl/>
              <w:rPr>
                <w:rFonts w:ascii="宋体" w:hAnsi="宋体" w:cs="宋体"/>
                <w:b/>
                <w:color w:val="000000" w:themeColor="text1"/>
                <w:kern w:val="0"/>
                <w:sz w:val="20"/>
                <w:szCs w:val="20"/>
              </w:rPr>
            </w:pPr>
            <w:r w:rsidRPr="00CB4B9E">
              <w:rPr>
                <w:rFonts w:ascii="宋体" w:hAnsi="宋体" w:cs="宋体"/>
                <w:color w:val="000000" w:themeColor="text1"/>
                <w:kern w:val="0"/>
                <w:sz w:val="20"/>
                <w:szCs w:val="20"/>
              </w:rPr>
              <w:t>2.远期类合约存续期内，重新估值，不发生现金流，不计入C0111</w:t>
            </w:r>
            <w:r w:rsidRPr="00CB4B9E">
              <w:rPr>
                <w:rFonts w:ascii="宋体" w:hAnsi="宋体" w:cs="宋体" w:hint="eastAsia"/>
                <w:color w:val="000000" w:themeColor="text1"/>
                <w:kern w:val="0"/>
                <w:sz w:val="20"/>
                <w:szCs w:val="20"/>
              </w:rPr>
              <w:t>和</w:t>
            </w:r>
            <w:r w:rsidRPr="00CB4B9E">
              <w:rPr>
                <w:rFonts w:ascii="宋体" w:hAnsi="宋体" w:cs="宋体"/>
                <w:color w:val="000000" w:themeColor="text1"/>
                <w:kern w:val="0"/>
                <w:sz w:val="20"/>
                <w:szCs w:val="20"/>
              </w:rPr>
              <w:t>C0112</w:t>
            </w:r>
            <w:r w:rsidRPr="00CB4B9E">
              <w:rPr>
                <w:rFonts w:ascii="宋体" w:hAnsi="宋体" w:cs="宋体" w:hint="eastAsia"/>
                <w:color w:val="000000" w:themeColor="text1"/>
                <w:kern w:val="0"/>
                <w:sz w:val="20"/>
                <w:szCs w:val="20"/>
              </w:rPr>
              <w:t>。</w:t>
            </w:r>
          </w:p>
        </w:tc>
      </w:tr>
      <w:tr w:rsidR="00CB7316" w:rsidRPr="009263D7">
        <w:trPr>
          <w:trHeight w:val="274"/>
        </w:trPr>
        <w:tc>
          <w:tcPr>
            <w:tcW w:w="2396" w:type="pct"/>
            <w:shd w:val="clear" w:color="auto" w:fill="auto"/>
          </w:tcPr>
          <w:p w:rsidR="00CB7316" w:rsidRPr="009263D7" w:rsidRDefault="00CB4B9E" w:rsidP="00F97807">
            <w:pPr>
              <w:widowControl/>
              <w:rPr>
                <w:rFonts w:ascii="宋体" w:hAnsi="宋体" w:cs="宋体"/>
                <w:color w:val="000000" w:themeColor="text1"/>
                <w:kern w:val="0"/>
                <w:sz w:val="20"/>
                <w:szCs w:val="20"/>
              </w:rPr>
            </w:pPr>
            <w:r w:rsidRPr="00CB4B9E">
              <w:rPr>
                <w:rFonts w:ascii="宋体" w:hAnsi="宋体" w:cs="宋体"/>
                <w:color w:val="000000" w:themeColor="text1"/>
                <w:kern w:val="0"/>
                <w:sz w:val="20"/>
                <w:szCs w:val="20"/>
              </w:rPr>
              <w:t>3.期权类合约行权时，采用现金结算（差额交割），支出现金的一方计入C0111</w:t>
            </w:r>
            <w:r w:rsidRPr="00CB4B9E">
              <w:rPr>
                <w:rFonts w:ascii="宋体" w:hAnsi="宋体" w:cs="宋体" w:hint="eastAsia"/>
                <w:color w:val="000000" w:themeColor="text1"/>
                <w:kern w:val="0"/>
                <w:sz w:val="20"/>
                <w:szCs w:val="20"/>
              </w:rPr>
              <w:t>，收入现金的一方计入</w:t>
            </w:r>
            <w:r w:rsidRPr="00CB4B9E">
              <w:rPr>
                <w:rFonts w:ascii="宋体" w:hAnsi="宋体" w:cs="宋体"/>
                <w:color w:val="000000" w:themeColor="text1"/>
                <w:kern w:val="0"/>
                <w:sz w:val="20"/>
                <w:szCs w:val="20"/>
              </w:rPr>
              <w:t xml:space="preserve">C0112; </w:t>
            </w:r>
            <w:r w:rsidRPr="00CB4B9E">
              <w:rPr>
                <w:rFonts w:ascii="宋体" w:hAnsi="宋体" w:cs="宋体" w:hint="eastAsia"/>
                <w:color w:val="000000" w:themeColor="text1"/>
                <w:kern w:val="0"/>
                <w:sz w:val="20"/>
                <w:szCs w:val="20"/>
              </w:rPr>
              <w:t>采用金融衍生品挂钩的基础资产结算（全额交割），将基础资产市场价格与履约价格的差异（盈亏）部分计入该项，亏损的计入</w:t>
            </w:r>
            <w:r w:rsidRPr="00CB4B9E">
              <w:rPr>
                <w:rFonts w:ascii="宋体" w:hAnsi="宋体" w:cs="宋体"/>
                <w:color w:val="000000" w:themeColor="text1"/>
                <w:kern w:val="0"/>
                <w:sz w:val="20"/>
                <w:szCs w:val="20"/>
              </w:rPr>
              <w:t>C0111</w:t>
            </w:r>
            <w:r w:rsidRPr="00CB4B9E">
              <w:rPr>
                <w:rFonts w:ascii="宋体" w:hAnsi="宋体" w:cs="宋体" w:hint="eastAsia"/>
                <w:color w:val="000000" w:themeColor="text1"/>
                <w:kern w:val="0"/>
                <w:sz w:val="20"/>
                <w:szCs w:val="20"/>
              </w:rPr>
              <w:t>，盈利的计入</w:t>
            </w:r>
            <w:r w:rsidRPr="00CB4B9E">
              <w:rPr>
                <w:rFonts w:ascii="宋体" w:hAnsi="宋体" w:cs="宋体"/>
                <w:color w:val="000000" w:themeColor="text1"/>
                <w:kern w:val="0"/>
                <w:sz w:val="20"/>
                <w:szCs w:val="20"/>
              </w:rPr>
              <w:t>C0112</w:t>
            </w:r>
            <w:r w:rsidRPr="00CB4B9E">
              <w:rPr>
                <w:rFonts w:ascii="宋体" w:hAnsi="宋体" w:cs="宋体" w:hint="eastAsia"/>
                <w:color w:val="000000" w:themeColor="text1"/>
                <w:kern w:val="0"/>
                <w:sz w:val="20"/>
                <w:szCs w:val="20"/>
              </w:rPr>
              <w:t>。</w:t>
            </w:r>
          </w:p>
        </w:tc>
        <w:tc>
          <w:tcPr>
            <w:tcW w:w="2604" w:type="pct"/>
            <w:shd w:val="clear" w:color="auto" w:fill="auto"/>
          </w:tcPr>
          <w:p w:rsidR="00CB7316" w:rsidRPr="009263D7" w:rsidRDefault="00CB4B9E" w:rsidP="00F97807">
            <w:pPr>
              <w:widowControl/>
              <w:rPr>
                <w:rFonts w:ascii="宋体" w:hAnsi="宋体" w:cs="宋体"/>
                <w:b/>
                <w:color w:val="000000" w:themeColor="text1"/>
                <w:kern w:val="0"/>
                <w:sz w:val="20"/>
                <w:szCs w:val="20"/>
              </w:rPr>
            </w:pPr>
            <w:r w:rsidRPr="00CB4B9E">
              <w:rPr>
                <w:rFonts w:ascii="宋体" w:hAnsi="宋体" w:cs="宋体"/>
                <w:color w:val="000000" w:themeColor="text1"/>
                <w:kern w:val="0"/>
                <w:sz w:val="20"/>
                <w:szCs w:val="20"/>
              </w:rPr>
              <w:t>3.远期类合约交割时，采用现金结算（差额交割），支出现金的一方计入C0111</w:t>
            </w:r>
            <w:r w:rsidRPr="00CB4B9E">
              <w:rPr>
                <w:rFonts w:ascii="宋体" w:hAnsi="宋体" w:cs="宋体" w:hint="eastAsia"/>
                <w:color w:val="000000" w:themeColor="text1"/>
                <w:kern w:val="0"/>
                <w:sz w:val="20"/>
                <w:szCs w:val="20"/>
              </w:rPr>
              <w:t>，收入现金的一方计入</w:t>
            </w:r>
            <w:r w:rsidRPr="00CB4B9E">
              <w:rPr>
                <w:rFonts w:ascii="宋体" w:hAnsi="宋体" w:cs="宋体"/>
                <w:color w:val="000000" w:themeColor="text1"/>
                <w:kern w:val="0"/>
                <w:sz w:val="20"/>
                <w:szCs w:val="20"/>
              </w:rPr>
              <w:t xml:space="preserve">C0112; </w:t>
            </w:r>
            <w:r w:rsidRPr="00CB4B9E">
              <w:rPr>
                <w:rFonts w:ascii="宋体" w:hAnsi="宋体" w:cs="宋体" w:hint="eastAsia"/>
                <w:color w:val="000000" w:themeColor="text1"/>
                <w:kern w:val="0"/>
                <w:sz w:val="20"/>
                <w:szCs w:val="20"/>
              </w:rPr>
              <w:t>采用金融衍生品挂钩的基础资产结算（全额交割），将基础资产市场价格与履约价格的差异（盈亏）部分计入该项，亏损的计入</w:t>
            </w:r>
            <w:r w:rsidRPr="00CB4B9E">
              <w:rPr>
                <w:rFonts w:ascii="宋体" w:hAnsi="宋体" w:cs="宋体"/>
                <w:color w:val="000000" w:themeColor="text1"/>
                <w:kern w:val="0"/>
                <w:sz w:val="20"/>
                <w:szCs w:val="20"/>
              </w:rPr>
              <w:t>C0111</w:t>
            </w:r>
            <w:r w:rsidRPr="00CB4B9E">
              <w:rPr>
                <w:rFonts w:ascii="宋体" w:hAnsi="宋体" w:cs="宋体" w:hint="eastAsia"/>
                <w:color w:val="000000" w:themeColor="text1"/>
                <w:kern w:val="0"/>
                <w:sz w:val="20"/>
                <w:szCs w:val="20"/>
              </w:rPr>
              <w:t>，盈利的计入</w:t>
            </w:r>
            <w:r w:rsidRPr="00CB4B9E">
              <w:rPr>
                <w:rFonts w:ascii="宋体" w:hAnsi="宋体" w:cs="宋体"/>
                <w:color w:val="000000" w:themeColor="text1"/>
                <w:kern w:val="0"/>
                <w:sz w:val="20"/>
                <w:szCs w:val="20"/>
              </w:rPr>
              <w:t>C0112</w:t>
            </w:r>
            <w:r w:rsidRPr="00CB4B9E">
              <w:rPr>
                <w:rFonts w:ascii="宋体" w:hAnsi="宋体" w:cs="宋体" w:hint="eastAsia"/>
                <w:color w:val="000000" w:themeColor="text1"/>
                <w:kern w:val="0"/>
                <w:sz w:val="20"/>
                <w:szCs w:val="20"/>
              </w:rPr>
              <w:t>。对于在存续期内持续盯市并清算的远期类合约（如期货合约），支出现金的一方计入</w:t>
            </w:r>
            <w:r w:rsidRPr="00CB4B9E">
              <w:rPr>
                <w:rFonts w:ascii="宋体" w:hAnsi="宋体" w:cs="宋体"/>
                <w:color w:val="000000" w:themeColor="text1"/>
                <w:kern w:val="0"/>
                <w:sz w:val="20"/>
                <w:szCs w:val="20"/>
              </w:rPr>
              <w:t>C0111,收入现金的一方计入C0112</w:t>
            </w:r>
            <w:r w:rsidRPr="00CB4B9E">
              <w:rPr>
                <w:rFonts w:ascii="宋体" w:hAnsi="宋体" w:cs="宋体" w:hint="eastAsia"/>
                <w:color w:val="000000" w:themeColor="text1"/>
                <w:kern w:val="0"/>
                <w:sz w:val="20"/>
                <w:szCs w:val="20"/>
              </w:rPr>
              <w:t>。</w:t>
            </w:r>
          </w:p>
        </w:tc>
      </w:tr>
      <w:tr w:rsidR="00CB7316" w:rsidRPr="009263D7">
        <w:trPr>
          <w:trHeight w:val="274"/>
        </w:trPr>
        <w:tc>
          <w:tcPr>
            <w:tcW w:w="2396" w:type="pct"/>
            <w:shd w:val="clear" w:color="auto" w:fill="auto"/>
          </w:tcPr>
          <w:p w:rsidR="00CB7316" w:rsidRPr="009263D7" w:rsidRDefault="00CB4B9E" w:rsidP="00F97807">
            <w:pPr>
              <w:widowControl/>
              <w:rPr>
                <w:rFonts w:ascii="宋体" w:hAnsi="宋体" w:cs="宋体"/>
                <w:color w:val="000000" w:themeColor="text1"/>
                <w:kern w:val="0"/>
                <w:sz w:val="20"/>
                <w:szCs w:val="20"/>
              </w:rPr>
            </w:pPr>
            <w:r w:rsidRPr="00CB4B9E">
              <w:rPr>
                <w:rFonts w:ascii="宋体" w:hAnsi="宋体" w:cs="宋体"/>
                <w:color w:val="000000" w:themeColor="text1"/>
                <w:kern w:val="0"/>
                <w:sz w:val="20"/>
                <w:szCs w:val="20"/>
              </w:rPr>
              <w:t>4.月末，本机构持有的尚未交割的合约价格重估不产生现金流，不计入C0111</w:t>
            </w:r>
            <w:r w:rsidRPr="00CB4B9E">
              <w:rPr>
                <w:rFonts w:ascii="宋体" w:hAnsi="宋体" w:cs="宋体" w:hint="eastAsia"/>
                <w:color w:val="000000" w:themeColor="text1"/>
                <w:kern w:val="0"/>
                <w:sz w:val="20"/>
                <w:szCs w:val="20"/>
              </w:rPr>
              <w:t>和</w:t>
            </w:r>
            <w:r w:rsidRPr="00CB4B9E">
              <w:rPr>
                <w:rFonts w:ascii="宋体" w:hAnsi="宋体" w:cs="宋体"/>
                <w:color w:val="000000" w:themeColor="text1"/>
                <w:kern w:val="0"/>
                <w:sz w:val="20"/>
                <w:szCs w:val="20"/>
              </w:rPr>
              <w:t>C0112</w:t>
            </w:r>
            <w:r w:rsidRPr="00CB4B9E">
              <w:rPr>
                <w:rFonts w:ascii="宋体" w:hAnsi="宋体" w:cs="宋体" w:hint="eastAsia"/>
                <w:color w:val="000000" w:themeColor="text1"/>
                <w:kern w:val="0"/>
                <w:sz w:val="20"/>
                <w:szCs w:val="20"/>
              </w:rPr>
              <w:t>。</w:t>
            </w:r>
          </w:p>
        </w:tc>
        <w:tc>
          <w:tcPr>
            <w:tcW w:w="2604" w:type="pct"/>
            <w:shd w:val="clear" w:color="auto" w:fill="auto"/>
          </w:tcPr>
          <w:p w:rsidR="00CB7316" w:rsidRPr="009263D7" w:rsidRDefault="00CB7316" w:rsidP="008E2D8C">
            <w:pPr>
              <w:keepNext/>
              <w:keepLines/>
              <w:widowControl/>
              <w:tabs>
                <w:tab w:val="num" w:pos="1440"/>
              </w:tabs>
              <w:spacing w:before="260" w:after="260" w:line="415" w:lineRule="auto"/>
              <w:ind w:left="1080" w:hanging="720"/>
              <w:jc w:val="center"/>
              <w:outlineLvl w:val="2"/>
              <w:rPr>
                <w:rFonts w:ascii="宋体" w:hAnsi="宋体" w:cs="宋体"/>
                <w:b/>
                <w:color w:val="000000" w:themeColor="text1"/>
                <w:kern w:val="0"/>
                <w:sz w:val="20"/>
                <w:szCs w:val="20"/>
              </w:rPr>
            </w:pPr>
          </w:p>
        </w:tc>
      </w:tr>
    </w:tbl>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例</w:t>
      </w:r>
      <w:r w:rsidRPr="00CB4B9E">
        <w:rPr>
          <w:color w:val="000000" w:themeColor="text1"/>
          <w:sz w:val="18"/>
          <w:szCs w:val="18"/>
        </w:rPr>
        <w:t>1</w:t>
      </w:r>
      <w:r w:rsidRPr="00CB4B9E">
        <w:rPr>
          <w:rFonts w:hint="eastAsia"/>
          <w:color w:val="000000" w:themeColor="text1"/>
          <w:sz w:val="18"/>
          <w:szCs w:val="18"/>
        </w:rPr>
        <w:t>：</w:t>
      </w:r>
    </w:p>
    <w:p w:rsidR="00BE72C0" w:rsidRPr="009263D7" w:rsidRDefault="00CB4B9E" w:rsidP="00BE72C0">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1</w:t>
      </w:r>
      <w:r w:rsidRPr="00CB4B9E">
        <w:rPr>
          <w:rFonts w:hint="eastAsia"/>
          <w:color w:val="000000" w:themeColor="text1"/>
          <w:sz w:val="18"/>
          <w:szCs w:val="18"/>
        </w:rPr>
        <w:t>）证券公司</w:t>
      </w:r>
      <w:r w:rsidRPr="00CB4B9E">
        <w:rPr>
          <w:color w:val="000000" w:themeColor="text1"/>
          <w:sz w:val="18"/>
          <w:szCs w:val="18"/>
        </w:rPr>
        <w:t>A</w:t>
      </w:r>
      <w:r w:rsidRPr="00CB4B9E">
        <w:rPr>
          <w:rFonts w:hint="eastAsia"/>
          <w:color w:val="000000" w:themeColor="text1"/>
          <w:sz w:val="18"/>
          <w:szCs w:val="18"/>
        </w:rPr>
        <w:t>期初持有金融衍生产品头寸为零，但后续所有交易和头寸均是以美元计值的，则该公司“</w:t>
      </w:r>
      <w:r w:rsidRPr="00CB4B9E">
        <w:rPr>
          <w:color w:val="000000" w:themeColor="text1"/>
          <w:sz w:val="18"/>
          <w:szCs w:val="18"/>
        </w:rPr>
        <w:t>C0109</w:t>
      </w:r>
      <w:r w:rsidRPr="00CB4B9E">
        <w:rPr>
          <w:rFonts w:hint="eastAsia"/>
          <w:color w:val="000000" w:themeColor="text1"/>
          <w:sz w:val="18"/>
          <w:szCs w:val="18"/>
        </w:rPr>
        <w:t>结算的原始币种”应填报美元代码。</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2</w:t>
      </w:r>
      <w:r w:rsidRPr="00CB4B9E">
        <w:rPr>
          <w:rFonts w:hint="eastAsia"/>
          <w:color w:val="000000" w:themeColor="text1"/>
          <w:sz w:val="18"/>
          <w:szCs w:val="18"/>
        </w:rPr>
        <w:t>）证券公司</w:t>
      </w:r>
      <w:r w:rsidRPr="00CB4B9E">
        <w:rPr>
          <w:color w:val="000000" w:themeColor="text1"/>
          <w:sz w:val="18"/>
          <w:szCs w:val="18"/>
        </w:rPr>
        <w:t>A</w:t>
      </w:r>
      <w:r w:rsidRPr="00CB4B9E">
        <w:rPr>
          <w:rFonts w:hint="eastAsia"/>
          <w:color w:val="000000" w:themeColor="text1"/>
          <w:sz w:val="18"/>
          <w:szCs w:val="18"/>
        </w:rPr>
        <w:t>期初持有金融衍生产品头寸为零。该公司“</w:t>
      </w:r>
      <w:r w:rsidRPr="00CB4B9E">
        <w:rPr>
          <w:color w:val="000000" w:themeColor="text1"/>
          <w:sz w:val="18"/>
          <w:szCs w:val="18"/>
        </w:rPr>
        <w:t>C0110</w:t>
      </w:r>
      <w:r w:rsidRPr="00CB4B9E">
        <w:rPr>
          <w:rFonts w:hint="eastAsia"/>
          <w:color w:val="000000" w:themeColor="text1"/>
          <w:sz w:val="18"/>
          <w:szCs w:val="18"/>
        </w:rPr>
        <w:t>上月末头寸市值</w:t>
      </w:r>
      <w:r w:rsidRPr="00CB4B9E">
        <w:rPr>
          <w:color w:val="000000" w:themeColor="text1"/>
          <w:sz w:val="18"/>
          <w:szCs w:val="18"/>
        </w:rPr>
        <w:t>”</w:t>
      </w:r>
      <w:r w:rsidRPr="00CB4B9E">
        <w:rPr>
          <w:rFonts w:hint="eastAsia"/>
          <w:color w:val="000000" w:themeColor="text1"/>
          <w:sz w:val="18"/>
          <w:szCs w:val="18"/>
        </w:rPr>
        <w:t>填报为零。</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3</w:t>
      </w:r>
      <w:r w:rsidRPr="00CB4B9E">
        <w:rPr>
          <w:rFonts w:hint="eastAsia"/>
          <w:color w:val="000000" w:themeColor="text1"/>
          <w:sz w:val="18"/>
          <w:szCs w:val="18"/>
        </w:rPr>
        <w:t>）当月，证券公司</w:t>
      </w:r>
      <w:r w:rsidRPr="00CB4B9E">
        <w:rPr>
          <w:color w:val="000000" w:themeColor="text1"/>
          <w:sz w:val="18"/>
          <w:szCs w:val="18"/>
        </w:rPr>
        <w:t>A</w:t>
      </w:r>
      <w:r w:rsidRPr="00CB4B9E">
        <w:rPr>
          <w:rFonts w:hint="eastAsia"/>
          <w:color w:val="000000" w:themeColor="text1"/>
          <w:sz w:val="18"/>
          <w:szCs w:val="18"/>
        </w:rPr>
        <w:t>与境外证券公司</w:t>
      </w:r>
      <w:r w:rsidRPr="00CB4B9E">
        <w:rPr>
          <w:color w:val="000000" w:themeColor="text1"/>
          <w:sz w:val="18"/>
          <w:szCs w:val="18"/>
        </w:rPr>
        <w:t>B</w:t>
      </w:r>
      <w:r w:rsidRPr="00CB4B9E">
        <w:rPr>
          <w:rFonts w:hint="eastAsia"/>
          <w:color w:val="000000" w:themeColor="text1"/>
          <w:sz w:val="18"/>
          <w:szCs w:val="18"/>
        </w:rPr>
        <w:t>签订三份期权合约。按照每份合约约定，该行在约定期限内可以</w:t>
      </w:r>
      <w:r w:rsidRPr="00CB4B9E">
        <w:rPr>
          <w:color w:val="000000" w:themeColor="text1"/>
          <w:sz w:val="18"/>
          <w:szCs w:val="18"/>
        </w:rPr>
        <w:t>80</w:t>
      </w:r>
      <w:r w:rsidRPr="00CB4B9E">
        <w:rPr>
          <w:rFonts w:hint="eastAsia"/>
          <w:color w:val="000000" w:themeColor="text1"/>
          <w:sz w:val="18"/>
          <w:szCs w:val="18"/>
        </w:rPr>
        <w:t>美元价格购买</w:t>
      </w:r>
      <w:r w:rsidRPr="00CB4B9E">
        <w:rPr>
          <w:color w:val="000000" w:themeColor="text1"/>
          <w:sz w:val="18"/>
          <w:szCs w:val="18"/>
        </w:rPr>
        <w:t>100</w:t>
      </w:r>
      <w:r w:rsidRPr="00CB4B9E">
        <w:rPr>
          <w:rFonts w:hint="eastAsia"/>
          <w:color w:val="000000" w:themeColor="text1"/>
          <w:sz w:val="18"/>
          <w:szCs w:val="18"/>
        </w:rPr>
        <w:t>股上市公司</w:t>
      </w:r>
      <w:r w:rsidRPr="00CB4B9E">
        <w:rPr>
          <w:color w:val="000000" w:themeColor="text1"/>
          <w:sz w:val="18"/>
          <w:szCs w:val="18"/>
        </w:rPr>
        <w:t>C</w:t>
      </w:r>
      <w:r w:rsidRPr="00CB4B9E">
        <w:rPr>
          <w:rFonts w:hint="eastAsia"/>
          <w:color w:val="000000" w:themeColor="text1"/>
          <w:sz w:val="18"/>
          <w:szCs w:val="18"/>
        </w:rPr>
        <w:t>的股票。证券公司</w:t>
      </w:r>
      <w:r w:rsidRPr="00CB4B9E">
        <w:rPr>
          <w:color w:val="000000" w:themeColor="text1"/>
          <w:sz w:val="18"/>
          <w:szCs w:val="18"/>
        </w:rPr>
        <w:t>A</w:t>
      </w:r>
      <w:r w:rsidRPr="00CB4B9E">
        <w:rPr>
          <w:rFonts w:hint="eastAsia"/>
          <w:color w:val="000000" w:themeColor="text1"/>
          <w:sz w:val="18"/>
          <w:szCs w:val="18"/>
        </w:rPr>
        <w:t>共向证券公司</w:t>
      </w:r>
      <w:r w:rsidRPr="00CB4B9E">
        <w:rPr>
          <w:color w:val="000000" w:themeColor="text1"/>
          <w:sz w:val="18"/>
          <w:szCs w:val="18"/>
        </w:rPr>
        <w:t>B</w:t>
      </w:r>
      <w:r w:rsidRPr="00CB4B9E">
        <w:rPr>
          <w:rFonts w:hint="eastAsia"/>
          <w:color w:val="000000" w:themeColor="text1"/>
          <w:sz w:val="18"/>
          <w:szCs w:val="18"/>
        </w:rPr>
        <w:t>支付</w:t>
      </w:r>
      <w:r w:rsidRPr="00CB4B9E">
        <w:rPr>
          <w:color w:val="000000" w:themeColor="text1"/>
          <w:sz w:val="18"/>
          <w:szCs w:val="18"/>
        </w:rPr>
        <w:t>300</w:t>
      </w:r>
      <w:r w:rsidRPr="00CB4B9E">
        <w:rPr>
          <w:rFonts w:hint="eastAsia"/>
          <w:color w:val="000000" w:themeColor="text1"/>
          <w:sz w:val="18"/>
          <w:szCs w:val="18"/>
        </w:rPr>
        <w:t>美元期权费（</w:t>
      </w:r>
      <w:r w:rsidRPr="00CB4B9E">
        <w:rPr>
          <w:color w:val="000000" w:themeColor="text1"/>
          <w:sz w:val="18"/>
          <w:szCs w:val="18"/>
        </w:rPr>
        <w:t>100</w:t>
      </w:r>
      <w:r w:rsidRPr="00CB4B9E">
        <w:rPr>
          <w:rFonts w:hint="eastAsia"/>
          <w:color w:val="000000" w:themeColor="text1"/>
          <w:sz w:val="18"/>
          <w:szCs w:val="18"/>
        </w:rPr>
        <w:t>美元</w:t>
      </w:r>
      <w:r w:rsidRPr="00CB4B9E">
        <w:rPr>
          <w:color w:val="000000" w:themeColor="text1"/>
          <w:sz w:val="18"/>
          <w:szCs w:val="18"/>
        </w:rPr>
        <w:t>/</w:t>
      </w:r>
      <w:r w:rsidRPr="00CB4B9E">
        <w:rPr>
          <w:rFonts w:hint="eastAsia"/>
          <w:color w:val="000000" w:themeColor="text1"/>
          <w:sz w:val="18"/>
          <w:szCs w:val="18"/>
        </w:rPr>
        <w:t>份），应在“</w:t>
      </w:r>
      <w:r w:rsidRPr="00CB4B9E">
        <w:rPr>
          <w:color w:val="000000" w:themeColor="text1"/>
          <w:sz w:val="18"/>
          <w:szCs w:val="18"/>
        </w:rPr>
        <w:t>C0111</w:t>
      </w:r>
      <w:r w:rsidRPr="00CB4B9E">
        <w:rPr>
          <w:rFonts w:hint="eastAsia"/>
          <w:color w:val="000000" w:themeColor="text1"/>
          <w:sz w:val="18"/>
          <w:szCs w:val="18"/>
        </w:rPr>
        <w:t>本月</w:t>
      </w:r>
      <w:r w:rsidRPr="00CB4B9E">
        <w:rPr>
          <w:color w:val="000000" w:themeColor="text1"/>
          <w:sz w:val="18"/>
          <w:szCs w:val="18"/>
        </w:rPr>
        <w:t>(</w:t>
      </w:r>
      <w:r w:rsidRPr="00CB4B9E">
        <w:rPr>
          <w:rFonts w:hint="eastAsia"/>
          <w:color w:val="000000" w:themeColor="text1"/>
          <w:sz w:val="18"/>
          <w:szCs w:val="18"/>
        </w:rPr>
        <w:t>现金</w:t>
      </w:r>
      <w:r w:rsidRPr="00CB4B9E">
        <w:rPr>
          <w:color w:val="000000" w:themeColor="text1"/>
          <w:sz w:val="18"/>
          <w:szCs w:val="18"/>
        </w:rPr>
        <w:t>)</w:t>
      </w:r>
      <w:r w:rsidRPr="00CB4B9E">
        <w:rPr>
          <w:rFonts w:hint="eastAsia"/>
          <w:color w:val="000000" w:themeColor="text1"/>
          <w:sz w:val="18"/>
          <w:szCs w:val="18"/>
        </w:rPr>
        <w:t>结算付款额”栏填金额“</w:t>
      </w:r>
      <w:r w:rsidRPr="00CB4B9E">
        <w:rPr>
          <w:color w:val="000000" w:themeColor="text1"/>
          <w:sz w:val="18"/>
          <w:szCs w:val="18"/>
        </w:rPr>
        <w:t>300</w:t>
      </w:r>
      <w:r w:rsidRPr="00CB4B9E">
        <w:rPr>
          <w:rFonts w:hint="eastAsia"/>
          <w:color w:val="000000" w:themeColor="text1"/>
          <w:sz w:val="18"/>
          <w:szCs w:val="18"/>
        </w:rPr>
        <w:t>（美元）”。</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4</w:t>
      </w:r>
      <w:r w:rsidRPr="00CB4B9E">
        <w:rPr>
          <w:rFonts w:hint="eastAsia"/>
          <w:color w:val="000000" w:themeColor="text1"/>
          <w:sz w:val="18"/>
          <w:szCs w:val="18"/>
        </w:rPr>
        <w:t>）当月，证券公司</w:t>
      </w:r>
      <w:r w:rsidRPr="00CB4B9E">
        <w:rPr>
          <w:color w:val="000000" w:themeColor="text1"/>
          <w:sz w:val="18"/>
          <w:szCs w:val="18"/>
        </w:rPr>
        <w:t>A</w:t>
      </w:r>
      <w:r w:rsidRPr="00CB4B9E">
        <w:rPr>
          <w:rFonts w:hint="eastAsia"/>
          <w:color w:val="000000" w:themeColor="text1"/>
          <w:sz w:val="18"/>
          <w:szCs w:val="18"/>
        </w:rPr>
        <w:t>向境外证券公司</w:t>
      </w:r>
      <w:r w:rsidRPr="00CB4B9E">
        <w:rPr>
          <w:color w:val="000000" w:themeColor="text1"/>
          <w:sz w:val="18"/>
          <w:szCs w:val="18"/>
        </w:rPr>
        <w:t>C</w:t>
      </w:r>
      <w:r w:rsidRPr="00CB4B9E">
        <w:rPr>
          <w:rFonts w:hint="eastAsia"/>
          <w:color w:val="000000" w:themeColor="text1"/>
          <w:sz w:val="18"/>
          <w:szCs w:val="18"/>
        </w:rPr>
        <w:t>以</w:t>
      </w:r>
      <w:r w:rsidRPr="00CB4B9E">
        <w:rPr>
          <w:color w:val="000000" w:themeColor="text1"/>
          <w:sz w:val="18"/>
          <w:szCs w:val="18"/>
        </w:rPr>
        <w:t>105</w:t>
      </w:r>
      <w:r w:rsidRPr="00CB4B9E">
        <w:rPr>
          <w:rFonts w:hint="eastAsia"/>
          <w:color w:val="000000" w:themeColor="text1"/>
          <w:sz w:val="18"/>
          <w:szCs w:val="18"/>
        </w:rPr>
        <w:t>美元转让其中一份期权合约（第一份），应在“</w:t>
      </w:r>
      <w:r w:rsidRPr="00CB4B9E">
        <w:rPr>
          <w:color w:val="000000" w:themeColor="text1"/>
          <w:sz w:val="18"/>
          <w:szCs w:val="18"/>
        </w:rPr>
        <w:t>C0112</w:t>
      </w:r>
      <w:r w:rsidRPr="00CB4B9E">
        <w:rPr>
          <w:rFonts w:hint="eastAsia"/>
          <w:color w:val="000000" w:themeColor="text1"/>
          <w:sz w:val="18"/>
          <w:szCs w:val="18"/>
        </w:rPr>
        <w:t>本月</w:t>
      </w:r>
      <w:r w:rsidRPr="00CB4B9E">
        <w:rPr>
          <w:color w:val="000000" w:themeColor="text1"/>
          <w:sz w:val="18"/>
          <w:szCs w:val="18"/>
        </w:rPr>
        <w:t>(</w:t>
      </w:r>
      <w:r w:rsidRPr="00CB4B9E">
        <w:rPr>
          <w:rFonts w:hint="eastAsia"/>
          <w:color w:val="000000" w:themeColor="text1"/>
          <w:sz w:val="18"/>
          <w:szCs w:val="18"/>
        </w:rPr>
        <w:t>现金</w:t>
      </w:r>
      <w:r w:rsidRPr="00CB4B9E">
        <w:rPr>
          <w:color w:val="000000" w:themeColor="text1"/>
          <w:sz w:val="18"/>
          <w:szCs w:val="18"/>
        </w:rPr>
        <w:t>)</w:t>
      </w:r>
      <w:r w:rsidRPr="00CB4B9E">
        <w:rPr>
          <w:rFonts w:hint="eastAsia"/>
          <w:color w:val="000000" w:themeColor="text1"/>
          <w:sz w:val="18"/>
          <w:szCs w:val="18"/>
        </w:rPr>
        <w:t>结算收款额”栏填金额“</w:t>
      </w:r>
      <w:r w:rsidRPr="00CB4B9E">
        <w:rPr>
          <w:color w:val="000000" w:themeColor="text1"/>
          <w:sz w:val="18"/>
          <w:szCs w:val="18"/>
        </w:rPr>
        <w:t>105</w:t>
      </w:r>
      <w:r w:rsidRPr="00CB4B9E">
        <w:rPr>
          <w:rFonts w:hint="eastAsia"/>
          <w:color w:val="000000" w:themeColor="text1"/>
          <w:sz w:val="18"/>
          <w:szCs w:val="18"/>
        </w:rPr>
        <w:t>（美元）”。</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5</w:t>
      </w:r>
      <w:r w:rsidRPr="00CB4B9E">
        <w:rPr>
          <w:rFonts w:hint="eastAsia"/>
          <w:color w:val="000000" w:themeColor="text1"/>
          <w:sz w:val="18"/>
          <w:szCs w:val="18"/>
        </w:rPr>
        <w:t>）当月，证券公司</w:t>
      </w:r>
      <w:r w:rsidRPr="00CB4B9E">
        <w:rPr>
          <w:color w:val="000000" w:themeColor="text1"/>
          <w:sz w:val="18"/>
          <w:szCs w:val="18"/>
        </w:rPr>
        <w:t>A</w:t>
      </w:r>
      <w:r w:rsidRPr="00CB4B9E">
        <w:rPr>
          <w:rFonts w:hint="eastAsia"/>
          <w:color w:val="000000" w:themeColor="text1"/>
          <w:sz w:val="18"/>
          <w:szCs w:val="18"/>
        </w:rPr>
        <w:t>行权其中一份期权合约（第二份），以</w:t>
      </w:r>
      <w:r w:rsidRPr="00CB4B9E">
        <w:rPr>
          <w:color w:val="000000" w:themeColor="text1"/>
          <w:sz w:val="18"/>
          <w:szCs w:val="18"/>
        </w:rPr>
        <w:t>80</w:t>
      </w:r>
      <w:r w:rsidRPr="00CB4B9E">
        <w:rPr>
          <w:rFonts w:hint="eastAsia"/>
          <w:color w:val="000000" w:themeColor="text1"/>
          <w:sz w:val="18"/>
          <w:szCs w:val="18"/>
        </w:rPr>
        <w:t>美元价格购买</w:t>
      </w:r>
      <w:r w:rsidRPr="00CB4B9E">
        <w:rPr>
          <w:color w:val="000000" w:themeColor="text1"/>
          <w:sz w:val="18"/>
          <w:szCs w:val="18"/>
        </w:rPr>
        <w:t>100</w:t>
      </w:r>
      <w:r w:rsidRPr="00CB4B9E">
        <w:rPr>
          <w:rFonts w:hint="eastAsia"/>
          <w:color w:val="000000" w:themeColor="text1"/>
          <w:sz w:val="18"/>
          <w:szCs w:val="18"/>
        </w:rPr>
        <w:t>股上市公司</w:t>
      </w:r>
      <w:r w:rsidRPr="00CB4B9E">
        <w:rPr>
          <w:color w:val="000000" w:themeColor="text1"/>
          <w:sz w:val="18"/>
          <w:szCs w:val="18"/>
        </w:rPr>
        <w:t>C</w:t>
      </w:r>
      <w:r w:rsidRPr="00CB4B9E">
        <w:rPr>
          <w:rFonts w:hint="eastAsia"/>
          <w:color w:val="000000" w:themeColor="text1"/>
          <w:sz w:val="18"/>
          <w:szCs w:val="18"/>
        </w:rPr>
        <w:t>的股票（当日股票市值为</w:t>
      </w:r>
      <w:r w:rsidRPr="00CB4B9E">
        <w:rPr>
          <w:color w:val="000000" w:themeColor="text1"/>
          <w:sz w:val="18"/>
          <w:szCs w:val="18"/>
        </w:rPr>
        <w:t>90</w:t>
      </w:r>
      <w:r w:rsidRPr="00CB4B9E">
        <w:rPr>
          <w:rFonts w:hint="eastAsia"/>
          <w:color w:val="000000" w:themeColor="text1"/>
          <w:sz w:val="18"/>
          <w:szCs w:val="18"/>
        </w:rPr>
        <w:t>美元），因此第二份期权合约赚取收益（</w:t>
      </w:r>
      <w:r w:rsidRPr="00CB4B9E">
        <w:rPr>
          <w:color w:val="000000" w:themeColor="text1"/>
          <w:sz w:val="18"/>
          <w:szCs w:val="18"/>
        </w:rPr>
        <w:t>90-80</w:t>
      </w:r>
      <w:r w:rsidRPr="00CB4B9E">
        <w:rPr>
          <w:rFonts w:hint="eastAsia"/>
          <w:color w:val="000000" w:themeColor="text1"/>
          <w:sz w:val="18"/>
          <w:szCs w:val="18"/>
        </w:rPr>
        <w:t>）</w:t>
      </w:r>
      <w:r w:rsidRPr="00CB4B9E">
        <w:rPr>
          <w:color w:val="000000" w:themeColor="text1"/>
          <w:sz w:val="18"/>
          <w:szCs w:val="18"/>
        </w:rPr>
        <w:t>*100=1000</w:t>
      </w:r>
      <w:r w:rsidRPr="00CB4B9E">
        <w:rPr>
          <w:rFonts w:hint="eastAsia"/>
          <w:color w:val="000000" w:themeColor="text1"/>
          <w:sz w:val="18"/>
          <w:szCs w:val="18"/>
        </w:rPr>
        <w:t>美元，应在“</w:t>
      </w:r>
      <w:r w:rsidRPr="00CB4B9E">
        <w:rPr>
          <w:color w:val="000000" w:themeColor="text1"/>
          <w:sz w:val="18"/>
          <w:szCs w:val="18"/>
        </w:rPr>
        <w:t>C0112</w:t>
      </w:r>
      <w:r w:rsidRPr="00CB4B9E">
        <w:rPr>
          <w:rFonts w:hint="eastAsia"/>
          <w:color w:val="000000" w:themeColor="text1"/>
          <w:sz w:val="18"/>
          <w:szCs w:val="18"/>
        </w:rPr>
        <w:t>本月</w:t>
      </w:r>
      <w:r w:rsidRPr="00CB4B9E">
        <w:rPr>
          <w:color w:val="000000" w:themeColor="text1"/>
          <w:sz w:val="18"/>
          <w:szCs w:val="18"/>
        </w:rPr>
        <w:t>(</w:t>
      </w:r>
      <w:r w:rsidRPr="00CB4B9E">
        <w:rPr>
          <w:rFonts w:hint="eastAsia"/>
          <w:color w:val="000000" w:themeColor="text1"/>
          <w:sz w:val="18"/>
          <w:szCs w:val="18"/>
        </w:rPr>
        <w:t>现金</w:t>
      </w:r>
      <w:r w:rsidRPr="00CB4B9E">
        <w:rPr>
          <w:color w:val="000000" w:themeColor="text1"/>
          <w:sz w:val="18"/>
          <w:szCs w:val="18"/>
        </w:rPr>
        <w:t>)</w:t>
      </w:r>
      <w:r w:rsidRPr="00CB4B9E">
        <w:rPr>
          <w:rFonts w:hint="eastAsia"/>
          <w:color w:val="000000" w:themeColor="text1"/>
          <w:sz w:val="18"/>
          <w:szCs w:val="18"/>
        </w:rPr>
        <w:t>结算收款额”栏填金额“</w:t>
      </w:r>
      <w:r w:rsidRPr="00CB4B9E">
        <w:rPr>
          <w:color w:val="000000" w:themeColor="text1"/>
          <w:sz w:val="18"/>
          <w:szCs w:val="18"/>
        </w:rPr>
        <w:t>1000</w:t>
      </w:r>
      <w:r w:rsidRPr="00CB4B9E">
        <w:rPr>
          <w:rFonts w:hint="eastAsia"/>
          <w:color w:val="000000" w:themeColor="text1"/>
          <w:sz w:val="18"/>
          <w:szCs w:val="18"/>
        </w:rPr>
        <w:t>（美元）”。</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6</w:t>
      </w:r>
      <w:r w:rsidRPr="00CB4B9E">
        <w:rPr>
          <w:rFonts w:hint="eastAsia"/>
          <w:color w:val="000000" w:themeColor="text1"/>
          <w:sz w:val="18"/>
          <w:szCs w:val="18"/>
        </w:rPr>
        <w:t>）本月末，上市公司</w:t>
      </w:r>
      <w:r w:rsidRPr="00CB4B9E">
        <w:rPr>
          <w:color w:val="000000" w:themeColor="text1"/>
          <w:sz w:val="18"/>
          <w:szCs w:val="18"/>
        </w:rPr>
        <w:t>C</w:t>
      </w:r>
      <w:r w:rsidRPr="00CB4B9E">
        <w:rPr>
          <w:rFonts w:hint="eastAsia"/>
          <w:color w:val="000000" w:themeColor="text1"/>
          <w:sz w:val="18"/>
          <w:szCs w:val="18"/>
        </w:rPr>
        <w:t>的股票市值为</w:t>
      </w:r>
      <w:r w:rsidRPr="00CB4B9E">
        <w:rPr>
          <w:color w:val="000000" w:themeColor="text1"/>
          <w:sz w:val="18"/>
          <w:szCs w:val="18"/>
        </w:rPr>
        <w:t>100</w:t>
      </w:r>
      <w:r w:rsidRPr="00CB4B9E">
        <w:rPr>
          <w:rFonts w:hint="eastAsia"/>
          <w:color w:val="000000" w:themeColor="text1"/>
          <w:sz w:val="18"/>
          <w:szCs w:val="18"/>
        </w:rPr>
        <w:t>美元，证券公司</w:t>
      </w:r>
      <w:r w:rsidRPr="00CB4B9E">
        <w:rPr>
          <w:color w:val="000000" w:themeColor="text1"/>
          <w:sz w:val="18"/>
          <w:szCs w:val="18"/>
        </w:rPr>
        <w:t>A</w:t>
      </w:r>
      <w:r w:rsidRPr="00CB4B9E">
        <w:rPr>
          <w:rFonts w:hint="eastAsia"/>
          <w:color w:val="000000" w:themeColor="text1"/>
          <w:sz w:val="18"/>
          <w:szCs w:val="18"/>
        </w:rPr>
        <w:t>剩余的最后一份期权合约（第三份）重新估值为</w:t>
      </w:r>
      <w:r w:rsidRPr="00CB4B9E">
        <w:rPr>
          <w:color w:val="000000" w:themeColor="text1"/>
          <w:sz w:val="18"/>
          <w:szCs w:val="18"/>
        </w:rPr>
        <w:t>150</w:t>
      </w:r>
      <w:r w:rsidRPr="00CB4B9E">
        <w:rPr>
          <w:rFonts w:hint="eastAsia"/>
          <w:color w:val="000000" w:themeColor="text1"/>
          <w:sz w:val="18"/>
          <w:szCs w:val="18"/>
        </w:rPr>
        <w:t>美元，即该份期权合约的期末余额。由于重新估值不涉及现金收支，不计入</w:t>
      </w:r>
      <w:r w:rsidRPr="00CB4B9E">
        <w:rPr>
          <w:color w:val="000000" w:themeColor="text1"/>
          <w:sz w:val="18"/>
          <w:szCs w:val="18"/>
        </w:rPr>
        <w:t>C0111</w:t>
      </w:r>
      <w:r w:rsidRPr="00CB4B9E">
        <w:rPr>
          <w:rFonts w:hint="eastAsia"/>
          <w:color w:val="000000" w:themeColor="text1"/>
          <w:sz w:val="18"/>
          <w:szCs w:val="18"/>
        </w:rPr>
        <w:t>和</w:t>
      </w:r>
      <w:r w:rsidRPr="00CB4B9E">
        <w:rPr>
          <w:color w:val="000000" w:themeColor="text1"/>
          <w:sz w:val="18"/>
          <w:szCs w:val="18"/>
        </w:rPr>
        <w:t>C0112</w:t>
      </w:r>
      <w:r w:rsidRPr="00CB4B9E">
        <w:rPr>
          <w:rFonts w:hint="eastAsia"/>
          <w:color w:val="000000" w:themeColor="text1"/>
          <w:sz w:val="18"/>
          <w:szCs w:val="18"/>
        </w:rPr>
        <w:t>。</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7</w:t>
      </w:r>
      <w:r w:rsidRPr="00CB4B9E">
        <w:rPr>
          <w:rFonts w:hint="eastAsia"/>
          <w:color w:val="000000" w:themeColor="text1"/>
          <w:sz w:val="18"/>
          <w:szCs w:val="18"/>
        </w:rPr>
        <w:t>）本月末，“</w:t>
      </w:r>
      <w:r w:rsidRPr="00CB4B9E">
        <w:rPr>
          <w:color w:val="000000" w:themeColor="text1"/>
          <w:sz w:val="18"/>
          <w:szCs w:val="18"/>
        </w:rPr>
        <w:t>C0113.</w:t>
      </w:r>
      <w:r w:rsidRPr="00CB4B9E">
        <w:rPr>
          <w:rFonts w:hint="eastAsia"/>
          <w:color w:val="000000" w:themeColor="text1"/>
          <w:sz w:val="18"/>
          <w:szCs w:val="18"/>
        </w:rPr>
        <w:t>非交易变动”填报“</w:t>
      </w:r>
      <w:r w:rsidRPr="00CB4B9E">
        <w:rPr>
          <w:color w:val="000000" w:themeColor="text1"/>
          <w:sz w:val="18"/>
          <w:szCs w:val="18"/>
        </w:rPr>
        <w:t xml:space="preserve">955 </w:t>
      </w:r>
      <w:r w:rsidRPr="00CB4B9E">
        <w:rPr>
          <w:rFonts w:hint="eastAsia"/>
          <w:color w:val="000000" w:themeColor="text1"/>
          <w:sz w:val="18"/>
          <w:szCs w:val="18"/>
        </w:rPr>
        <w:t>（美元）”。</w:t>
      </w:r>
      <w:r w:rsidRPr="00CB4B9E">
        <w:rPr>
          <w:color w:val="000000" w:themeColor="text1"/>
          <w:sz w:val="18"/>
          <w:szCs w:val="18"/>
        </w:rPr>
        <w:t>C0113= C0116 – C0110 – (C0111 – C0112)=150 – 0 – (300 – 105 – 1000) =955</w:t>
      </w:r>
      <w:r w:rsidRPr="00CB4B9E">
        <w:rPr>
          <w:rFonts w:hint="eastAsia"/>
          <w:color w:val="000000" w:themeColor="text1"/>
          <w:sz w:val="18"/>
          <w:szCs w:val="18"/>
        </w:rPr>
        <w:t>。且该非交易变动源于价格变动，“</w:t>
      </w:r>
      <w:r w:rsidRPr="00CB4B9E">
        <w:rPr>
          <w:color w:val="000000" w:themeColor="text1"/>
          <w:sz w:val="18"/>
          <w:szCs w:val="18"/>
        </w:rPr>
        <w:t xml:space="preserve">C0115. </w:t>
      </w:r>
      <w:r w:rsidRPr="00CB4B9E">
        <w:rPr>
          <w:rFonts w:hint="eastAsia"/>
          <w:color w:val="000000" w:themeColor="text1"/>
          <w:sz w:val="18"/>
          <w:szCs w:val="18"/>
        </w:rPr>
        <w:t>价值重估因素”填报“</w:t>
      </w:r>
      <w:r w:rsidRPr="00CB4B9E">
        <w:rPr>
          <w:color w:val="000000" w:themeColor="text1"/>
          <w:sz w:val="18"/>
          <w:szCs w:val="18"/>
        </w:rPr>
        <w:t>955</w:t>
      </w:r>
      <w:r w:rsidRPr="00CB4B9E">
        <w:rPr>
          <w:rFonts w:hint="eastAsia"/>
          <w:color w:val="000000" w:themeColor="text1"/>
          <w:sz w:val="18"/>
          <w:szCs w:val="18"/>
        </w:rPr>
        <w:t>”。</w:t>
      </w:r>
    </w:p>
    <w:p w:rsidR="00BE72C0" w:rsidRPr="009263D7" w:rsidRDefault="00CB4B9E" w:rsidP="009C51EC">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8</w:t>
      </w:r>
      <w:r w:rsidRPr="00CB4B9E">
        <w:rPr>
          <w:rFonts w:hint="eastAsia"/>
          <w:color w:val="000000" w:themeColor="text1"/>
          <w:sz w:val="18"/>
          <w:szCs w:val="18"/>
        </w:rPr>
        <w:t>）本月末，“</w:t>
      </w:r>
      <w:r w:rsidRPr="00CB4B9E">
        <w:rPr>
          <w:color w:val="000000" w:themeColor="text1"/>
          <w:sz w:val="18"/>
          <w:szCs w:val="18"/>
        </w:rPr>
        <w:t>C0117.</w:t>
      </w:r>
      <w:r w:rsidRPr="00CB4B9E">
        <w:rPr>
          <w:rFonts w:hint="eastAsia"/>
          <w:color w:val="000000" w:themeColor="text1"/>
          <w:sz w:val="18"/>
          <w:szCs w:val="18"/>
        </w:rPr>
        <w:t>名义本金币种”填报美元代码。“</w:t>
      </w:r>
      <w:r w:rsidRPr="00CB4B9E">
        <w:rPr>
          <w:color w:val="000000" w:themeColor="text1"/>
          <w:sz w:val="18"/>
          <w:szCs w:val="18"/>
        </w:rPr>
        <w:t>C0118.</w:t>
      </w:r>
      <w:r w:rsidRPr="00CB4B9E">
        <w:rPr>
          <w:rFonts w:hint="eastAsia"/>
          <w:color w:val="000000" w:themeColor="text1"/>
          <w:sz w:val="18"/>
          <w:szCs w:val="18"/>
        </w:rPr>
        <w:t>本月末名义本金金额”填报</w:t>
      </w:r>
      <w:r w:rsidRPr="00CB4B9E">
        <w:rPr>
          <w:color w:val="000000" w:themeColor="text1"/>
          <w:sz w:val="18"/>
          <w:szCs w:val="18"/>
        </w:rPr>
        <w:t>80*100*1=8000</w:t>
      </w:r>
      <w:r w:rsidRPr="00CB4B9E">
        <w:rPr>
          <w:rFonts w:hint="eastAsia"/>
          <w:color w:val="000000" w:themeColor="text1"/>
          <w:sz w:val="18"/>
          <w:szCs w:val="18"/>
        </w:rPr>
        <w:t>（美元）。</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例</w:t>
      </w:r>
      <w:r w:rsidRPr="00CB4B9E">
        <w:rPr>
          <w:color w:val="000000" w:themeColor="text1"/>
          <w:sz w:val="18"/>
          <w:szCs w:val="18"/>
        </w:rPr>
        <w:t>2</w:t>
      </w:r>
      <w:r w:rsidRPr="00CB4B9E">
        <w:rPr>
          <w:rFonts w:hint="eastAsia"/>
          <w:color w:val="000000" w:themeColor="text1"/>
          <w:sz w:val="18"/>
          <w:szCs w:val="18"/>
        </w:rPr>
        <w:t>：</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月初，中国境内银行</w:t>
      </w:r>
      <w:r w:rsidRPr="00CB4B9E">
        <w:rPr>
          <w:color w:val="000000" w:themeColor="text1"/>
          <w:sz w:val="18"/>
          <w:szCs w:val="18"/>
        </w:rPr>
        <w:t>A</w:t>
      </w:r>
      <w:r w:rsidRPr="00CB4B9E">
        <w:rPr>
          <w:rFonts w:hint="eastAsia"/>
          <w:color w:val="000000" w:themeColor="text1"/>
          <w:sz w:val="18"/>
          <w:szCs w:val="18"/>
        </w:rPr>
        <w:t>未开展货币掉期业务，“</w:t>
      </w:r>
      <w:r w:rsidRPr="00CB4B9E">
        <w:rPr>
          <w:color w:val="000000" w:themeColor="text1"/>
        </w:rPr>
        <w:t xml:space="preserve">C0110 </w:t>
      </w:r>
      <w:r w:rsidRPr="00CB4B9E">
        <w:rPr>
          <w:rFonts w:ascii="黑体" w:eastAsia="黑体" w:hint="eastAsia"/>
          <w:color w:val="000000" w:themeColor="text1"/>
        </w:rPr>
        <w:t>上月末头寸市值</w:t>
      </w:r>
      <w:r w:rsidRPr="00CB4B9E">
        <w:rPr>
          <w:rFonts w:hint="eastAsia"/>
          <w:color w:val="000000" w:themeColor="text1"/>
          <w:sz w:val="18"/>
          <w:szCs w:val="18"/>
        </w:rPr>
        <w:t>”填报为零。当月，银行</w:t>
      </w:r>
      <w:r w:rsidRPr="00CB4B9E">
        <w:rPr>
          <w:color w:val="000000" w:themeColor="text1"/>
          <w:sz w:val="18"/>
          <w:szCs w:val="18"/>
        </w:rPr>
        <w:t>A</w:t>
      </w:r>
      <w:r w:rsidRPr="00CB4B9E">
        <w:rPr>
          <w:rFonts w:hint="eastAsia"/>
          <w:color w:val="000000" w:themeColor="text1"/>
          <w:sz w:val="18"/>
          <w:szCs w:val="18"/>
        </w:rPr>
        <w:t>与境外银行</w:t>
      </w:r>
      <w:r w:rsidRPr="00CB4B9E">
        <w:rPr>
          <w:color w:val="000000" w:themeColor="text1"/>
          <w:sz w:val="18"/>
          <w:szCs w:val="18"/>
        </w:rPr>
        <w:t>B</w:t>
      </w:r>
      <w:r w:rsidRPr="00CB4B9E">
        <w:rPr>
          <w:rFonts w:hint="eastAsia"/>
          <w:color w:val="000000" w:themeColor="text1"/>
          <w:sz w:val="18"/>
          <w:szCs w:val="18"/>
        </w:rPr>
        <w:lastRenderedPageBreak/>
        <w:t>签订货币掉期合约，合约当日以</w:t>
      </w:r>
      <w:r w:rsidRPr="00CB4B9E">
        <w:rPr>
          <w:color w:val="000000" w:themeColor="text1"/>
          <w:sz w:val="18"/>
          <w:szCs w:val="18"/>
        </w:rPr>
        <w:t>80</w:t>
      </w:r>
      <w:r w:rsidRPr="00CB4B9E">
        <w:rPr>
          <w:rFonts w:hint="eastAsia"/>
          <w:color w:val="000000" w:themeColor="text1"/>
          <w:sz w:val="18"/>
          <w:szCs w:val="18"/>
        </w:rPr>
        <w:t>欧元兑换银行</w:t>
      </w:r>
      <w:r w:rsidRPr="00CB4B9E">
        <w:rPr>
          <w:color w:val="000000" w:themeColor="text1"/>
          <w:sz w:val="18"/>
          <w:szCs w:val="18"/>
        </w:rPr>
        <w:t>B100</w:t>
      </w:r>
      <w:r w:rsidRPr="00CB4B9E">
        <w:rPr>
          <w:rFonts w:hint="eastAsia"/>
          <w:color w:val="000000" w:themeColor="text1"/>
          <w:sz w:val="18"/>
          <w:szCs w:val="18"/>
        </w:rPr>
        <w:t>美元，并约定十日后将</w:t>
      </w:r>
      <w:r w:rsidRPr="00CB4B9E">
        <w:rPr>
          <w:color w:val="000000" w:themeColor="text1"/>
          <w:sz w:val="18"/>
          <w:szCs w:val="18"/>
        </w:rPr>
        <w:t>100</w:t>
      </w:r>
      <w:r w:rsidRPr="00CB4B9E">
        <w:rPr>
          <w:rFonts w:hint="eastAsia"/>
          <w:color w:val="000000" w:themeColor="text1"/>
          <w:sz w:val="18"/>
          <w:szCs w:val="18"/>
        </w:rPr>
        <w:t>美元兑换银行</w:t>
      </w:r>
      <w:r w:rsidRPr="00CB4B9E">
        <w:rPr>
          <w:color w:val="000000" w:themeColor="text1"/>
          <w:sz w:val="18"/>
          <w:szCs w:val="18"/>
        </w:rPr>
        <w:t>B81</w:t>
      </w:r>
      <w:r w:rsidRPr="00CB4B9E">
        <w:rPr>
          <w:rFonts w:hint="eastAsia"/>
          <w:color w:val="000000" w:themeColor="text1"/>
          <w:sz w:val="18"/>
          <w:szCs w:val="18"/>
        </w:rPr>
        <w:t>欧元。银行</w:t>
      </w:r>
      <w:r w:rsidRPr="00CB4B9E">
        <w:rPr>
          <w:color w:val="000000" w:themeColor="text1"/>
          <w:sz w:val="18"/>
          <w:szCs w:val="18"/>
        </w:rPr>
        <w:t>A</w:t>
      </w:r>
      <w:r w:rsidRPr="00CB4B9E">
        <w:rPr>
          <w:rFonts w:hint="eastAsia"/>
          <w:color w:val="000000" w:themeColor="text1"/>
          <w:sz w:val="18"/>
          <w:szCs w:val="18"/>
        </w:rPr>
        <w:t>选择以欧元为计值货币，则“</w:t>
      </w:r>
      <w:r w:rsidRPr="00CB4B9E">
        <w:rPr>
          <w:rFonts w:ascii="黑体" w:eastAsia="黑体"/>
          <w:color w:val="000000" w:themeColor="text1"/>
        </w:rPr>
        <w:t>C0109</w:t>
      </w:r>
      <w:r w:rsidRPr="00CB4B9E">
        <w:rPr>
          <w:rFonts w:ascii="黑体" w:eastAsia="黑体" w:hint="eastAsia"/>
          <w:color w:val="000000" w:themeColor="text1"/>
        </w:rPr>
        <w:t>结算的原始币种</w:t>
      </w:r>
      <w:r w:rsidRPr="00CB4B9E">
        <w:rPr>
          <w:rFonts w:hint="eastAsia"/>
          <w:color w:val="000000" w:themeColor="text1"/>
          <w:sz w:val="18"/>
          <w:szCs w:val="18"/>
        </w:rPr>
        <w:t>”应填报欧元代码。</w:t>
      </w:r>
    </w:p>
    <w:p w:rsidR="00CB7316" w:rsidRPr="009263D7" w:rsidRDefault="00CB4B9E" w:rsidP="00CB7316">
      <w:pPr>
        <w:spacing w:line="360" w:lineRule="auto"/>
        <w:ind w:firstLineChars="200" w:firstLine="360"/>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1</w:t>
      </w:r>
      <w:r w:rsidRPr="00CB4B9E">
        <w:rPr>
          <w:rFonts w:hint="eastAsia"/>
          <w:color w:val="000000" w:themeColor="text1"/>
          <w:sz w:val="18"/>
          <w:szCs w:val="18"/>
        </w:rPr>
        <w:t>）月末前，如该笔合约已到期交割，应在“</w:t>
      </w:r>
      <w:r w:rsidRPr="00CB4B9E">
        <w:rPr>
          <w:color w:val="000000" w:themeColor="text1"/>
          <w:sz w:val="18"/>
          <w:szCs w:val="18"/>
        </w:rPr>
        <w:t>C0112</w:t>
      </w:r>
      <w:r w:rsidRPr="00CB4B9E">
        <w:rPr>
          <w:rFonts w:hint="eastAsia"/>
          <w:color w:val="000000" w:themeColor="text1"/>
          <w:sz w:val="18"/>
          <w:szCs w:val="18"/>
        </w:rPr>
        <w:t>本月</w:t>
      </w:r>
      <w:r w:rsidRPr="00CB4B9E">
        <w:rPr>
          <w:color w:val="000000" w:themeColor="text1"/>
          <w:sz w:val="18"/>
          <w:szCs w:val="18"/>
        </w:rPr>
        <w:t>(</w:t>
      </w:r>
      <w:r w:rsidRPr="00CB4B9E">
        <w:rPr>
          <w:rFonts w:hint="eastAsia"/>
          <w:color w:val="000000" w:themeColor="text1"/>
          <w:sz w:val="18"/>
          <w:szCs w:val="18"/>
        </w:rPr>
        <w:t>现金</w:t>
      </w:r>
      <w:r w:rsidRPr="00CB4B9E">
        <w:rPr>
          <w:color w:val="000000" w:themeColor="text1"/>
          <w:sz w:val="18"/>
          <w:szCs w:val="18"/>
        </w:rPr>
        <w:t>)</w:t>
      </w:r>
      <w:r w:rsidRPr="00CB4B9E">
        <w:rPr>
          <w:rFonts w:hint="eastAsia"/>
          <w:color w:val="000000" w:themeColor="text1"/>
          <w:sz w:val="18"/>
          <w:szCs w:val="18"/>
        </w:rPr>
        <w:t>结算收款额”栏填金额“</w:t>
      </w:r>
      <w:r w:rsidRPr="00CB4B9E">
        <w:rPr>
          <w:color w:val="000000" w:themeColor="text1"/>
          <w:sz w:val="18"/>
          <w:szCs w:val="18"/>
        </w:rPr>
        <w:t>3</w:t>
      </w:r>
      <w:r w:rsidRPr="00CB4B9E">
        <w:rPr>
          <w:rFonts w:hint="eastAsia"/>
          <w:color w:val="000000" w:themeColor="text1"/>
          <w:sz w:val="18"/>
          <w:szCs w:val="18"/>
        </w:rPr>
        <w:t>”</w:t>
      </w:r>
      <w:r w:rsidRPr="00CB4B9E">
        <w:rPr>
          <w:color w:val="000000" w:themeColor="text1"/>
          <w:sz w:val="18"/>
          <w:szCs w:val="18"/>
        </w:rPr>
        <w:t xml:space="preserve"> </w:t>
      </w:r>
      <w:r w:rsidRPr="00CB4B9E">
        <w:rPr>
          <w:rFonts w:hint="eastAsia"/>
          <w:color w:val="000000" w:themeColor="text1"/>
          <w:sz w:val="18"/>
          <w:szCs w:val="18"/>
        </w:rPr>
        <w:t>（欧元），即交割时即期</w:t>
      </w:r>
      <w:r w:rsidRPr="00CB4B9E">
        <w:rPr>
          <w:color w:val="000000" w:themeColor="text1"/>
          <w:sz w:val="18"/>
          <w:szCs w:val="18"/>
        </w:rPr>
        <w:t>100</w:t>
      </w:r>
      <w:r w:rsidRPr="00CB4B9E">
        <w:rPr>
          <w:rFonts w:hint="eastAsia"/>
          <w:color w:val="000000" w:themeColor="text1"/>
          <w:sz w:val="18"/>
          <w:szCs w:val="18"/>
        </w:rPr>
        <w:t>美元兑换</w:t>
      </w:r>
      <w:r w:rsidRPr="00CB4B9E">
        <w:rPr>
          <w:color w:val="000000" w:themeColor="text1"/>
          <w:sz w:val="18"/>
          <w:szCs w:val="18"/>
        </w:rPr>
        <w:t>78</w:t>
      </w:r>
      <w:r w:rsidRPr="00CB4B9E">
        <w:rPr>
          <w:rFonts w:hint="eastAsia"/>
          <w:color w:val="000000" w:themeColor="text1"/>
          <w:sz w:val="18"/>
          <w:szCs w:val="18"/>
        </w:rPr>
        <w:t>欧元，而合约约定为</w:t>
      </w:r>
      <w:r w:rsidRPr="00CB4B9E">
        <w:rPr>
          <w:color w:val="000000" w:themeColor="text1"/>
          <w:sz w:val="18"/>
          <w:szCs w:val="18"/>
        </w:rPr>
        <w:t>100</w:t>
      </w:r>
      <w:r w:rsidRPr="00CB4B9E">
        <w:rPr>
          <w:rFonts w:hint="eastAsia"/>
          <w:color w:val="000000" w:themeColor="text1"/>
          <w:sz w:val="18"/>
          <w:szCs w:val="18"/>
        </w:rPr>
        <w:t>美元兑换</w:t>
      </w:r>
      <w:r w:rsidRPr="00CB4B9E">
        <w:rPr>
          <w:color w:val="000000" w:themeColor="text1"/>
          <w:sz w:val="18"/>
          <w:szCs w:val="18"/>
        </w:rPr>
        <w:t>81</w:t>
      </w:r>
      <w:r w:rsidRPr="00CB4B9E">
        <w:rPr>
          <w:rFonts w:hint="eastAsia"/>
          <w:color w:val="000000" w:themeColor="text1"/>
          <w:sz w:val="18"/>
          <w:szCs w:val="18"/>
        </w:rPr>
        <w:t>欧元，则赚取了</w:t>
      </w:r>
      <w:r w:rsidRPr="00CB4B9E">
        <w:rPr>
          <w:color w:val="000000" w:themeColor="text1"/>
          <w:sz w:val="18"/>
          <w:szCs w:val="18"/>
        </w:rPr>
        <w:t>3</w:t>
      </w:r>
      <w:r w:rsidRPr="00CB4B9E">
        <w:rPr>
          <w:rFonts w:hint="eastAsia"/>
          <w:color w:val="000000" w:themeColor="text1"/>
          <w:sz w:val="18"/>
          <w:szCs w:val="18"/>
        </w:rPr>
        <w:t>欧元。</w:t>
      </w:r>
    </w:p>
    <w:p w:rsidR="00CB7316" w:rsidRPr="009263D7" w:rsidRDefault="00CB4B9E" w:rsidP="00CB7316">
      <w:pPr>
        <w:spacing w:line="360" w:lineRule="auto"/>
        <w:ind w:firstLine="372"/>
        <w:rPr>
          <w:color w:val="000000" w:themeColor="text1"/>
          <w:sz w:val="18"/>
          <w:szCs w:val="18"/>
        </w:rPr>
      </w:pPr>
      <w:r w:rsidRPr="00CB4B9E">
        <w:rPr>
          <w:rFonts w:hint="eastAsia"/>
          <w:color w:val="000000" w:themeColor="text1"/>
          <w:sz w:val="18"/>
          <w:szCs w:val="18"/>
        </w:rPr>
        <w:t>（</w:t>
      </w:r>
      <w:r w:rsidRPr="00CB4B9E">
        <w:rPr>
          <w:color w:val="000000" w:themeColor="text1"/>
          <w:sz w:val="18"/>
          <w:szCs w:val="18"/>
        </w:rPr>
        <w:t>2</w:t>
      </w:r>
      <w:r w:rsidRPr="00CB4B9E">
        <w:rPr>
          <w:rFonts w:hint="eastAsia"/>
          <w:color w:val="000000" w:themeColor="text1"/>
          <w:sz w:val="18"/>
          <w:szCs w:val="18"/>
        </w:rPr>
        <w:t>）截至月末，如该笔合约尚未到期交割，且月末汇率为</w:t>
      </w:r>
      <w:r w:rsidRPr="00CB4B9E">
        <w:rPr>
          <w:color w:val="000000" w:themeColor="text1"/>
          <w:sz w:val="18"/>
          <w:szCs w:val="18"/>
        </w:rPr>
        <w:t>1</w:t>
      </w:r>
      <w:r w:rsidRPr="00CB4B9E">
        <w:rPr>
          <w:rFonts w:hint="eastAsia"/>
          <w:color w:val="000000" w:themeColor="text1"/>
          <w:sz w:val="18"/>
          <w:szCs w:val="18"/>
        </w:rPr>
        <w:t>美元兑换</w:t>
      </w:r>
      <w:r w:rsidRPr="00CB4B9E">
        <w:rPr>
          <w:color w:val="000000" w:themeColor="text1"/>
          <w:sz w:val="18"/>
          <w:szCs w:val="18"/>
        </w:rPr>
        <w:t>0.78</w:t>
      </w:r>
      <w:r w:rsidRPr="00CB4B9E">
        <w:rPr>
          <w:rFonts w:hint="eastAsia"/>
          <w:color w:val="000000" w:themeColor="text1"/>
          <w:sz w:val="18"/>
          <w:szCs w:val="18"/>
        </w:rPr>
        <w:t>欧元，则远期估值盈利</w:t>
      </w:r>
      <w:r w:rsidRPr="00CB4B9E">
        <w:rPr>
          <w:color w:val="000000" w:themeColor="text1"/>
          <w:sz w:val="18"/>
          <w:szCs w:val="18"/>
        </w:rPr>
        <w:t>3</w:t>
      </w:r>
      <w:r w:rsidRPr="00CB4B9E">
        <w:rPr>
          <w:rFonts w:hint="eastAsia"/>
          <w:color w:val="000000" w:themeColor="text1"/>
          <w:sz w:val="18"/>
          <w:szCs w:val="18"/>
        </w:rPr>
        <w:t>欧元（</w:t>
      </w:r>
      <w:r w:rsidRPr="00CB4B9E">
        <w:rPr>
          <w:color w:val="000000" w:themeColor="text1"/>
          <w:sz w:val="18"/>
          <w:szCs w:val="18"/>
        </w:rPr>
        <w:t>81 – 0.78*100 = 3</w:t>
      </w:r>
      <w:r w:rsidRPr="00CB4B9E">
        <w:rPr>
          <w:rFonts w:hint="eastAsia"/>
          <w:color w:val="000000" w:themeColor="text1"/>
          <w:sz w:val="18"/>
          <w:szCs w:val="18"/>
        </w:rPr>
        <w:t>欧元）。该情况下，应在“</w:t>
      </w:r>
      <w:r w:rsidRPr="00CB4B9E">
        <w:rPr>
          <w:color w:val="000000" w:themeColor="text1"/>
          <w:sz w:val="18"/>
          <w:szCs w:val="18"/>
        </w:rPr>
        <w:t>C0118</w:t>
      </w:r>
      <w:r w:rsidRPr="00CB4B9E">
        <w:rPr>
          <w:rFonts w:hint="eastAsia"/>
          <w:color w:val="000000" w:themeColor="text1"/>
          <w:sz w:val="18"/>
          <w:szCs w:val="18"/>
        </w:rPr>
        <w:t>本月末头寸市值”栏填金额“</w:t>
      </w:r>
      <w:r w:rsidRPr="00CB4B9E">
        <w:rPr>
          <w:color w:val="000000" w:themeColor="text1"/>
          <w:sz w:val="18"/>
          <w:szCs w:val="18"/>
        </w:rPr>
        <w:t>3</w:t>
      </w:r>
      <w:r w:rsidRPr="00CB4B9E">
        <w:rPr>
          <w:rFonts w:hint="eastAsia"/>
          <w:color w:val="000000" w:themeColor="text1"/>
          <w:sz w:val="18"/>
          <w:szCs w:val="18"/>
        </w:rPr>
        <w:t>（欧元）”。</w:t>
      </w:r>
    </w:p>
    <w:p w:rsidR="00CB7316" w:rsidRPr="009263D7" w:rsidRDefault="00CB7316" w:rsidP="00CB7316">
      <w:pPr>
        <w:spacing w:line="360" w:lineRule="auto"/>
        <w:rPr>
          <w:color w:val="000000" w:themeColor="text1"/>
        </w:rPr>
      </w:pPr>
    </w:p>
    <w:p w:rsidR="00CB7316" w:rsidRPr="009263D7" w:rsidRDefault="00CB4B9E" w:rsidP="00CB7316">
      <w:pPr>
        <w:spacing w:line="360" w:lineRule="auto"/>
        <w:ind w:firstLineChars="200" w:firstLine="420"/>
        <w:rPr>
          <w:rFonts w:ascii="黑体" w:eastAsia="黑体"/>
          <w:color w:val="000000" w:themeColor="text1"/>
        </w:rPr>
      </w:pPr>
      <w:r w:rsidRPr="00CB4B9E">
        <w:rPr>
          <w:rFonts w:ascii="黑体" w:eastAsia="黑体"/>
          <w:color w:val="000000" w:themeColor="text1"/>
        </w:rPr>
        <w:t>C0113.</w:t>
      </w:r>
      <w:r w:rsidRPr="00CB4B9E">
        <w:rPr>
          <w:rFonts w:ascii="黑体" w:eastAsia="黑体" w:hint="eastAsia"/>
          <w:color w:val="000000" w:themeColor="text1"/>
        </w:rPr>
        <w:t>本月非交易变动：</w:t>
      </w:r>
      <w:r w:rsidRPr="00CB4B9E">
        <w:rPr>
          <w:rFonts w:hint="eastAsia"/>
          <w:color w:val="000000" w:themeColor="text1"/>
        </w:rPr>
        <w:t>由于数量、价格等非交易因素引起的金融衍生产品重新估值，导致市场价格与金融衍生产品履约价格的差异。该项计算公式为：</w:t>
      </w:r>
      <w:r w:rsidRPr="00CB4B9E">
        <w:rPr>
          <w:color w:val="000000" w:themeColor="text1"/>
        </w:rPr>
        <w:t>C0113= C0116 – C0110 – (C0111 – C0112)</w:t>
      </w:r>
      <w:r w:rsidRPr="00CB4B9E">
        <w:rPr>
          <w:rFonts w:hint="eastAsia"/>
          <w:color w:val="000000" w:themeColor="text1"/>
        </w:rPr>
        <w:t>。</w:t>
      </w:r>
    </w:p>
    <w:p w:rsidR="00CB7316" w:rsidRPr="009263D7" w:rsidRDefault="00CB4B9E" w:rsidP="00CB7316">
      <w:pPr>
        <w:spacing w:line="360" w:lineRule="auto"/>
        <w:ind w:firstLineChars="200" w:firstLine="420"/>
        <w:rPr>
          <w:color w:val="000000" w:themeColor="text1"/>
        </w:rPr>
      </w:pPr>
      <w:r w:rsidRPr="00CB4B9E">
        <w:rPr>
          <w:rFonts w:ascii="黑体" w:eastAsia="黑体"/>
          <w:color w:val="000000" w:themeColor="text1"/>
        </w:rPr>
        <w:t>C0114.</w:t>
      </w:r>
      <w:r w:rsidRPr="00CB4B9E">
        <w:rPr>
          <w:rFonts w:ascii="黑体" w:eastAsia="黑体" w:hAnsi="宋体" w:hint="eastAsia"/>
          <w:color w:val="000000" w:themeColor="text1"/>
          <w:szCs w:val="21"/>
        </w:rPr>
        <w:t>注销、调整及重新分类至其他报表统计的金额</w:t>
      </w:r>
      <w:r w:rsidRPr="00CB4B9E">
        <w:rPr>
          <w:rFonts w:ascii="黑体" w:eastAsia="黑体" w:hint="eastAsia"/>
          <w:color w:val="000000" w:themeColor="text1"/>
        </w:rPr>
        <w:t>：</w:t>
      </w:r>
      <w:r w:rsidRPr="00CB4B9E">
        <w:rPr>
          <w:rFonts w:ascii="宋体" w:hAnsi="宋体" w:hint="eastAsia"/>
          <w:color w:val="000000" w:themeColor="text1"/>
        </w:rPr>
        <w:t>因债务人拖欠、破产等导致非正常偿还等其他变化引起金融衍生产品头寸重新分类，导致头寸变化</w:t>
      </w:r>
      <w:r w:rsidRPr="00CB4B9E">
        <w:rPr>
          <w:rFonts w:hint="eastAsia"/>
          <w:color w:val="000000" w:themeColor="text1"/>
        </w:rPr>
        <w:t>。</w:t>
      </w:r>
      <w:r w:rsidRPr="00CB4B9E">
        <w:rPr>
          <w:rFonts w:ascii="宋体" w:hAnsi="宋体" w:hint="eastAsia"/>
          <w:color w:val="000000" w:themeColor="text1"/>
        </w:rPr>
        <w:t>该项计算公式为：</w:t>
      </w:r>
      <w:r w:rsidRPr="00CB4B9E">
        <w:rPr>
          <w:rFonts w:ascii="宋体" w:hAnsi="宋体"/>
          <w:color w:val="000000" w:themeColor="text1"/>
        </w:rPr>
        <w:t>C0114=C0113-C0115</w:t>
      </w:r>
      <w:r w:rsidRPr="00CB4B9E">
        <w:rPr>
          <w:rFonts w:ascii="宋体" w:hAnsi="宋体" w:hint="eastAsia"/>
          <w:color w:val="000000" w:themeColor="text1"/>
        </w:rPr>
        <w:t>。</w:t>
      </w:r>
    </w:p>
    <w:p w:rsidR="00CB7316" w:rsidRPr="009263D7" w:rsidRDefault="00CB4B9E" w:rsidP="00CB7316">
      <w:pPr>
        <w:spacing w:line="360" w:lineRule="auto"/>
        <w:ind w:firstLineChars="200" w:firstLine="420"/>
        <w:rPr>
          <w:color w:val="000000" w:themeColor="text1"/>
        </w:rPr>
      </w:pPr>
      <w:r w:rsidRPr="00CB4B9E">
        <w:rPr>
          <w:rFonts w:ascii="黑体" w:eastAsia="黑体"/>
          <w:color w:val="000000" w:themeColor="text1"/>
        </w:rPr>
        <w:t>C0115.</w:t>
      </w:r>
      <w:r w:rsidRPr="00CB4B9E">
        <w:rPr>
          <w:rFonts w:ascii="黑体" w:eastAsia="黑体" w:hint="eastAsia"/>
          <w:color w:val="000000" w:themeColor="text1"/>
        </w:rPr>
        <w:t>价值重估因素：</w:t>
      </w:r>
      <w:r w:rsidRPr="00CB4B9E">
        <w:rPr>
          <w:rFonts w:ascii="宋体" w:hAnsi="宋体" w:hint="eastAsia"/>
          <w:color w:val="000000" w:themeColor="text1"/>
        </w:rPr>
        <w:t>填报因基础产品价格变化导致市场价格与金融衍生产品履约价格的差异，为未结算（交易）的部分，即未实现损益。</w:t>
      </w:r>
    </w:p>
    <w:p w:rsidR="00CB7316" w:rsidRPr="009263D7" w:rsidRDefault="00CB4B9E" w:rsidP="002D4507">
      <w:pPr>
        <w:spacing w:line="360" w:lineRule="auto"/>
        <w:ind w:firstLineChars="200" w:firstLine="420"/>
        <w:rPr>
          <w:color w:val="000000" w:themeColor="text1"/>
        </w:rPr>
      </w:pPr>
      <w:r w:rsidRPr="00CB4B9E">
        <w:rPr>
          <w:rFonts w:ascii="黑体" w:eastAsia="黑体"/>
          <w:color w:val="000000" w:themeColor="text1"/>
        </w:rPr>
        <w:t>C0116</w:t>
      </w:r>
      <w:r w:rsidRPr="00CB4B9E">
        <w:rPr>
          <w:rFonts w:ascii="黑体" w:eastAsia="黑体" w:hint="eastAsia"/>
          <w:color w:val="000000" w:themeColor="text1"/>
        </w:rPr>
        <w:t>.本月末头寸市值：</w:t>
      </w:r>
      <w:r w:rsidRPr="00CB4B9E">
        <w:rPr>
          <w:rFonts w:hint="eastAsia"/>
          <w:color w:val="000000" w:themeColor="text1"/>
        </w:rPr>
        <w:t>指本月末</w:t>
      </w:r>
      <w:r w:rsidRPr="00CB4B9E">
        <w:rPr>
          <w:rFonts w:ascii="Calibri" w:hAnsi="Calibri" w:hint="eastAsia"/>
          <w:bCs/>
          <w:color w:val="000000" w:themeColor="text1"/>
        </w:rPr>
        <w:t>仍存续的金融衍生产品合约</w:t>
      </w:r>
      <w:r w:rsidRPr="00CB4B9E">
        <w:rPr>
          <w:rFonts w:hint="eastAsia"/>
          <w:color w:val="000000" w:themeColor="text1"/>
        </w:rPr>
        <w:t>的公允价值。应优先使用市场价值。如无市场价值，则按照记账惯例填报公允价值。在汇总填报数据时，不得将公允价值为正值的合约与公允价值为负值的合约进行轧差合并。</w:t>
      </w:r>
    </w:p>
    <w:p w:rsidR="00D1369D" w:rsidRPr="009263D7" w:rsidRDefault="00CB4B9E" w:rsidP="00D1369D">
      <w:pPr>
        <w:tabs>
          <w:tab w:val="left" w:pos="2271"/>
        </w:tabs>
        <w:spacing w:line="360" w:lineRule="auto"/>
        <w:ind w:firstLineChars="200" w:firstLine="420"/>
        <w:rPr>
          <w:rFonts w:ascii="黑体" w:eastAsia="黑体"/>
          <w:color w:val="000000" w:themeColor="text1"/>
        </w:rPr>
      </w:pPr>
      <w:r w:rsidRPr="00CB4B9E">
        <w:rPr>
          <w:rFonts w:ascii="黑体" w:eastAsia="黑体"/>
          <w:color w:val="000000" w:themeColor="text1"/>
        </w:rPr>
        <w:t>C0117</w:t>
      </w:r>
      <w:r w:rsidRPr="00CB4B9E">
        <w:rPr>
          <w:rFonts w:ascii="黑体" w:eastAsia="黑体" w:hint="eastAsia"/>
          <w:color w:val="000000" w:themeColor="text1"/>
        </w:rPr>
        <w:t>.名义本金币种：</w:t>
      </w:r>
      <w:r w:rsidRPr="00CB4B9E">
        <w:rPr>
          <w:rFonts w:hint="eastAsia"/>
          <w:color w:val="000000" w:themeColor="text1"/>
        </w:rPr>
        <w:t>指本月末仍存续的金融衍生品名义本金的计价币种。如涉及双币种，可选取基础币种或按本机构惯例。</w:t>
      </w:r>
    </w:p>
    <w:p w:rsidR="00D1369D" w:rsidRPr="009263D7" w:rsidRDefault="00CB4B9E" w:rsidP="00D1369D">
      <w:pPr>
        <w:spacing w:line="360" w:lineRule="auto"/>
        <w:ind w:firstLineChars="200" w:firstLine="420"/>
        <w:rPr>
          <w:rFonts w:ascii="黑体" w:eastAsia="黑体"/>
          <w:color w:val="000000" w:themeColor="text1"/>
        </w:rPr>
      </w:pPr>
      <w:r w:rsidRPr="00CB4B9E">
        <w:rPr>
          <w:rFonts w:ascii="黑体" w:eastAsia="黑体"/>
          <w:color w:val="000000" w:themeColor="text1"/>
        </w:rPr>
        <w:t>C0118</w:t>
      </w:r>
      <w:r w:rsidRPr="00CB4B9E">
        <w:rPr>
          <w:rFonts w:ascii="黑体" w:eastAsia="黑体" w:hint="eastAsia"/>
          <w:color w:val="000000" w:themeColor="text1"/>
        </w:rPr>
        <w:t>.本月末名义本金金额：</w:t>
      </w:r>
      <w:r w:rsidRPr="00CB4B9E">
        <w:rPr>
          <w:rFonts w:hint="eastAsia"/>
          <w:color w:val="000000" w:themeColor="text1"/>
        </w:rPr>
        <w:t>指本月末仍存续的金融衍生品合约的名义本金价值。对于本金价值可变的合约，填报本月末合约本金。</w:t>
      </w:r>
    </w:p>
    <w:p w:rsidR="00D1369D" w:rsidRPr="009263D7" w:rsidRDefault="00D1369D" w:rsidP="00CB7316">
      <w:pPr>
        <w:spacing w:line="360" w:lineRule="auto"/>
        <w:ind w:firstLineChars="200" w:firstLine="420"/>
        <w:rPr>
          <w:color w:val="000000" w:themeColor="text1"/>
        </w:rPr>
      </w:pPr>
    </w:p>
    <w:p w:rsidR="00CB7316" w:rsidRPr="009263D7" w:rsidRDefault="00CB4B9E" w:rsidP="00CB7316">
      <w:pPr>
        <w:spacing w:line="360" w:lineRule="auto"/>
        <w:ind w:firstLineChars="200" w:firstLine="422"/>
        <w:rPr>
          <w:rFonts w:ascii="宋体" w:hAnsi="宋体"/>
          <w:b/>
          <w:color w:val="000000" w:themeColor="text1"/>
        </w:rPr>
      </w:pPr>
      <w:r w:rsidRPr="00CB4B9E">
        <w:rPr>
          <w:rFonts w:ascii="宋体" w:hAnsi="宋体"/>
          <w:b/>
          <w:color w:val="000000" w:themeColor="text1"/>
        </w:rPr>
        <w:t>3.</w:t>
      </w:r>
      <w:r w:rsidRPr="00CB4B9E">
        <w:rPr>
          <w:rFonts w:ascii="宋体" w:hAnsi="宋体" w:hint="eastAsia"/>
          <w:b/>
          <w:color w:val="000000" w:themeColor="text1"/>
        </w:rPr>
        <w:t>金融衍生产品及雇员认股权相关概念：</w:t>
      </w:r>
    </w:p>
    <w:p w:rsidR="00CB7316" w:rsidRPr="009263D7" w:rsidRDefault="00CB4B9E" w:rsidP="00CB7316">
      <w:pPr>
        <w:pStyle w:val="a9"/>
        <w:spacing w:line="360" w:lineRule="auto"/>
        <w:ind w:firstLineChars="0"/>
        <w:rPr>
          <w:color w:val="000000" w:themeColor="text1"/>
        </w:rPr>
      </w:pPr>
      <w:r w:rsidRPr="00CB4B9E">
        <w:rPr>
          <w:rFonts w:hint="eastAsia"/>
          <w:color w:val="000000" w:themeColor="text1"/>
        </w:rPr>
        <w:t>（</w:t>
      </w:r>
      <w:r w:rsidRPr="00CB4B9E">
        <w:rPr>
          <w:color w:val="000000" w:themeColor="text1"/>
        </w:rPr>
        <w:t>1</w:t>
      </w:r>
      <w:r w:rsidRPr="00CB4B9E">
        <w:rPr>
          <w:rFonts w:hint="eastAsia"/>
          <w:color w:val="000000" w:themeColor="text1"/>
        </w:rPr>
        <w:t>）期权类合约：</w:t>
      </w:r>
      <w:r w:rsidRPr="00CB4B9E">
        <w:rPr>
          <w:color w:val="000000" w:themeColor="text1"/>
        </w:rPr>
        <w:t xml:space="preserve"> </w:t>
      </w:r>
      <w:r w:rsidRPr="00CB4B9E">
        <w:rPr>
          <w:rFonts w:hint="eastAsia"/>
          <w:color w:val="000000" w:themeColor="text1"/>
        </w:rPr>
        <w:t>在该类合约中，买方从卖方那里获得一项权利，可以按照履约价格，在特定日期当天或之前，购买或出售特定的基础产品。</w:t>
      </w:r>
    </w:p>
    <w:p w:rsidR="00CB7316" w:rsidRPr="009263D7" w:rsidRDefault="00CB4B9E" w:rsidP="00CB7316">
      <w:pPr>
        <w:spacing w:line="360" w:lineRule="auto"/>
        <w:ind w:firstLineChars="200" w:firstLine="420"/>
        <w:rPr>
          <w:color w:val="000000" w:themeColor="text1"/>
        </w:rPr>
      </w:pPr>
      <w:r w:rsidRPr="00CB4B9E">
        <w:rPr>
          <w:rFonts w:hint="eastAsia"/>
          <w:color w:val="000000" w:themeColor="text1"/>
        </w:rPr>
        <w:t>（</w:t>
      </w:r>
      <w:r w:rsidRPr="00CB4B9E">
        <w:rPr>
          <w:color w:val="000000" w:themeColor="text1"/>
        </w:rPr>
        <w:t>2</w:t>
      </w:r>
      <w:r w:rsidRPr="00CB4B9E">
        <w:rPr>
          <w:rFonts w:hint="eastAsia"/>
          <w:color w:val="000000" w:themeColor="text1"/>
        </w:rPr>
        <w:t>）远期类合约：是一种无条件履约的合约，根据该合约，交易双方同意按照合约价格（履约价格）在特定日期交换特定数量的基础产品（实物或金融产品）。期权类合约和远期类合约的主要区别：期初，远期类合约以零值开始，期权类合约通常涉及期权费；在合约的有效期内，远期类合约双方都可能是债权人或债务人，且可能发生变化，期权的购买方始终是债权人，而出售方则始终是债务人；到期时，远期类合约需无条件履约，期权履约与否取决于合约的购买方。</w:t>
      </w:r>
    </w:p>
    <w:p w:rsidR="00CB7316" w:rsidRPr="009263D7" w:rsidRDefault="00CB4B9E" w:rsidP="00CB7316">
      <w:pPr>
        <w:spacing w:line="360" w:lineRule="auto"/>
        <w:ind w:firstLineChars="200" w:firstLine="420"/>
        <w:rPr>
          <w:color w:val="000000" w:themeColor="text1"/>
        </w:rPr>
      </w:pPr>
      <w:r w:rsidRPr="00CB4B9E">
        <w:rPr>
          <w:rFonts w:hint="eastAsia"/>
          <w:color w:val="000000" w:themeColor="text1"/>
        </w:rPr>
        <w:t>（</w:t>
      </w:r>
      <w:r w:rsidRPr="00CB4B9E">
        <w:rPr>
          <w:color w:val="000000" w:themeColor="text1"/>
        </w:rPr>
        <w:t>3</w:t>
      </w:r>
      <w:r w:rsidRPr="00CB4B9E">
        <w:rPr>
          <w:rFonts w:hint="eastAsia"/>
          <w:color w:val="000000" w:themeColor="text1"/>
        </w:rPr>
        <w:t>）雇员认股权：作为一种报酬形式，向公司雇员提供的一种购买公司股权的期权。</w:t>
      </w:r>
    </w:p>
    <w:p w:rsidR="00205EB4" w:rsidRPr="009263D7" w:rsidRDefault="00205EB4" w:rsidP="00205EB4">
      <w:pPr>
        <w:rPr>
          <w:color w:val="000000" w:themeColor="text1"/>
        </w:rPr>
      </w:pPr>
    </w:p>
    <w:p w:rsidR="007C40BB" w:rsidRPr="009263D7" w:rsidRDefault="00CB4B9E" w:rsidP="00EC2742">
      <w:pPr>
        <w:pStyle w:val="a9"/>
        <w:widowControl/>
        <w:spacing w:line="360" w:lineRule="auto"/>
        <w:ind w:firstLineChars="0"/>
        <w:rPr>
          <w:rFonts w:ascii="黑体" w:eastAsia="黑体"/>
          <w:color w:val="000000" w:themeColor="text1"/>
          <w:sz w:val="24"/>
        </w:rPr>
      </w:pPr>
      <w:r w:rsidRPr="00CB4B9E">
        <w:rPr>
          <w:rFonts w:ascii="黑体" w:eastAsia="黑体" w:hint="eastAsia"/>
          <w:color w:val="000000" w:themeColor="text1"/>
          <w:sz w:val="24"/>
        </w:rPr>
        <w:t>（五）存贷款、应收应付款及非公司制机构股权等其他投资</w:t>
      </w:r>
    </w:p>
    <w:p w:rsidR="00EC2742" w:rsidRPr="009263D7" w:rsidRDefault="00CB4B9E" w:rsidP="00EC2742">
      <w:pPr>
        <w:spacing w:line="360" w:lineRule="auto"/>
        <w:rPr>
          <w:rFonts w:ascii="黑体" w:eastAsia="黑体" w:hAnsi="宋体"/>
          <w:color w:val="000000" w:themeColor="text1"/>
          <w:szCs w:val="21"/>
        </w:rPr>
      </w:pPr>
      <w:r w:rsidRPr="00CB4B9E">
        <w:rPr>
          <w:rFonts w:ascii="黑体" w:eastAsia="黑体"/>
          <w:color w:val="000000" w:themeColor="text1"/>
          <w:szCs w:val="21"/>
        </w:rPr>
        <w:t xml:space="preserve">    1.</w:t>
      </w:r>
      <w:r w:rsidRPr="00CB4B9E">
        <w:rPr>
          <w:rFonts w:ascii="黑体" w:eastAsia="黑体" w:hAnsi="宋体" w:hint="eastAsia"/>
          <w:color w:val="000000" w:themeColor="text1"/>
          <w:szCs w:val="21"/>
        </w:rPr>
        <w:t>统计内容：</w:t>
      </w:r>
    </w:p>
    <w:p w:rsidR="007C40BB" w:rsidRPr="009263D7" w:rsidRDefault="00CB4B9E" w:rsidP="00EC2742">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本表统计居民与非居民之间非流通性股权（</w:t>
      </w:r>
      <w:r w:rsidRPr="00CB4B9E">
        <w:rPr>
          <w:rFonts w:ascii="宋体" w:hAnsi="宋体"/>
          <w:color w:val="000000" w:themeColor="text1"/>
          <w:szCs w:val="21"/>
        </w:rPr>
        <w:t>10%以下）、外币</w:t>
      </w:r>
      <w:r w:rsidRPr="00CB4B9E">
        <w:rPr>
          <w:rFonts w:ascii="宋体" w:hAnsi="宋体" w:hint="eastAsia"/>
          <w:color w:val="000000" w:themeColor="text1"/>
          <w:szCs w:val="21"/>
        </w:rPr>
        <w:t>现钞、存款、贷款、银行同业或联行存放拆放、应收应付等各类金融交易和金融资产、负债余额，是不属于居民与非居民之间的直接投资、证券投资、金融衍生产品和雇员认股权以及储备资产投资的部分。</w:t>
      </w:r>
    </w:p>
    <w:p w:rsidR="007C40BB" w:rsidRPr="009263D7" w:rsidRDefault="00CB4B9E" w:rsidP="00EC2742">
      <w:pPr>
        <w:spacing w:line="360" w:lineRule="auto"/>
        <w:ind w:firstLine="422"/>
        <w:rPr>
          <w:rFonts w:ascii="黑体" w:eastAsia="黑体" w:hAnsi="宋体"/>
          <w:color w:val="000000" w:themeColor="text1"/>
          <w:szCs w:val="21"/>
        </w:rPr>
      </w:pPr>
      <w:r w:rsidRPr="00CB4B9E">
        <w:rPr>
          <w:rFonts w:ascii="黑体" w:eastAsia="黑体" w:hAnsi="宋体"/>
          <w:color w:val="000000" w:themeColor="text1"/>
          <w:szCs w:val="21"/>
        </w:rPr>
        <w:t xml:space="preserve"> 2.相关</w:t>
      </w:r>
      <w:r w:rsidRPr="00CB4B9E">
        <w:rPr>
          <w:rFonts w:ascii="黑体" w:eastAsia="黑体" w:hAnsi="宋体" w:hint="eastAsia"/>
          <w:color w:val="000000" w:themeColor="text1"/>
          <w:szCs w:val="21"/>
        </w:rPr>
        <w:t>填报说明</w:t>
      </w:r>
    </w:p>
    <w:p w:rsidR="007C40BB" w:rsidRPr="009263D7" w:rsidRDefault="00CB4B9E" w:rsidP="00EC1567">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D01</w:t>
      </w:r>
      <w:r w:rsidRPr="00CB4B9E">
        <w:rPr>
          <w:rFonts w:ascii="黑体" w:eastAsia="黑体" w:hAnsi="宋体" w:hint="eastAsia"/>
          <w:color w:val="000000" w:themeColor="text1"/>
          <w:sz w:val="24"/>
        </w:rPr>
        <w:t>表</w:t>
      </w:r>
      <w:r w:rsidRPr="00CB4B9E">
        <w:rPr>
          <w:rFonts w:ascii="黑体" w:eastAsia="黑体" w:hAnsi="宋体"/>
          <w:color w:val="000000" w:themeColor="text1"/>
          <w:sz w:val="24"/>
        </w:rPr>
        <w:t xml:space="preserve">: </w:t>
      </w:r>
      <w:r w:rsidRPr="00CB4B9E">
        <w:rPr>
          <w:rFonts w:ascii="黑体" w:eastAsia="黑体" w:hAnsi="宋体" w:hint="eastAsia"/>
          <w:color w:val="000000" w:themeColor="text1"/>
          <w:sz w:val="24"/>
        </w:rPr>
        <w:t>货币与存款（含存放银行同业和联行）（资产）</w:t>
      </w:r>
    </w:p>
    <w:tbl>
      <w:tblPr>
        <w:tblW w:w="9259" w:type="dxa"/>
        <w:tblInd w:w="93" w:type="dxa"/>
        <w:tblBorders>
          <w:top w:val="single" w:sz="4" w:space="0" w:color="auto"/>
          <w:bottom w:val="single" w:sz="4" w:space="0" w:color="auto"/>
          <w:insideH w:val="single" w:sz="4" w:space="0" w:color="auto"/>
          <w:insideV w:val="single" w:sz="4" w:space="0" w:color="auto"/>
        </w:tblBorders>
        <w:tblLook w:val="04A0"/>
      </w:tblPr>
      <w:tblGrid>
        <w:gridCol w:w="4619"/>
        <w:gridCol w:w="4640"/>
      </w:tblGrid>
      <w:tr w:rsidR="007C40BB" w:rsidRPr="009263D7">
        <w:trPr>
          <w:trHeight w:val="274"/>
        </w:trPr>
        <w:tc>
          <w:tcPr>
            <w:tcW w:w="4619" w:type="dxa"/>
            <w:shd w:val="clear" w:color="auto" w:fill="auto"/>
          </w:tcPr>
          <w:p w:rsidR="007C40BB" w:rsidRPr="009263D7" w:rsidRDefault="00CB4B9E" w:rsidP="004C48FD">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4640" w:type="dxa"/>
            <w:shd w:val="clear" w:color="auto" w:fill="auto"/>
          </w:tcPr>
          <w:p w:rsidR="007C40BB" w:rsidRPr="009263D7" w:rsidRDefault="00CB4B9E" w:rsidP="004C48FD">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7C40BB" w:rsidRPr="009263D7">
        <w:trPr>
          <w:trHeight w:val="274"/>
        </w:trPr>
        <w:tc>
          <w:tcPr>
            <w:tcW w:w="4619" w:type="dxa"/>
            <w:shd w:val="clear" w:color="auto" w:fill="auto"/>
            <w:vAlign w:val="center"/>
          </w:tcPr>
          <w:p w:rsidR="007C40BB" w:rsidRPr="009263D7" w:rsidRDefault="00CB4B9E" w:rsidP="004C48FD">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1.境内机构持有的外币</w:t>
            </w:r>
            <w:r w:rsidRPr="00CB4B9E">
              <w:rPr>
                <w:rFonts w:ascii="宋体" w:hAnsi="宋体" w:cs="宋体" w:hint="eastAsia"/>
                <w:color w:val="000000" w:themeColor="text1"/>
                <w:kern w:val="0"/>
                <w:sz w:val="20"/>
                <w:szCs w:val="20"/>
              </w:rPr>
              <w:t>现钞（含硬币与纸币）。</w:t>
            </w:r>
          </w:p>
        </w:tc>
        <w:tc>
          <w:tcPr>
            <w:tcW w:w="4640" w:type="dxa"/>
            <w:shd w:val="clear" w:color="auto" w:fill="auto"/>
            <w:vAlign w:val="center"/>
          </w:tcPr>
          <w:p w:rsidR="007C40BB" w:rsidRPr="009263D7" w:rsidRDefault="00CB4B9E" w:rsidP="004C48FD">
            <w:pPr>
              <w:widowControl/>
              <w:jc w:val="left"/>
              <w:rPr>
                <w:rFonts w:ascii="宋体" w:hAnsi="宋体" w:cs="宋体"/>
                <w:color w:val="000000" w:themeColor="text1"/>
                <w:kern w:val="0"/>
                <w:sz w:val="20"/>
                <w:szCs w:val="20"/>
              </w:rPr>
            </w:pPr>
            <w:r w:rsidRPr="00CB4B9E">
              <w:rPr>
                <w:rFonts w:ascii="宋体" w:hAnsi="宋体" w:cs="宋体" w:hint="eastAsia"/>
                <w:color w:val="000000" w:themeColor="text1"/>
                <w:kern w:val="0"/>
                <w:sz w:val="20"/>
                <w:szCs w:val="20"/>
              </w:rPr>
              <w:t xml:space="preserve">　</w:t>
            </w:r>
          </w:p>
        </w:tc>
      </w:tr>
      <w:tr w:rsidR="007C40BB" w:rsidRPr="009263D7">
        <w:trPr>
          <w:trHeight w:val="274"/>
        </w:trPr>
        <w:tc>
          <w:tcPr>
            <w:tcW w:w="4619" w:type="dxa"/>
            <w:shd w:val="clear" w:color="auto" w:fill="auto"/>
            <w:vAlign w:val="center"/>
          </w:tcPr>
          <w:p w:rsidR="007C40BB" w:rsidRPr="009263D7" w:rsidRDefault="00CB4B9E" w:rsidP="00C2750B">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2.境内机构存放在境外的款项</w:t>
            </w:r>
            <w:r w:rsidRPr="00CB4B9E">
              <w:rPr>
                <w:rFonts w:ascii="宋体" w:hAnsi="宋体" w:cs="宋体" w:hint="eastAsia"/>
                <w:color w:val="000000" w:themeColor="text1"/>
                <w:kern w:val="0"/>
                <w:sz w:val="20"/>
                <w:szCs w:val="20"/>
              </w:rPr>
              <w:t>，包括存放境外银行同业和存放境外联行。</w:t>
            </w:r>
          </w:p>
        </w:tc>
        <w:tc>
          <w:tcPr>
            <w:tcW w:w="4640" w:type="dxa"/>
            <w:shd w:val="clear" w:color="auto" w:fill="auto"/>
            <w:vAlign w:val="center"/>
          </w:tcPr>
          <w:p w:rsidR="007C40BB" w:rsidRPr="009263D7" w:rsidRDefault="007C40BB" w:rsidP="004C48FD">
            <w:pPr>
              <w:widowControl/>
              <w:jc w:val="left"/>
              <w:rPr>
                <w:rFonts w:ascii="宋体" w:hAnsi="宋体" w:cs="宋体"/>
                <w:color w:val="000000" w:themeColor="text1"/>
                <w:kern w:val="0"/>
                <w:sz w:val="20"/>
                <w:szCs w:val="20"/>
              </w:rPr>
            </w:pPr>
          </w:p>
        </w:tc>
      </w:tr>
    </w:tbl>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D0101.业务类别：</w:t>
      </w:r>
      <w:r w:rsidRPr="00CB4B9E">
        <w:rPr>
          <w:rFonts w:ascii="宋体" w:hAnsi="宋体" w:hint="eastAsia"/>
          <w:color w:val="000000" w:themeColor="text1"/>
        </w:rPr>
        <w:t>①</w:t>
      </w:r>
      <w:r w:rsidRPr="00CB4B9E">
        <w:rPr>
          <w:rFonts w:ascii="宋体" w:hAnsi="宋体" w:hint="eastAsia"/>
          <w:color w:val="000000" w:themeColor="text1"/>
          <w:szCs w:val="21"/>
        </w:rPr>
        <w:t>外币现金（硬币与纸币）；</w:t>
      </w:r>
      <w:r w:rsidRPr="00CB4B9E">
        <w:rPr>
          <w:rFonts w:ascii="宋体" w:hAnsi="宋体" w:hint="eastAsia"/>
          <w:color w:val="000000" w:themeColor="text1"/>
        </w:rPr>
        <w:t>②</w:t>
      </w:r>
      <w:r w:rsidRPr="00CB4B9E">
        <w:rPr>
          <w:rFonts w:ascii="宋体" w:hAnsi="宋体" w:hint="eastAsia"/>
          <w:color w:val="000000" w:themeColor="text1"/>
          <w:szCs w:val="21"/>
        </w:rPr>
        <w:t>存款；③账户金（或存放境外的其他贵金属）。</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D0102.对方国</w:t>
      </w:r>
      <w:r w:rsidRPr="00CB4B9E">
        <w:rPr>
          <w:rFonts w:ascii="黑体" w:eastAsia="黑体" w:hAnsi="宋体" w:hint="eastAsia"/>
          <w:color w:val="000000" w:themeColor="text1"/>
          <w:szCs w:val="21"/>
        </w:rPr>
        <w:t>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外币现钞项下根据现金（含硬币与纸币）发行国家</w:t>
      </w:r>
      <w:r w:rsidRPr="00CB4B9E">
        <w:rPr>
          <w:rFonts w:ascii="宋体" w:hAnsi="宋体"/>
          <w:color w:val="000000" w:themeColor="text1"/>
          <w:szCs w:val="21"/>
        </w:rPr>
        <w:t>/</w:t>
      </w:r>
      <w:r w:rsidRPr="00CB4B9E">
        <w:rPr>
          <w:rFonts w:ascii="宋体" w:hAnsi="宋体" w:hint="eastAsia"/>
          <w:color w:val="000000" w:themeColor="text1"/>
          <w:szCs w:val="21"/>
        </w:rPr>
        <w:t>地区填写，其中，欧元现金暂申报为德国。存款和账户金项下根据账户行所在地填写国别。</w:t>
      </w:r>
      <w:r w:rsidRPr="00CB4B9E">
        <w:rPr>
          <w:rFonts w:ascii="宋体" w:hAnsi="宋体" w:hint="eastAsia"/>
          <w:color w:val="000000" w:themeColor="text1"/>
        </w:rPr>
        <w:t>请参照数据采集规范最新版本中的相关代码表填列。</w:t>
      </w:r>
    </w:p>
    <w:p w:rsidR="00D06DC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D0103.对方部门：</w:t>
      </w:r>
      <w:r w:rsidRPr="00CB4B9E">
        <w:rPr>
          <w:rFonts w:ascii="宋体" w:hAnsi="宋体" w:hint="eastAsia"/>
          <w:color w:val="000000" w:themeColor="text1"/>
          <w:szCs w:val="21"/>
        </w:rPr>
        <w:t>请按以下五个子部门填列：①政府；②中央银行</w:t>
      </w:r>
      <w:r w:rsidRPr="00CB4B9E">
        <w:rPr>
          <w:rFonts w:ascii="宋体" w:hAnsi="宋体"/>
          <w:color w:val="000000" w:themeColor="text1"/>
          <w:szCs w:val="21"/>
        </w:rPr>
        <w:t>/货币当局；③银行；④非银行金融机构；⑤其他企业和个人。</w:t>
      </w:r>
      <w:r w:rsidRPr="00CB4B9E">
        <w:rPr>
          <w:rFonts w:ascii="宋体" w:hAnsi="宋体" w:hint="eastAsia"/>
          <w:color w:val="000000" w:themeColor="text1"/>
          <w:szCs w:val="21"/>
        </w:rPr>
        <w:t>如持有外币现钞，对方部门填写为②。</w:t>
      </w:r>
    </w:p>
    <w:p w:rsidR="00836833" w:rsidRPr="009263D7" w:rsidRDefault="00CB4B9E" w:rsidP="007C40BB">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D0104.</w:t>
      </w:r>
      <w:r w:rsidRPr="00CB4B9E">
        <w:rPr>
          <w:rFonts w:ascii="黑体" w:eastAsia="黑体" w:hAnsi="宋体" w:hint="eastAsia"/>
          <w:color w:val="000000" w:themeColor="text1"/>
          <w:szCs w:val="21"/>
        </w:rPr>
        <w:t>对方与本机构的关系：</w:t>
      </w:r>
      <w:r w:rsidRPr="00CB4B9E">
        <w:rPr>
          <w:rFonts w:ascii="宋体" w:hAnsi="宋体" w:hint="eastAsia"/>
          <w:color w:val="000000" w:themeColor="text1"/>
        </w:rPr>
        <w:t>请按以下四种情况填列：①对方是本机构的境外直接投资者，即持有本机构表决权≥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；②对方是本机构的境外直接投资企业，即本机构持有表决权在</w:t>
      </w:r>
      <w:r w:rsidRPr="00CB4B9E">
        <w:rPr>
          <w:rFonts w:ascii="宋体" w:hAnsi="宋体"/>
          <w:color w:val="000000" w:themeColor="text1"/>
        </w:rPr>
        <w:t>10%及以上的</w:t>
      </w:r>
      <w:r w:rsidRPr="00CB4B9E">
        <w:rPr>
          <w:rFonts w:ascii="宋体" w:hAnsi="宋体" w:hint="eastAsia"/>
          <w:color w:val="000000" w:themeColor="text1"/>
        </w:rPr>
        <w:t>境外分支机构、子机构、联营机构或合营机构；③对方是本机构的境外联属机构，即双方有共同母公司，但相互持有表决权＜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或相互不持有表决权；④对方与本机构无关联关系。</w:t>
      </w:r>
    </w:p>
    <w:p w:rsidR="007C40BB" w:rsidRPr="009263D7" w:rsidRDefault="00CB4B9E" w:rsidP="00724CF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D0105.原始期限：</w:t>
      </w:r>
      <w:r w:rsidRPr="00CB4B9E">
        <w:rPr>
          <w:rFonts w:ascii="宋体" w:hAnsi="宋体" w:hint="eastAsia"/>
          <w:color w:val="000000" w:themeColor="text1"/>
          <w:szCs w:val="21"/>
        </w:rPr>
        <w:t>指相关资产自持有至到期的期限，请按以下两种情况填列：</w:t>
      </w:r>
      <w:r w:rsidRPr="00CB4B9E">
        <w:rPr>
          <w:rFonts w:ascii="宋体" w:hAnsi="宋体" w:hint="eastAsia"/>
          <w:color w:val="000000" w:themeColor="text1"/>
        </w:rPr>
        <w:t>①一年及以下，含活期或不定期</w:t>
      </w:r>
      <w:r w:rsidRPr="00CB4B9E">
        <w:rPr>
          <w:rFonts w:ascii="宋体" w:hAnsi="宋体" w:hint="eastAsia"/>
          <w:color w:val="000000" w:themeColor="text1"/>
          <w:szCs w:val="21"/>
        </w:rPr>
        <w:t>；</w:t>
      </w:r>
      <w:r w:rsidRPr="00CB4B9E">
        <w:rPr>
          <w:rFonts w:ascii="宋体" w:hAnsi="宋体" w:hint="eastAsia"/>
          <w:color w:val="000000" w:themeColor="text1"/>
        </w:rPr>
        <w:t>②一年以上</w:t>
      </w:r>
      <w:r w:rsidRPr="00CB4B9E">
        <w:rPr>
          <w:rFonts w:ascii="宋体" w:hAnsi="宋体" w:hint="eastAsia"/>
          <w:color w:val="000000" w:themeColor="text1"/>
          <w:szCs w:val="21"/>
        </w:rPr>
        <w:t>。持有的外币现钞，原始期限填写为</w:t>
      </w:r>
      <w:r w:rsidRPr="00CB4B9E">
        <w:rPr>
          <w:rFonts w:ascii="宋体" w:hAnsi="宋体" w:hint="eastAsia"/>
          <w:color w:val="000000" w:themeColor="text1"/>
        </w:rPr>
        <w:t>①。</w:t>
      </w:r>
    </w:p>
    <w:p w:rsidR="0038325B" w:rsidRPr="009263D7" w:rsidRDefault="00CB4B9E" w:rsidP="0038325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D0106.原始币种：</w:t>
      </w:r>
      <w:r w:rsidRPr="00CB4B9E">
        <w:rPr>
          <w:rFonts w:ascii="宋体" w:hAnsi="宋体" w:hint="eastAsia"/>
          <w:color w:val="000000" w:themeColor="text1"/>
          <w:szCs w:val="21"/>
        </w:rPr>
        <w:t>指外币现金的币种或存款的记账币种（入账币种）。适用于</w:t>
      </w:r>
      <w:r w:rsidRPr="00CB4B9E">
        <w:rPr>
          <w:rFonts w:ascii="黑体" w:eastAsia="黑体" w:hAnsi="宋体"/>
          <w:color w:val="000000" w:themeColor="text1"/>
          <w:szCs w:val="21"/>
        </w:rPr>
        <w:t>D0107- D0114各项。</w:t>
      </w:r>
      <w:r w:rsidRPr="00CB4B9E">
        <w:rPr>
          <w:rFonts w:ascii="宋体" w:hAnsi="宋体" w:hint="eastAsia"/>
          <w:color w:val="000000" w:themeColor="text1"/>
          <w:szCs w:val="21"/>
        </w:rPr>
        <w:t>其中，存放境外贵金属币种按相关贵金属代码填写。</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D0107.上月末</w:t>
      </w:r>
      <w:r w:rsidRPr="00CB4B9E">
        <w:rPr>
          <w:rFonts w:ascii="黑体" w:eastAsia="黑体" w:hAnsi="宋体" w:hint="eastAsia"/>
          <w:color w:val="000000" w:themeColor="text1"/>
          <w:szCs w:val="21"/>
        </w:rPr>
        <w:t>本金余额：</w:t>
      </w:r>
      <w:r w:rsidRPr="00CB4B9E">
        <w:rPr>
          <w:rFonts w:ascii="宋体" w:hAnsi="宋体" w:hint="eastAsia"/>
          <w:color w:val="000000" w:themeColor="text1"/>
          <w:szCs w:val="21"/>
        </w:rPr>
        <w:t>指上月末相关资产的本金余额，包括已结转为本金的利息部分。对于存放境外同业账户发生的透支款项及利息，如无法单独区分，可合并在同业存款余额中填报。对于存放境外贵金属，应填写盎司数量。</w:t>
      </w:r>
    </w:p>
    <w:p w:rsidR="00D445C7"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D0108.上月末</w:t>
      </w:r>
      <w:r w:rsidRPr="00CB4B9E">
        <w:rPr>
          <w:rFonts w:ascii="黑体" w:eastAsia="黑体" w:hAnsi="宋体" w:hint="eastAsia"/>
          <w:color w:val="000000" w:themeColor="text1"/>
          <w:szCs w:val="21"/>
        </w:rPr>
        <w:t>应收利息余额：</w:t>
      </w:r>
      <w:r w:rsidRPr="00CB4B9E">
        <w:rPr>
          <w:rFonts w:ascii="宋体" w:hAnsi="宋体" w:hint="eastAsia"/>
          <w:color w:val="000000" w:themeColor="text1"/>
          <w:szCs w:val="21"/>
        </w:rPr>
        <w:t>指上月末相关资产产生的应收</w:t>
      </w:r>
      <w:r w:rsidR="002F196B">
        <w:rPr>
          <w:rFonts w:ascii="宋体" w:hAnsi="宋体" w:hint="eastAsia"/>
          <w:color w:val="000000" w:themeColor="text1"/>
          <w:szCs w:val="21"/>
        </w:rPr>
        <w:t>未收</w:t>
      </w:r>
      <w:r w:rsidRPr="00CB4B9E">
        <w:rPr>
          <w:rFonts w:ascii="宋体" w:hAnsi="宋体" w:hint="eastAsia"/>
          <w:color w:val="000000" w:themeColor="text1"/>
          <w:szCs w:val="21"/>
        </w:rPr>
        <w:t>利息余额。</w:t>
      </w:r>
      <w:r w:rsidR="002F196B">
        <w:rPr>
          <w:rFonts w:ascii="宋体" w:hAnsi="宋体" w:hint="eastAsia"/>
          <w:color w:val="000000" w:themeColor="text1"/>
          <w:szCs w:val="21"/>
        </w:rPr>
        <w:t>对于已结转为本金的利息，应纳入本金余额统计。</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D0109.</w:t>
      </w:r>
      <w:r w:rsidRPr="00CB4B9E">
        <w:rPr>
          <w:rFonts w:ascii="黑体" w:eastAsia="黑体" w:hAnsi="宋体" w:hint="eastAsia"/>
          <w:color w:val="000000" w:themeColor="text1"/>
          <w:szCs w:val="21"/>
        </w:rPr>
        <w:t>本月末本金余额：</w:t>
      </w:r>
      <w:r w:rsidRPr="00CB4B9E">
        <w:rPr>
          <w:rFonts w:ascii="宋体" w:hAnsi="宋体" w:hint="eastAsia"/>
          <w:color w:val="000000" w:themeColor="text1"/>
          <w:szCs w:val="21"/>
        </w:rPr>
        <w:t>指本月末相关资产的余额，包括已结转为本金的利息部分。对于存放境外</w:t>
      </w:r>
      <w:r w:rsidRPr="00CB4B9E">
        <w:rPr>
          <w:rFonts w:ascii="宋体" w:hAnsi="宋体" w:hint="eastAsia"/>
          <w:color w:val="000000" w:themeColor="text1"/>
          <w:szCs w:val="21"/>
        </w:rPr>
        <w:lastRenderedPageBreak/>
        <w:t>同业账户发生的透支款项及利息，如无法单独区分，可合并在同业存款余额中填报。对于存放境外贵金属，可填写盎司数量，但对应利息数据的货币单位应与之保持一致。</w:t>
      </w:r>
    </w:p>
    <w:p w:rsidR="00724CF3"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D0110.其中：剩余期限在一年及以下：</w:t>
      </w:r>
      <w:r w:rsidRPr="00CB4B9E">
        <w:rPr>
          <w:rFonts w:ascii="宋体" w:hAnsi="宋体" w:hint="eastAsia"/>
          <w:color w:val="000000" w:themeColor="text1"/>
          <w:szCs w:val="21"/>
        </w:rPr>
        <w:t>指自本月末至最终到期在一年及以下的相关资产的余额，包括已结转为本金的利息部分。对于存放境外同业账户发生的透支款项及利息，如无法单独区分，可合并在同业存款余额中填报。对于存放境外贵金属，可填写盎司数量，但对应利息数据的货币单位应与之保持一致。</w:t>
      </w:r>
    </w:p>
    <w:p w:rsidR="00D445C7" w:rsidRPr="009263D7" w:rsidRDefault="00CB4B9E" w:rsidP="007C40BB">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D0111.</w:t>
      </w:r>
      <w:r w:rsidRPr="00CB4B9E">
        <w:rPr>
          <w:rFonts w:ascii="黑体" w:eastAsia="黑体" w:hAnsi="宋体" w:hint="eastAsia"/>
          <w:color w:val="000000" w:themeColor="text1"/>
          <w:szCs w:val="21"/>
        </w:rPr>
        <w:t>本月末应收利息余额：</w:t>
      </w:r>
      <w:r w:rsidR="002F196B">
        <w:rPr>
          <w:rFonts w:ascii="宋体" w:hAnsi="宋体" w:hint="eastAsia"/>
          <w:color w:val="000000" w:themeColor="text1"/>
          <w:szCs w:val="21"/>
        </w:rPr>
        <w:t>指本</w:t>
      </w:r>
      <w:r w:rsidR="002F196B" w:rsidRPr="00A06CFC">
        <w:rPr>
          <w:rFonts w:ascii="宋体" w:hAnsi="宋体" w:hint="eastAsia"/>
          <w:color w:val="000000" w:themeColor="text1"/>
          <w:szCs w:val="21"/>
        </w:rPr>
        <w:t>月末相关资产产生的应收</w:t>
      </w:r>
      <w:r w:rsidR="002F196B">
        <w:rPr>
          <w:rFonts w:ascii="宋体" w:hAnsi="宋体" w:hint="eastAsia"/>
          <w:color w:val="000000" w:themeColor="text1"/>
          <w:szCs w:val="21"/>
        </w:rPr>
        <w:t>未收</w:t>
      </w:r>
      <w:r w:rsidR="002F196B" w:rsidRPr="00A06CFC">
        <w:rPr>
          <w:rFonts w:ascii="宋体" w:hAnsi="宋体" w:hint="eastAsia"/>
          <w:color w:val="000000" w:themeColor="text1"/>
          <w:szCs w:val="21"/>
        </w:rPr>
        <w:t>利息余额。</w:t>
      </w:r>
      <w:r w:rsidR="002F196B">
        <w:rPr>
          <w:rFonts w:ascii="宋体" w:hAnsi="宋体" w:hint="eastAsia"/>
          <w:color w:val="000000" w:themeColor="text1"/>
          <w:szCs w:val="21"/>
        </w:rPr>
        <w:t>对于已结转为本金的利息，应纳入本金余额统计。</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D0112.</w:t>
      </w:r>
      <w:r w:rsidRPr="00CB4B9E">
        <w:rPr>
          <w:rFonts w:ascii="黑体" w:eastAsia="黑体" w:hAnsi="宋体" w:hint="eastAsia"/>
          <w:color w:val="000000" w:themeColor="text1"/>
          <w:szCs w:val="21"/>
        </w:rPr>
        <w:t>本月非交易变动：</w:t>
      </w:r>
      <w:r w:rsidRPr="00CB4B9E">
        <w:rPr>
          <w:rFonts w:ascii="宋体" w:hAnsi="宋体" w:hint="eastAsia"/>
          <w:color w:val="000000" w:themeColor="text1"/>
          <w:szCs w:val="21"/>
        </w:rPr>
        <w:t>指本月因撤销或注销、重新分类以及所涉主体居民地位改变等因素导致持有外币现金及存放境外款项变动的净额。</w:t>
      </w:r>
    </w:p>
    <w:p w:rsidR="00D06DC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D0113.</w:t>
      </w:r>
      <w:r w:rsidRPr="00CB4B9E">
        <w:rPr>
          <w:rFonts w:ascii="黑体" w:eastAsia="黑体" w:hAnsi="宋体" w:hint="eastAsia"/>
          <w:color w:val="000000" w:themeColor="text1"/>
          <w:szCs w:val="21"/>
        </w:rPr>
        <w:t>本月净发生额：</w:t>
      </w:r>
      <w:r w:rsidRPr="00CB4B9E">
        <w:rPr>
          <w:rFonts w:ascii="宋体" w:hAnsi="宋体" w:hint="eastAsia"/>
          <w:color w:val="000000" w:themeColor="text1"/>
          <w:szCs w:val="21"/>
        </w:rPr>
        <w:t>指本月持有外币现金的变动净值（购入</w:t>
      </w:r>
      <w:r w:rsidRPr="00CB4B9E">
        <w:rPr>
          <w:rFonts w:ascii="宋体" w:hAnsi="宋体"/>
          <w:color w:val="000000" w:themeColor="text1"/>
          <w:szCs w:val="21"/>
        </w:rPr>
        <w:t>-售出）及存放境外款项增减的的净值（存放境外-存款调回）。正值代表资产的增加，负值代表资产的减少。计算公式为D0113=</w:t>
      </w:r>
      <w:r w:rsidRPr="00CB4B9E">
        <w:rPr>
          <w:rFonts w:ascii="宋体" w:hAnsi="宋体" w:hint="eastAsia"/>
          <w:color w:val="000000" w:themeColor="text1"/>
          <w:szCs w:val="21"/>
        </w:rPr>
        <w:t>（</w:t>
      </w:r>
      <w:r w:rsidRPr="00CB4B9E">
        <w:rPr>
          <w:rFonts w:ascii="宋体" w:hAnsi="宋体"/>
          <w:color w:val="000000" w:themeColor="text1"/>
          <w:szCs w:val="21"/>
        </w:rPr>
        <w:t>D0109+D0111</w:t>
      </w:r>
      <w:r w:rsidRPr="00CB4B9E">
        <w:rPr>
          <w:rFonts w:ascii="宋体" w:hAnsi="宋体" w:hint="eastAsia"/>
          <w:color w:val="000000" w:themeColor="text1"/>
          <w:szCs w:val="21"/>
        </w:rPr>
        <w:t>）</w:t>
      </w:r>
      <w:r w:rsidRPr="00CB4B9E">
        <w:rPr>
          <w:rFonts w:ascii="宋体" w:hAnsi="宋体"/>
          <w:color w:val="000000" w:themeColor="text1"/>
          <w:szCs w:val="21"/>
        </w:rPr>
        <w:t>-</w:t>
      </w:r>
      <w:r w:rsidRPr="00CB4B9E">
        <w:rPr>
          <w:rFonts w:ascii="宋体" w:hAnsi="宋体" w:hint="eastAsia"/>
          <w:color w:val="000000" w:themeColor="text1"/>
          <w:szCs w:val="21"/>
        </w:rPr>
        <w:t>（</w:t>
      </w:r>
      <w:r w:rsidRPr="00CB4B9E">
        <w:rPr>
          <w:rFonts w:ascii="宋体" w:hAnsi="宋体"/>
          <w:color w:val="000000" w:themeColor="text1"/>
          <w:szCs w:val="21"/>
        </w:rPr>
        <w:t>D0107+D0108</w:t>
      </w:r>
      <w:r w:rsidRPr="00CB4B9E">
        <w:rPr>
          <w:rFonts w:ascii="宋体" w:hAnsi="宋体" w:hint="eastAsia"/>
          <w:color w:val="000000" w:themeColor="text1"/>
          <w:szCs w:val="21"/>
        </w:rPr>
        <w:t>）</w:t>
      </w:r>
      <w:r w:rsidRPr="00CB4B9E">
        <w:rPr>
          <w:rFonts w:ascii="宋体" w:hAnsi="宋体"/>
          <w:color w:val="000000" w:themeColor="text1"/>
          <w:szCs w:val="21"/>
        </w:rPr>
        <w:t>-D0112</w:t>
      </w:r>
      <w:r w:rsidRPr="00CB4B9E">
        <w:rPr>
          <w:rFonts w:ascii="宋体" w:hAnsi="宋体" w:hint="eastAsia"/>
          <w:color w:val="000000" w:themeColor="text1"/>
          <w:szCs w:val="21"/>
        </w:rPr>
        <w:t>。</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D0114.本月利息收入：</w:t>
      </w:r>
      <w:r w:rsidRPr="00CB4B9E">
        <w:rPr>
          <w:rFonts w:ascii="宋体" w:hAnsi="宋体" w:hint="eastAsia"/>
          <w:color w:val="000000" w:themeColor="text1"/>
          <w:szCs w:val="21"/>
        </w:rPr>
        <w:t>指本机构会计账上按权责发生制确认的本月存款利息收入。指当月数，而非累计数。</w:t>
      </w:r>
    </w:p>
    <w:p w:rsidR="00D06DCB" w:rsidRPr="009263D7" w:rsidRDefault="00D06DCB" w:rsidP="007C40BB">
      <w:pPr>
        <w:spacing w:line="360" w:lineRule="auto"/>
        <w:ind w:firstLineChars="200" w:firstLine="420"/>
        <w:rPr>
          <w:rFonts w:ascii="宋体" w:hAnsi="宋体"/>
          <w:color w:val="000000" w:themeColor="text1"/>
          <w:szCs w:val="21"/>
        </w:rPr>
      </w:pPr>
    </w:p>
    <w:p w:rsidR="007C40BB" w:rsidRPr="009263D7" w:rsidRDefault="00CB4B9E" w:rsidP="00EC1567">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D02</w:t>
      </w:r>
      <w:r w:rsidRPr="00CB4B9E">
        <w:rPr>
          <w:rFonts w:ascii="黑体" w:eastAsia="黑体" w:hAnsi="宋体" w:hint="eastAsia"/>
          <w:color w:val="000000" w:themeColor="text1"/>
          <w:sz w:val="24"/>
        </w:rPr>
        <w:t>表：贷款（含拆放银行同业及联行）（资产）</w:t>
      </w:r>
    </w:p>
    <w:tbl>
      <w:tblPr>
        <w:tblW w:w="9259" w:type="dxa"/>
        <w:tblInd w:w="93" w:type="dxa"/>
        <w:tblBorders>
          <w:top w:val="single" w:sz="4" w:space="0" w:color="auto"/>
          <w:bottom w:val="single" w:sz="4" w:space="0" w:color="auto"/>
          <w:insideH w:val="single" w:sz="4" w:space="0" w:color="auto"/>
          <w:insideV w:val="single" w:sz="4" w:space="0" w:color="auto"/>
        </w:tblBorders>
        <w:tblLook w:val="04A0"/>
      </w:tblPr>
      <w:tblGrid>
        <w:gridCol w:w="4619"/>
        <w:gridCol w:w="4640"/>
      </w:tblGrid>
      <w:tr w:rsidR="007C40BB" w:rsidRPr="009263D7">
        <w:trPr>
          <w:trHeight w:val="274"/>
        </w:trPr>
        <w:tc>
          <w:tcPr>
            <w:tcW w:w="4619" w:type="dxa"/>
            <w:shd w:val="clear" w:color="auto" w:fill="auto"/>
          </w:tcPr>
          <w:p w:rsidR="007C40BB" w:rsidRPr="009263D7" w:rsidRDefault="00CB4B9E" w:rsidP="004C48FD">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4640" w:type="dxa"/>
            <w:shd w:val="clear" w:color="auto" w:fill="auto"/>
          </w:tcPr>
          <w:p w:rsidR="007C40BB" w:rsidRPr="009263D7" w:rsidRDefault="00CB4B9E" w:rsidP="004C48FD">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7C40BB" w:rsidRPr="009263D7">
        <w:trPr>
          <w:trHeight w:val="822"/>
        </w:trPr>
        <w:tc>
          <w:tcPr>
            <w:tcW w:w="4619" w:type="dxa"/>
            <w:shd w:val="clear" w:color="auto" w:fill="auto"/>
            <w:vAlign w:val="center"/>
          </w:tcPr>
          <w:p w:rsidR="007C40BB" w:rsidRPr="009263D7" w:rsidRDefault="00CB4B9E" w:rsidP="00EF5326">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1.境内机构</w:t>
            </w:r>
            <w:r w:rsidRPr="00CB4B9E">
              <w:rPr>
                <w:rFonts w:ascii="宋体" w:hAnsi="宋体" w:cs="宋体" w:hint="eastAsia"/>
                <w:color w:val="000000" w:themeColor="text1"/>
                <w:kern w:val="0"/>
                <w:sz w:val="20"/>
                <w:szCs w:val="20"/>
              </w:rPr>
              <w:t>直接向非居民提供的贷款，包括普通贷款、透支（含信用卡透支）、融资租赁、证券回购协议、银行同业及联行拆借及其它贷款。</w:t>
            </w:r>
          </w:p>
        </w:tc>
        <w:tc>
          <w:tcPr>
            <w:tcW w:w="4640" w:type="dxa"/>
            <w:shd w:val="clear" w:color="auto" w:fill="auto"/>
            <w:vAlign w:val="center"/>
          </w:tcPr>
          <w:p w:rsidR="007C40BB" w:rsidRPr="009263D7" w:rsidRDefault="007C40BB" w:rsidP="004C48FD">
            <w:pPr>
              <w:widowControl/>
              <w:jc w:val="left"/>
              <w:rPr>
                <w:rFonts w:ascii="宋体" w:hAnsi="宋体" w:cs="宋体"/>
                <w:color w:val="000000" w:themeColor="text1"/>
                <w:kern w:val="0"/>
                <w:sz w:val="20"/>
                <w:szCs w:val="20"/>
              </w:rPr>
            </w:pPr>
          </w:p>
        </w:tc>
      </w:tr>
      <w:tr w:rsidR="007C40BB" w:rsidRPr="009263D7">
        <w:trPr>
          <w:trHeight w:val="822"/>
        </w:trPr>
        <w:tc>
          <w:tcPr>
            <w:tcW w:w="4619" w:type="dxa"/>
            <w:shd w:val="clear" w:color="auto" w:fill="auto"/>
            <w:vAlign w:val="center"/>
          </w:tcPr>
          <w:p w:rsidR="007C40BB" w:rsidRPr="009263D7" w:rsidRDefault="00CB4B9E" w:rsidP="004C48FD">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2.</w:t>
            </w:r>
            <w:r w:rsidRPr="00CB4B9E">
              <w:rPr>
                <w:rFonts w:ascii="宋体" w:hAnsi="宋体" w:cs="宋体" w:hint="eastAsia"/>
                <w:color w:val="000000" w:themeColor="text1"/>
                <w:kern w:val="0"/>
                <w:sz w:val="20"/>
                <w:szCs w:val="20"/>
              </w:rPr>
              <w:t>境内机构接受居民委托，以代理人的身份向非居民发放的委托贷款，委托人不再重复报送这部分贷款数据。</w:t>
            </w:r>
          </w:p>
        </w:tc>
        <w:tc>
          <w:tcPr>
            <w:tcW w:w="4640" w:type="dxa"/>
            <w:shd w:val="clear" w:color="auto" w:fill="auto"/>
            <w:vAlign w:val="center"/>
          </w:tcPr>
          <w:p w:rsidR="007C40BB" w:rsidRPr="009263D7" w:rsidRDefault="007C40BB" w:rsidP="004C48FD">
            <w:pPr>
              <w:widowControl/>
              <w:jc w:val="left"/>
              <w:rPr>
                <w:rFonts w:ascii="宋体" w:hAnsi="宋体" w:cs="宋体"/>
                <w:color w:val="000000" w:themeColor="text1"/>
                <w:kern w:val="0"/>
                <w:sz w:val="20"/>
                <w:szCs w:val="20"/>
              </w:rPr>
            </w:pPr>
          </w:p>
        </w:tc>
      </w:tr>
    </w:tbl>
    <w:p w:rsidR="007C40BB" w:rsidRPr="009263D7" w:rsidRDefault="00CB4B9E" w:rsidP="007C40BB">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D0201.是否委托贷款：</w:t>
      </w:r>
      <w:r w:rsidRPr="00CB4B9E">
        <w:rPr>
          <w:rFonts w:ascii="宋体" w:hAnsi="宋体" w:hint="eastAsia"/>
          <w:color w:val="000000" w:themeColor="text1"/>
        </w:rPr>
        <w:t>①委托贷款；②非委托贷款。</w:t>
      </w:r>
    </w:p>
    <w:p w:rsidR="007C40BB" w:rsidRPr="009263D7" w:rsidRDefault="00CB4B9E" w:rsidP="007C40BB">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D0202.</w:t>
      </w:r>
      <w:r w:rsidRPr="00CB4B9E">
        <w:rPr>
          <w:rFonts w:ascii="黑体" w:eastAsia="黑体" w:hAnsi="宋体" w:hint="eastAsia"/>
          <w:color w:val="000000" w:themeColor="text1"/>
          <w:szCs w:val="21"/>
        </w:rPr>
        <w:t>居民委托人所属部门：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。请按委托人的主营业务归类。若</w:t>
      </w:r>
      <w:r w:rsidRPr="00CB4B9E">
        <w:rPr>
          <w:rFonts w:ascii="宋体" w:hAnsi="宋体"/>
          <w:color w:val="000000" w:themeColor="text1"/>
        </w:rPr>
        <w:t>D0201所选内容为“②非委托贷款”，本指标</w:t>
      </w:r>
      <w:r w:rsidRPr="00CB4B9E">
        <w:rPr>
          <w:rFonts w:ascii="宋体" w:hAnsi="宋体" w:hint="eastAsia"/>
          <w:color w:val="000000" w:themeColor="text1"/>
        </w:rPr>
        <w:t>为“</w:t>
      </w:r>
      <w:r w:rsidRPr="00CB4B9E">
        <w:rPr>
          <w:rFonts w:ascii="宋体" w:hAnsi="宋体"/>
          <w:color w:val="000000" w:themeColor="text1"/>
        </w:rPr>
        <w:t>N/A”</w:t>
      </w:r>
      <w:r w:rsidRPr="00CB4B9E">
        <w:rPr>
          <w:rFonts w:ascii="宋体" w:hAnsi="宋体" w:hint="eastAsia"/>
          <w:color w:val="000000" w:themeColor="text1"/>
        </w:rPr>
        <w:t>。</w:t>
      </w:r>
    </w:p>
    <w:p w:rsidR="007C40BB" w:rsidRPr="009263D7" w:rsidRDefault="00CB4B9E" w:rsidP="007C40BB">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D0203.</w:t>
      </w:r>
      <w:r w:rsidRPr="00CB4B9E">
        <w:rPr>
          <w:rFonts w:ascii="黑体" w:eastAsia="黑体" w:hAnsi="宋体" w:hint="eastAsia"/>
          <w:color w:val="000000" w:themeColor="text1"/>
          <w:szCs w:val="21"/>
        </w:rPr>
        <w:t>对方国家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指接受贷款的非居民注册或常驻（住）的国家</w:t>
      </w:r>
      <w:r w:rsidRPr="00CB4B9E">
        <w:rPr>
          <w:rFonts w:ascii="宋体" w:hAnsi="宋体"/>
          <w:color w:val="000000" w:themeColor="text1"/>
          <w:szCs w:val="21"/>
        </w:rPr>
        <w:t>/</w:t>
      </w:r>
      <w:r w:rsidRPr="00CB4B9E">
        <w:rPr>
          <w:rFonts w:ascii="宋体" w:hAnsi="宋体" w:hint="eastAsia"/>
          <w:color w:val="000000" w:themeColor="text1"/>
          <w:szCs w:val="21"/>
        </w:rPr>
        <w:t>地区。</w:t>
      </w:r>
      <w:r w:rsidRPr="00CB4B9E">
        <w:rPr>
          <w:rFonts w:ascii="宋体" w:hAnsi="宋体" w:hint="eastAsia"/>
          <w:color w:val="000000" w:themeColor="text1"/>
        </w:rPr>
        <w:t>请参照数据采集规范最新版本中的相关代码表填列。</w:t>
      </w:r>
    </w:p>
    <w:p w:rsidR="00D900B3" w:rsidRPr="009263D7" w:rsidRDefault="00CB4B9E" w:rsidP="00F326F7">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 xml:space="preserve">D0204. </w:t>
      </w:r>
      <w:r w:rsidRPr="00CB4B9E">
        <w:rPr>
          <w:rFonts w:ascii="黑体" w:eastAsia="黑体" w:hAnsi="宋体" w:hint="eastAsia"/>
          <w:color w:val="000000" w:themeColor="text1"/>
          <w:szCs w:val="21"/>
        </w:rPr>
        <w:t>对方部门：</w:t>
      </w:r>
      <w:r w:rsidRPr="00CB4B9E">
        <w:rPr>
          <w:rFonts w:ascii="宋体" w:hAnsi="宋体" w:hint="eastAsia"/>
          <w:color w:val="000000" w:themeColor="text1"/>
          <w:szCs w:val="21"/>
        </w:rPr>
        <w:t>指接受贷款的非居民所属部门，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请按接受贷款的主体的主营业务归类。</w:t>
      </w:r>
    </w:p>
    <w:p w:rsidR="00C54294" w:rsidRPr="009263D7" w:rsidRDefault="00CB4B9E" w:rsidP="007C40BB">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lastRenderedPageBreak/>
        <w:t>D0205.</w:t>
      </w:r>
      <w:r w:rsidRPr="00CB4B9E">
        <w:rPr>
          <w:rFonts w:ascii="黑体" w:eastAsia="黑体" w:hAnsi="宋体" w:hint="eastAsia"/>
          <w:color w:val="000000" w:themeColor="text1"/>
          <w:szCs w:val="21"/>
        </w:rPr>
        <w:t>对方与本机构</w:t>
      </w:r>
      <w:r w:rsidRPr="00CB4B9E">
        <w:rPr>
          <w:rFonts w:ascii="黑体" w:eastAsia="黑体" w:hAnsi="宋体"/>
          <w:color w:val="000000" w:themeColor="text1"/>
          <w:szCs w:val="21"/>
        </w:rPr>
        <w:t>/委托人</w:t>
      </w:r>
      <w:r w:rsidRPr="00CB4B9E">
        <w:rPr>
          <w:rFonts w:ascii="黑体" w:eastAsia="黑体" w:hAnsi="宋体" w:hint="eastAsia"/>
          <w:color w:val="000000" w:themeColor="text1"/>
          <w:szCs w:val="21"/>
        </w:rPr>
        <w:t>的关系：</w:t>
      </w:r>
      <w:r w:rsidRPr="00CB4B9E">
        <w:rPr>
          <w:rFonts w:ascii="宋体" w:hAnsi="宋体" w:hint="eastAsia"/>
          <w:color w:val="000000" w:themeColor="text1"/>
        </w:rPr>
        <w:t>请按以下四种情况填列：①对方是本机构</w:t>
      </w:r>
      <w:r w:rsidRPr="00CB4B9E">
        <w:rPr>
          <w:rFonts w:ascii="宋体" w:hAnsi="宋体"/>
          <w:color w:val="000000" w:themeColor="text1"/>
        </w:rPr>
        <w:t>/委托人</w:t>
      </w:r>
      <w:r w:rsidRPr="00CB4B9E">
        <w:rPr>
          <w:rFonts w:ascii="宋体" w:hAnsi="宋体" w:hint="eastAsia"/>
          <w:color w:val="000000" w:themeColor="text1"/>
        </w:rPr>
        <w:t>的境外直接投资者，即持有本机构</w:t>
      </w:r>
      <w:r w:rsidRPr="00CB4B9E">
        <w:rPr>
          <w:rFonts w:ascii="宋体" w:hAnsi="宋体"/>
          <w:color w:val="000000" w:themeColor="text1"/>
        </w:rPr>
        <w:t>/委托人</w:t>
      </w:r>
      <w:r w:rsidRPr="00CB4B9E">
        <w:rPr>
          <w:rFonts w:ascii="宋体" w:hAnsi="宋体" w:hint="eastAsia"/>
          <w:color w:val="000000" w:themeColor="text1"/>
        </w:rPr>
        <w:t>表决权≥</w:t>
      </w:r>
      <w:r w:rsidRPr="00CB4B9E">
        <w:rPr>
          <w:rFonts w:ascii="宋体" w:hAnsi="宋体"/>
          <w:color w:val="000000" w:themeColor="text1"/>
        </w:rPr>
        <w:t>10%</w:t>
      </w:r>
      <w:r w:rsidRPr="00CB4B9E">
        <w:rPr>
          <w:rFonts w:ascii="宋体" w:hAnsi="宋体" w:hint="eastAsia"/>
          <w:color w:val="000000" w:themeColor="text1"/>
        </w:rPr>
        <w:t>；②对方是本机构</w:t>
      </w:r>
      <w:r w:rsidRPr="00CB4B9E">
        <w:rPr>
          <w:rFonts w:ascii="宋体" w:hAnsi="宋体"/>
          <w:color w:val="000000" w:themeColor="text1"/>
        </w:rPr>
        <w:t>/委托人</w:t>
      </w:r>
      <w:r w:rsidRPr="00CB4B9E">
        <w:rPr>
          <w:rFonts w:ascii="宋体" w:hAnsi="宋体" w:hint="eastAsia"/>
          <w:color w:val="000000" w:themeColor="text1"/>
        </w:rPr>
        <w:t>的境外直接投资企业，即本机构</w:t>
      </w:r>
      <w:r w:rsidRPr="00CB4B9E">
        <w:rPr>
          <w:rFonts w:ascii="宋体" w:hAnsi="宋体"/>
          <w:color w:val="000000" w:themeColor="text1"/>
        </w:rPr>
        <w:t>/委托人持有表决权在10%及以上的</w:t>
      </w:r>
      <w:r w:rsidRPr="00CB4B9E">
        <w:rPr>
          <w:rFonts w:ascii="宋体" w:hAnsi="宋体" w:hint="eastAsia"/>
          <w:color w:val="000000" w:themeColor="text1"/>
        </w:rPr>
        <w:t>境外分支机构、子机构、联营机构或合营机构；③对方是本机构</w:t>
      </w:r>
      <w:r w:rsidRPr="00CB4B9E">
        <w:rPr>
          <w:rFonts w:ascii="宋体" w:hAnsi="宋体"/>
          <w:color w:val="000000" w:themeColor="text1"/>
        </w:rPr>
        <w:t>/委托人</w:t>
      </w:r>
      <w:r w:rsidRPr="00CB4B9E">
        <w:rPr>
          <w:rFonts w:ascii="宋体" w:hAnsi="宋体" w:hint="eastAsia"/>
          <w:color w:val="000000" w:themeColor="text1"/>
        </w:rPr>
        <w:t>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或相互不持有表决权；④对方与本机构</w:t>
      </w:r>
      <w:r w:rsidRPr="00CB4B9E">
        <w:rPr>
          <w:rFonts w:ascii="宋体" w:hAnsi="宋体"/>
          <w:color w:val="000000" w:themeColor="text1"/>
        </w:rPr>
        <w:t>/委托人</w:t>
      </w:r>
      <w:r w:rsidRPr="00CB4B9E">
        <w:rPr>
          <w:rFonts w:ascii="宋体" w:hAnsi="宋体" w:hint="eastAsia"/>
          <w:color w:val="000000" w:themeColor="text1"/>
        </w:rPr>
        <w:t>无关联关系或关系未知。</w:t>
      </w:r>
    </w:p>
    <w:p w:rsidR="007C40BB" w:rsidRPr="009263D7" w:rsidRDefault="00CB4B9E" w:rsidP="006F5A70">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D0206</w:t>
      </w:r>
      <w:r w:rsidRPr="00CB4B9E">
        <w:rPr>
          <w:rFonts w:ascii="黑体" w:eastAsia="黑体" w:hAnsi="宋体" w:hint="eastAsia"/>
          <w:color w:val="000000" w:themeColor="text1"/>
          <w:szCs w:val="21"/>
        </w:rPr>
        <w:t>原始期限：</w:t>
      </w:r>
      <w:r w:rsidRPr="00CB4B9E">
        <w:rPr>
          <w:rFonts w:ascii="宋体" w:hAnsi="宋体" w:hint="eastAsia"/>
          <w:color w:val="000000" w:themeColor="text1"/>
          <w:szCs w:val="21"/>
        </w:rPr>
        <w:t>指贷款合同或借贷双方交易证实书中贷款的首笔提款日至最终到期日（或结清日）的期限。按以下两种情况填列：</w:t>
      </w:r>
      <w:r w:rsidRPr="00CB4B9E">
        <w:rPr>
          <w:rFonts w:ascii="宋体" w:hAnsi="宋体" w:hint="eastAsia"/>
          <w:color w:val="000000" w:themeColor="text1"/>
        </w:rPr>
        <w:t>①一年及以下，含不定期</w:t>
      </w:r>
      <w:r w:rsidRPr="00CB4B9E">
        <w:rPr>
          <w:rFonts w:ascii="宋体" w:hAnsi="宋体" w:hint="eastAsia"/>
          <w:color w:val="000000" w:themeColor="text1"/>
          <w:szCs w:val="21"/>
        </w:rPr>
        <w:t>；</w:t>
      </w:r>
      <w:r w:rsidRPr="00CB4B9E">
        <w:rPr>
          <w:rFonts w:ascii="宋体" w:hAnsi="宋体" w:hint="eastAsia"/>
          <w:color w:val="000000" w:themeColor="text1"/>
        </w:rPr>
        <w:t>②一年以上</w:t>
      </w:r>
      <w:r w:rsidRPr="00CB4B9E">
        <w:rPr>
          <w:rFonts w:ascii="宋体" w:hAnsi="宋体" w:hint="eastAsia"/>
          <w:color w:val="000000" w:themeColor="text1"/>
          <w:szCs w:val="21"/>
        </w:rPr>
        <w:t>。其中，循环贷款按合同或交易证实书中约定的贷款周期填写。如发生贷款拖欠或展期的，应按照双方确定的期限计算。如双方无安排，应按原期限归类。</w:t>
      </w:r>
    </w:p>
    <w:p w:rsidR="00E31E5C" w:rsidRPr="009263D7" w:rsidRDefault="00CB4B9E" w:rsidP="00E31E5C">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D0207.原始币种：</w:t>
      </w:r>
      <w:r w:rsidRPr="00CB4B9E">
        <w:rPr>
          <w:rFonts w:ascii="宋体" w:hAnsi="宋体" w:hint="eastAsia"/>
          <w:color w:val="000000" w:themeColor="text1"/>
          <w:szCs w:val="21"/>
        </w:rPr>
        <w:t>指贷款合同或借贷双方交易证实书中规定的贷款币种。适用于</w:t>
      </w:r>
      <w:r w:rsidRPr="00CB4B9E">
        <w:rPr>
          <w:rFonts w:ascii="宋体" w:hAnsi="宋体"/>
          <w:color w:val="000000" w:themeColor="text1"/>
          <w:szCs w:val="21"/>
        </w:rPr>
        <w:t>D0208-D0215各项。</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D0208.上月末</w:t>
      </w:r>
      <w:r w:rsidRPr="00CB4B9E">
        <w:rPr>
          <w:rFonts w:ascii="黑体" w:eastAsia="黑体" w:hAnsi="宋体" w:hint="eastAsia"/>
          <w:color w:val="000000" w:themeColor="text1"/>
          <w:szCs w:val="21"/>
        </w:rPr>
        <w:t>本金余额：</w:t>
      </w:r>
      <w:r w:rsidRPr="00CB4B9E">
        <w:rPr>
          <w:rFonts w:ascii="宋体" w:hAnsi="宋体" w:hint="eastAsia"/>
          <w:color w:val="000000" w:themeColor="text1"/>
          <w:szCs w:val="21"/>
        </w:rPr>
        <w:t>指上月末对非居民贷款本金的账面余额。</w:t>
      </w:r>
    </w:p>
    <w:p w:rsidR="00C85234"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D0209.上月末应收利息余额：</w:t>
      </w:r>
      <w:r w:rsidRPr="00CB4B9E">
        <w:rPr>
          <w:rFonts w:ascii="宋体" w:hAnsi="宋体" w:hint="eastAsia"/>
          <w:color w:val="000000" w:themeColor="text1"/>
          <w:szCs w:val="21"/>
        </w:rPr>
        <w:t>指上月末对非居民应收未收的贷款利息余额。</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D0210.</w:t>
      </w:r>
      <w:r w:rsidRPr="00CB4B9E">
        <w:rPr>
          <w:rFonts w:ascii="黑体" w:eastAsia="黑体" w:hAnsi="宋体" w:hint="eastAsia"/>
          <w:color w:val="000000" w:themeColor="text1"/>
          <w:szCs w:val="21"/>
        </w:rPr>
        <w:t>本月末本金余额：</w:t>
      </w:r>
      <w:r w:rsidRPr="00CB4B9E">
        <w:rPr>
          <w:rFonts w:ascii="宋体" w:hAnsi="宋体" w:hint="eastAsia"/>
          <w:color w:val="000000" w:themeColor="text1"/>
          <w:szCs w:val="21"/>
        </w:rPr>
        <w:t>指本月末对非居民提供贷款的账面余额。</w:t>
      </w:r>
    </w:p>
    <w:p w:rsidR="00BB2FDD"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D0211.其中：剩余期限在一年及以下：</w:t>
      </w:r>
      <w:r w:rsidRPr="00CB4B9E">
        <w:rPr>
          <w:rFonts w:ascii="宋体" w:hAnsi="宋体" w:hint="eastAsia"/>
          <w:color w:val="000000" w:themeColor="text1"/>
          <w:szCs w:val="21"/>
        </w:rPr>
        <w:t>指自本月末至最终到期在一年及以下的本月末对非居民提供贷款的账面余额。对于循环贷款，应根据对应贷款自本月末至最终到期日（或结清日）的期限是否在一年及以下判断。对于贷款拖欠或展期的，应按照双方确定的期限判断剩余期限是否在一年及以下。如双方无安排，纳入一年及以下统计。</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D0212.</w:t>
      </w:r>
      <w:r w:rsidRPr="00CB4B9E">
        <w:rPr>
          <w:rFonts w:ascii="黑体" w:eastAsia="黑体" w:hAnsi="宋体" w:hint="eastAsia"/>
          <w:color w:val="000000" w:themeColor="text1"/>
          <w:szCs w:val="21"/>
        </w:rPr>
        <w:t>本月末应收利息余额：</w:t>
      </w:r>
      <w:r w:rsidRPr="00CB4B9E">
        <w:rPr>
          <w:rFonts w:ascii="宋体" w:hAnsi="宋体" w:hint="eastAsia"/>
          <w:color w:val="000000" w:themeColor="text1"/>
          <w:szCs w:val="21"/>
        </w:rPr>
        <w:t>指本月末对非居民应收未收的贷款利息余额。</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D0213.</w:t>
      </w:r>
      <w:r w:rsidRPr="00CB4B9E">
        <w:rPr>
          <w:rFonts w:ascii="黑体" w:eastAsia="黑体" w:hAnsi="宋体" w:hint="eastAsia"/>
          <w:color w:val="000000" w:themeColor="text1"/>
          <w:szCs w:val="21"/>
        </w:rPr>
        <w:t>本月非交易变动：</w:t>
      </w:r>
      <w:r w:rsidRPr="00CB4B9E">
        <w:rPr>
          <w:rFonts w:ascii="宋体" w:hAnsi="宋体" w:hint="eastAsia"/>
          <w:color w:val="000000" w:themeColor="text1"/>
          <w:szCs w:val="21"/>
        </w:rPr>
        <w:t>指因贷款核销、重新分类（贷款一旦转让，则重新分类为债务证券）以及所涉主体居民地位改变等因素导致境内机构对境外提供贷款余额变动的净额。</w:t>
      </w:r>
    </w:p>
    <w:p w:rsidR="004F0E24"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D0214.</w:t>
      </w:r>
      <w:r w:rsidRPr="00CB4B9E">
        <w:rPr>
          <w:rFonts w:ascii="黑体" w:eastAsia="黑体" w:hAnsi="宋体" w:hint="eastAsia"/>
          <w:color w:val="000000" w:themeColor="text1"/>
          <w:szCs w:val="21"/>
        </w:rPr>
        <w:t>本月净发生额：</w:t>
      </w:r>
      <w:r w:rsidRPr="00CB4B9E">
        <w:rPr>
          <w:rFonts w:ascii="宋体" w:hAnsi="宋体" w:hint="eastAsia"/>
          <w:color w:val="000000" w:themeColor="text1"/>
          <w:szCs w:val="21"/>
        </w:rPr>
        <w:t>指本月对非居民提供贷款的净发生额（提供贷款</w:t>
      </w:r>
      <w:r w:rsidRPr="00CB4B9E">
        <w:rPr>
          <w:rFonts w:ascii="宋体" w:hAnsi="宋体"/>
          <w:color w:val="000000" w:themeColor="text1"/>
          <w:szCs w:val="21"/>
        </w:rPr>
        <w:t>-贷款收回），正值代表资产的增加，负值代表资产的减少。计算公式为D0214=</w:t>
      </w:r>
      <w:r w:rsidRPr="00CB4B9E">
        <w:rPr>
          <w:rFonts w:ascii="宋体" w:hAnsi="宋体" w:hint="eastAsia"/>
          <w:color w:val="000000" w:themeColor="text1"/>
          <w:szCs w:val="21"/>
        </w:rPr>
        <w:t>（</w:t>
      </w:r>
      <w:r w:rsidRPr="00CB4B9E">
        <w:rPr>
          <w:rFonts w:ascii="宋体" w:hAnsi="宋体"/>
          <w:color w:val="000000" w:themeColor="text1"/>
          <w:szCs w:val="21"/>
        </w:rPr>
        <w:t>D0210+D0212</w:t>
      </w:r>
      <w:r w:rsidRPr="00CB4B9E">
        <w:rPr>
          <w:rFonts w:ascii="宋体" w:hAnsi="宋体" w:hint="eastAsia"/>
          <w:color w:val="000000" w:themeColor="text1"/>
          <w:szCs w:val="21"/>
        </w:rPr>
        <w:t>）</w:t>
      </w:r>
      <w:r w:rsidRPr="00CB4B9E">
        <w:rPr>
          <w:rFonts w:ascii="宋体" w:hAnsi="宋体"/>
          <w:color w:val="000000" w:themeColor="text1"/>
          <w:szCs w:val="21"/>
        </w:rPr>
        <w:t>-</w:t>
      </w:r>
      <w:r w:rsidRPr="00CB4B9E">
        <w:rPr>
          <w:rFonts w:ascii="宋体" w:hAnsi="宋体" w:hint="eastAsia"/>
          <w:color w:val="000000" w:themeColor="text1"/>
          <w:szCs w:val="21"/>
        </w:rPr>
        <w:t>（</w:t>
      </w:r>
      <w:r w:rsidRPr="00CB4B9E">
        <w:rPr>
          <w:rFonts w:ascii="宋体" w:hAnsi="宋体"/>
          <w:color w:val="000000" w:themeColor="text1"/>
          <w:szCs w:val="21"/>
        </w:rPr>
        <w:t>D0208+D0209</w:t>
      </w:r>
      <w:r w:rsidRPr="00CB4B9E">
        <w:rPr>
          <w:rFonts w:ascii="宋体" w:hAnsi="宋体" w:hint="eastAsia"/>
          <w:color w:val="000000" w:themeColor="text1"/>
          <w:szCs w:val="21"/>
        </w:rPr>
        <w:t>）</w:t>
      </w:r>
      <w:r w:rsidRPr="00CB4B9E">
        <w:rPr>
          <w:rFonts w:ascii="宋体" w:hAnsi="宋体"/>
          <w:color w:val="000000" w:themeColor="text1"/>
          <w:szCs w:val="21"/>
        </w:rPr>
        <w:t>-D0213。</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D0215.本月利息收入：</w:t>
      </w:r>
      <w:r w:rsidRPr="00CB4B9E">
        <w:rPr>
          <w:rFonts w:ascii="宋体" w:hAnsi="宋体" w:hint="eastAsia"/>
          <w:color w:val="000000" w:themeColor="text1"/>
          <w:szCs w:val="21"/>
        </w:rPr>
        <w:t>指本机构会计账上按权责发生制确认的本月贷款利息收入。指当月数，非累计数。</w:t>
      </w:r>
    </w:p>
    <w:p w:rsidR="007324B3" w:rsidRPr="009263D7" w:rsidRDefault="007324B3" w:rsidP="007C40BB">
      <w:pPr>
        <w:spacing w:line="360" w:lineRule="auto"/>
        <w:ind w:firstLineChars="200" w:firstLine="420"/>
        <w:rPr>
          <w:rFonts w:ascii="宋体" w:hAnsi="宋体"/>
          <w:color w:val="000000" w:themeColor="text1"/>
          <w:szCs w:val="21"/>
        </w:rPr>
      </w:pPr>
    </w:p>
    <w:p w:rsidR="007324B3" w:rsidRPr="009263D7" w:rsidRDefault="00CB4B9E" w:rsidP="007324B3">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D03表：持有境外非公司制机构10%以下表决权和国际组织股权（资产）</w:t>
      </w:r>
    </w:p>
    <w:tbl>
      <w:tblPr>
        <w:tblW w:w="9259" w:type="dxa"/>
        <w:tblInd w:w="93" w:type="dxa"/>
        <w:tblBorders>
          <w:top w:val="single" w:sz="4" w:space="0" w:color="auto"/>
          <w:bottom w:val="single" w:sz="4" w:space="0" w:color="auto"/>
          <w:insideH w:val="single" w:sz="4" w:space="0" w:color="auto"/>
          <w:insideV w:val="single" w:sz="4" w:space="0" w:color="auto"/>
        </w:tblBorders>
        <w:tblLook w:val="04A0"/>
      </w:tblPr>
      <w:tblGrid>
        <w:gridCol w:w="4619"/>
        <w:gridCol w:w="4640"/>
      </w:tblGrid>
      <w:tr w:rsidR="007324B3" w:rsidRPr="009263D7">
        <w:trPr>
          <w:trHeight w:val="274"/>
        </w:trPr>
        <w:tc>
          <w:tcPr>
            <w:tcW w:w="4619" w:type="dxa"/>
            <w:shd w:val="clear" w:color="auto" w:fill="auto"/>
          </w:tcPr>
          <w:p w:rsidR="007324B3" w:rsidRPr="009263D7" w:rsidRDefault="00CB4B9E" w:rsidP="00675CD0">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4640" w:type="dxa"/>
            <w:shd w:val="clear" w:color="auto" w:fill="auto"/>
          </w:tcPr>
          <w:p w:rsidR="007324B3" w:rsidRPr="009263D7" w:rsidRDefault="00CB4B9E" w:rsidP="00675CD0">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7324B3" w:rsidRPr="009263D7">
        <w:trPr>
          <w:trHeight w:val="274"/>
        </w:trPr>
        <w:tc>
          <w:tcPr>
            <w:tcW w:w="4619" w:type="dxa"/>
            <w:shd w:val="clear" w:color="auto" w:fill="auto"/>
            <w:vAlign w:val="center"/>
          </w:tcPr>
          <w:p w:rsidR="00BA711C" w:rsidRPr="009263D7" w:rsidRDefault="00CB4B9E">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1.境内机构持有境外非公司制机构</w:t>
            </w:r>
            <w:r w:rsidRPr="00CB4B9E">
              <w:rPr>
                <w:rFonts w:ascii="宋体" w:hAnsi="宋体" w:cs="宋体" w:hint="eastAsia"/>
                <w:color w:val="000000" w:themeColor="text1"/>
                <w:kern w:val="0"/>
                <w:sz w:val="20"/>
                <w:szCs w:val="20"/>
              </w:rPr>
              <w:t>（例</w:t>
            </w:r>
            <w:r w:rsidRPr="00CB4B9E">
              <w:rPr>
                <w:rFonts w:ascii="宋体" w:hAnsi="宋体" w:cs="宋体" w:hint="eastAsia"/>
                <w:color w:val="000000" w:themeColor="text1"/>
                <w:kern w:val="0"/>
                <w:sz w:val="20"/>
                <w:szCs w:val="20"/>
              </w:rPr>
              <w:t>如持有</w:t>
            </w:r>
            <w:r w:rsidRPr="00CB4B9E">
              <w:rPr>
                <w:rFonts w:ascii="宋体" w:hAnsi="宋体" w:cs="宋体"/>
                <w:color w:val="000000" w:themeColor="text1"/>
                <w:kern w:val="0"/>
                <w:sz w:val="20"/>
                <w:szCs w:val="20"/>
              </w:rPr>
              <w:t>SWIFT</w:t>
            </w:r>
            <w:r w:rsidRPr="00CB4B9E">
              <w:rPr>
                <w:rFonts w:ascii="宋体" w:hAnsi="宋体" w:cs="宋体" w:hint="eastAsia"/>
                <w:color w:val="000000" w:themeColor="text1"/>
                <w:kern w:val="0"/>
                <w:sz w:val="20"/>
                <w:szCs w:val="20"/>
              </w:rPr>
              <w:t>）</w:t>
            </w:r>
            <w:r w:rsidRPr="00CB4B9E">
              <w:rPr>
                <w:rFonts w:ascii="宋体" w:hAnsi="宋体" w:cs="宋体"/>
                <w:color w:val="000000" w:themeColor="text1"/>
                <w:kern w:val="0"/>
                <w:sz w:val="20"/>
                <w:szCs w:val="20"/>
              </w:rPr>
              <w:t>10%以下表决权或国际组织不可流通的股权。</w:t>
            </w:r>
          </w:p>
        </w:tc>
        <w:tc>
          <w:tcPr>
            <w:tcW w:w="4640" w:type="dxa"/>
            <w:shd w:val="clear" w:color="auto" w:fill="auto"/>
            <w:vAlign w:val="center"/>
          </w:tcPr>
          <w:p w:rsidR="007324B3" w:rsidRPr="009263D7" w:rsidRDefault="00CB4B9E" w:rsidP="00F073D7">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1.境内金融机构持有境外机构的可流通</w:t>
            </w:r>
            <w:r w:rsidRPr="00CB4B9E">
              <w:rPr>
                <w:rFonts w:ascii="宋体" w:hAnsi="宋体" w:cs="宋体" w:hint="eastAsia"/>
                <w:color w:val="000000" w:themeColor="text1"/>
                <w:kern w:val="0"/>
                <w:sz w:val="20"/>
                <w:szCs w:val="20"/>
              </w:rPr>
              <w:t>股权，或</w:t>
            </w:r>
            <w:r w:rsidRPr="00CB4B9E">
              <w:rPr>
                <w:rFonts w:ascii="宋体" w:hAnsi="宋体" w:cs="宋体"/>
                <w:color w:val="000000" w:themeColor="text1"/>
                <w:kern w:val="0"/>
                <w:sz w:val="20"/>
                <w:szCs w:val="20"/>
              </w:rPr>
              <w:t>10%</w:t>
            </w:r>
            <w:r w:rsidRPr="00CB4B9E">
              <w:rPr>
                <w:rFonts w:ascii="宋体" w:hAnsi="宋体" w:cs="宋体" w:hint="eastAsia"/>
                <w:color w:val="000000" w:themeColor="text1"/>
                <w:kern w:val="0"/>
                <w:sz w:val="20"/>
                <w:szCs w:val="20"/>
              </w:rPr>
              <w:t>以上的不可流通股权。</w:t>
            </w:r>
          </w:p>
        </w:tc>
      </w:tr>
    </w:tbl>
    <w:p w:rsidR="007324B3" w:rsidRPr="009263D7" w:rsidRDefault="00CB4B9E" w:rsidP="007324B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D0301.对方名称：</w:t>
      </w:r>
      <w:r w:rsidRPr="00CB4B9E">
        <w:rPr>
          <w:rFonts w:ascii="宋体" w:hAnsi="宋体" w:hint="eastAsia"/>
          <w:color w:val="000000" w:themeColor="text1"/>
          <w:szCs w:val="21"/>
        </w:rPr>
        <w:t>指境外被投资主体的中文名称及当地注册的英文名称，如为其他语言名称，可不填写外文名称，但必须填写中文名称。</w:t>
      </w:r>
    </w:p>
    <w:p w:rsidR="007324B3" w:rsidRPr="009263D7" w:rsidRDefault="00CB4B9E" w:rsidP="007324B3">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lastRenderedPageBreak/>
        <w:t>D0302.对方代码：</w:t>
      </w:r>
      <w:r w:rsidRPr="00CB4B9E">
        <w:rPr>
          <w:rFonts w:ascii="宋体" w:hAnsi="宋体" w:hint="eastAsia"/>
          <w:color w:val="000000" w:themeColor="text1"/>
          <w:szCs w:val="21"/>
        </w:rPr>
        <w:t>指可以唯一标识该境外被投资主体的代码，包括“</w:t>
      </w:r>
      <w:r w:rsidRPr="00CB4B9E">
        <w:rPr>
          <w:rFonts w:ascii="宋体" w:hAnsi="宋体"/>
          <w:color w:val="000000" w:themeColor="text1"/>
          <w:szCs w:val="21"/>
        </w:rPr>
        <w:t xml:space="preserve">SWIFT编码” </w:t>
      </w:r>
      <w:r w:rsidRPr="00CB4B9E">
        <w:rPr>
          <w:rFonts w:ascii="宋体" w:hAnsi="宋体" w:hint="eastAsia"/>
          <w:color w:val="000000" w:themeColor="text1"/>
          <w:szCs w:val="21"/>
        </w:rPr>
        <w:t>等。如无市场通用代码，应使用本机构内部使用的代码进行唯一标识。</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D0303.对方国家/地区：</w:t>
      </w:r>
      <w:r w:rsidRPr="00CB4B9E">
        <w:rPr>
          <w:rFonts w:ascii="宋体" w:hAnsi="宋体" w:hint="eastAsia"/>
          <w:color w:val="000000" w:themeColor="text1"/>
          <w:szCs w:val="21"/>
        </w:rPr>
        <w:t>指境外被投资主体注册或常驻的国家</w:t>
      </w:r>
      <w:r w:rsidRPr="00CB4B9E">
        <w:rPr>
          <w:rFonts w:ascii="宋体" w:hAnsi="宋体"/>
          <w:color w:val="000000" w:themeColor="text1"/>
          <w:szCs w:val="21"/>
        </w:rPr>
        <w:t>/</w:t>
      </w:r>
      <w:r w:rsidRPr="00CB4B9E">
        <w:rPr>
          <w:rFonts w:ascii="宋体" w:hAnsi="宋体" w:hint="eastAsia"/>
          <w:color w:val="000000" w:themeColor="text1"/>
          <w:szCs w:val="21"/>
        </w:rPr>
        <w:t>地区。</w:t>
      </w:r>
      <w:r w:rsidRPr="00CB4B9E">
        <w:rPr>
          <w:rFonts w:ascii="宋体" w:hAnsi="宋体" w:hint="eastAsia"/>
          <w:color w:val="000000" w:themeColor="text1"/>
        </w:rPr>
        <w:t>请参照数据采集规范最新版本中的相关代码表填列。</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D0304.对方部门：</w:t>
      </w:r>
      <w:r w:rsidRPr="00CB4B9E">
        <w:rPr>
          <w:rFonts w:ascii="宋体" w:hAnsi="宋体" w:hint="eastAsia"/>
          <w:color w:val="000000" w:themeColor="text1"/>
          <w:szCs w:val="21"/>
        </w:rPr>
        <w:t>指境外被投资主体所属部门，请按以下五个子部门填列，即：①政府；②中央银行</w:t>
      </w:r>
      <w:r w:rsidRPr="00CB4B9E">
        <w:rPr>
          <w:rFonts w:ascii="宋体" w:hAnsi="宋体"/>
          <w:color w:val="000000" w:themeColor="text1"/>
          <w:szCs w:val="21"/>
        </w:rPr>
        <w:t>/货币当局；③银行；④非银行金融机构；⑤其他企业和个人。</w:t>
      </w:r>
      <w:r w:rsidRPr="00CB4B9E">
        <w:rPr>
          <w:rFonts w:ascii="宋体" w:hAnsi="宋体" w:hint="eastAsia"/>
          <w:color w:val="000000" w:themeColor="text1"/>
          <w:szCs w:val="21"/>
        </w:rPr>
        <w:t>请按境外被投资主体的主营业务归类。</w:t>
      </w:r>
    </w:p>
    <w:p w:rsidR="007324B3" w:rsidRPr="009263D7" w:rsidRDefault="00CB4B9E" w:rsidP="007324B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 xml:space="preserve">D0305. </w:t>
      </w:r>
      <w:r w:rsidRPr="00CB4B9E">
        <w:rPr>
          <w:rFonts w:ascii="黑体" w:eastAsia="黑体" w:hAnsi="宋体" w:hint="eastAsia"/>
          <w:color w:val="000000" w:themeColor="text1"/>
          <w:szCs w:val="21"/>
        </w:rPr>
        <w:t>对方与本机构的关系：</w:t>
      </w:r>
      <w:r w:rsidRPr="00CB4B9E">
        <w:rPr>
          <w:rFonts w:ascii="宋体" w:hAnsi="宋体" w:hint="eastAsia"/>
          <w:color w:val="000000" w:themeColor="text1"/>
        </w:rPr>
        <w:t>请按以下四种情况填列：①对方是本机构的境外直接投资者，即持有本机构表决权≥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；②对方是本机构的境外直接投资企业，即本机构持有</w:t>
      </w:r>
      <w:r w:rsidRPr="00CB4B9E">
        <w:rPr>
          <w:rFonts w:ascii="宋体" w:hAnsi="宋体"/>
          <w:color w:val="000000" w:themeColor="text1"/>
        </w:rPr>
        <w:t>10%及以上表决权的</w:t>
      </w:r>
      <w:r w:rsidRPr="00CB4B9E">
        <w:rPr>
          <w:rFonts w:ascii="宋体" w:hAnsi="宋体" w:hint="eastAsia"/>
          <w:color w:val="000000" w:themeColor="text1"/>
        </w:rPr>
        <w:t>境外分支机构、子机构、联营机构或合营机构；③对方是本机构的境外联属机构，即双方有共同母公司，但相互持有表决权＜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或相互不持有表决权；④对方与本机构无关联关系。</w:t>
      </w:r>
    </w:p>
    <w:p w:rsidR="007324B3" w:rsidRPr="009263D7" w:rsidRDefault="00CB4B9E" w:rsidP="007324B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D0306.原始币种：</w:t>
      </w:r>
      <w:r w:rsidRPr="00CB4B9E">
        <w:rPr>
          <w:rFonts w:ascii="宋体" w:hAnsi="宋体" w:hint="eastAsia"/>
          <w:color w:val="000000" w:themeColor="text1"/>
          <w:szCs w:val="21"/>
        </w:rPr>
        <w:t>根据本机构会计系统中相关股权的记账币种进行填报。适用于</w:t>
      </w:r>
      <w:r w:rsidRPr="00CB4B9E">
        <w:rPr>
          <w:rFonts w:ascii="黑体" w:eastAsia="黑体" w:hAnsi="宋体"/>
          <w:color w:val="000000" w:themeColor="text1"/>
          <w:szCs w:val="21"/>
        </w:rPr>
        <w:t>D0307-D0312各项。</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D0307.上月末余额：</w:t>
      </w:r>
      <w:r w:rsidRPr="00CB4B9E">
        <w:rPr>
          <w:rFonts w:ascii="宋体" w:hAnsi="宋体" w:hint="eastAsia"/>
          <w:color w:val="000000" w:themeColor="text1"/>
          <w:szCs w:val="21"/>
        </w:rPr>
        <w:t>指上月末本机构持有相关股权的存量金额。</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D0308.本月末余额：</w:t>
      </w:r>
      <w:r w:rsidRPr="00CB4B9E">
        <w:rPr>
          <w:rFonts w:ascii="宋体" w:hAnsi="宋体" w:hint="eastAsia"/>
          <w:color w:val="000000" w:themeColor="text1"/>
          <w:szCs w:val="21"/>
        </w:rPr>
        <w:t>指本月末本机构持有相关股权的存量金额。</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D0309.本月非交易变动：</w:t>
      </w:r>
      <w:r w:rsidRPr="00CB4B9E">
        <w:rPr>
          <w:rFonts w:ascii="宋体" w:hAnsi="宋体" w:hint="eastAsia"/>
          <w:color w:val="000000" w:themeColor="text1"/>
          <w:szCs w:val="21"/>
        </w:rPr>
        <w:t>指本机构本月因撤销或注销、重新分类以及所涉主体居民地位改变等因素导致其他股权增减的净额。</w:t>
      </w:r>
      <w:r w:rsidRPr="00CB4B9E">
        <w:rPr>
          <w:rFonts w:hint="eastAsia"/>
          <w:color w:val="000000" w:themeColor="text1"/>
        </w:rPr>
        <w:t>计算方法为：</w:t>
      </w:r>
      <w:r w:rsidRPr="00CB4B9E">
        <w:rPr>
          <w:color w:val="000000" w:themeColor="text1"/>
        </w:rPr>
        <w:t>D0309=D0308-D0307-D0310</w:t>
      </w:r>
      <w:r w:rsidRPr="00CB4B9E">
        <w:rPr>
          <w:rFonts w:hint="eastAsia"/>
          <w:color w:val="000000" w:themeColor="text1"/>
        </w:rPr>
        <w:t>。</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D0310.本月净发生额：</w:t>
      </w:r>
      <w:r w:rsidRPr="00CB4B9E">
        <w:rPr>
          <w:rFonts w:ascii="宋体" w:hAnsi="宋体" w:hint="eastAsia"/>
          <w:color w:val="000000" w:themeColor="text1"/>
          <w:szCs w:val="21"/>
        </w:rPr>
        <w:t>指本机构本月购入或售出不可流通股权的净值（购入</w:t>
      </w:r>
      <w:r w:rsidRPr="00CB4B9E">
        <w:rPr>
          <w:rFonts w:ascii="宋体" w:hAnsi="宋体"/>
          <w:color w:val="000000" w:themeColor="text1"/>
          <w:szCs w:val="21"/>
        </w:rPr>
        <w:t>-出售）。正值代表资产的增加，负值代表资产的减少。</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D0311.本月末本机构持表决权比例</w:t>
      </w:r>
      <w:r w:rsidRPr="00CB4B9E">
        <w:rPr>
          <w:rFonts w:ascii="黑体" w:eastAsia="黑体" w:hAnsi="宋体" w:hint="eastAsia"/>
          <w:color w:val="000000" w:themeColor="text1"/>
          <w:szCs w:val="21"/>
        </w:rPr>
        <w:t>（</w:t>
      </w:r>
      <w:r w:rsidRPr="00CB4B9E">
        <w:rPr>
          <w:rFonts w:ascii="黑体" w:eastAsia="黑体" w:hAnsi="宋体"/>
          <w:color w:val="000000" w:themeColor="text1"/>
          <w:szCs w:val="21"/>
        </w:rPr>
        <w:t>%）</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指月末本机构持有的相关股权所对应的表决权比例。</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D0312.本月本机构的红利/股息/利润收入：</w:t>
      </w:r>
      <w:r w:rsidRPr="00CB4B9E">
        <w:rPr>
          <w:rFonts w:ascii="宋体" w:hAnsi="宋体" w:hint="eastAsia"/>
          <w:color w:val="000000" w:themeColor="text1"/>
          <w:szCs w:val="21"/>
        </w:rPr>
        <w:t>指本月会计账上确认的相关股权的红利、股息或利润收入。</w:t>
      </w:r>
    </w:p>
    <w:p w:rsidR="004D459B" w:rsidRPr="009263D7" w:rsidRDefault="004D459B" w:rsidP="007C40BB">
      <w:pPr>
        <w:spacing w:line="360" w:lineRule="auto"/>
        <w:ind w:firstLineChars="200" w:firstLine="420"/>
        <w:rPr>
          <w:rFonts w:ascii="宋体" w:hAnsi="宋体"/>
          <w:color w:val="000000" w:themeColor="text1"/>
          <w:szCs w:val="21"/>
        </w:rPr>
      </w:pPr>
    </w:p>
    <w:p w:rsidR="007C40BB" w:rsidRPr="009263D7" w:rsidRDefault="00CB4B9E" w:rsidP="00EC1567">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D04</w:t>
      </w:r>
      <w:r w:rsidRPr="00CB4B9E">
        <w:rPr>
          <w:rFonts w:ascii="黑体" w:eastAsia="黑体" w:hAnsi="宋体" w:hint="eastAsia"/>
          <w:color w:val="000000" w:themeColor="text1"/>
          <w:sz w:val="24"/>
        </w:rPr>
        <w:t>表：应收款（不含应收利息）（资产）</w:t>
      </w:r>
    </w:p>
    <w:tbl>
      <w:tblPr>
        <w:tblW w:w="9259" w:type="dxa"/>
        <w:tblInd w:w="93" w:type="dxa"/>
        <w:tblBorders>
          <w:top w:val="single" w:sz="4" w:space="0" w:color="auto"/>
          <w:bottom w:val="single" w:sz="4" w:space="0" w:color="auto"/>
          <w:insideH w:val="single" w:sz="4" w:space="0" w:color="auto"/>
          <w:insideV w:val="single" w:sz="4" w:space="0" w:color="auto"/>
        </w:tblBorders>
        <w:tblLook w:val="04A0"/>
      </w:tblPr>
      <w:tblGrid>
        <w:gridCol w:w="4619"/>
        <w:gridCol w:w="4640"/>
      </w:tblGrid>
      <w:tr w:rsidR="007C40BB" w:rsidRPr="009263D7">
        <w:trPr>
          <w:trHeight w:val="274"/>
        </w:trPr>
        <w:tc>
          <w:tcPr>
            <w:tcW w:w="4619" w:type="dxa"/>
            <w:shd w:val="clear" w:color="auto" w:fill="auto"/>
          </w:tcPr>
          <w:p w:rsidR="007C40BB" w:rsidRPr="009263D7" w:rsidRDefault="00CB4B9E" w:rsidP="004C48FD">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4640" w:type="dxa"/>
            <w:shd w:val="clear" w:color="auto" w:fill="auto"/>
          </w:tcPr>
          <w:p w:rsidR="007C40BB" w:rsidRPr="009263D7" w:rsidRDefault="00CB4B9E" w:rsidP="004C48FD">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7C40BB" w:rsidRPr="009263D7">
        <w:trPr>
          <w:trHeight w:val="274"/>
        </w:trPr>
        <w:tc>
          <w:tcPr>
            <w:tcW w:w="4619" w:type="dxa"/>
            <w:shd w:val="clear" w:color="auto" w:fill="auto"/>
            <w:vAlign w:val="center"/>
          </w:tcPr>
          <w:p w:rsidR="007C40BB" w:rsidRPr="009263D7" w:rsidRDefault="00CB4B9E" w:rsidP="00905808">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1.境内机构对非居民的</w:t>
            </w:r>
            <w:r w:rsidRPr="00CB4B9E">
              <w:rPr>
                <w:rFonts w:ascii="宋体" w:hAnsi="宋体" w:cs="宋体" w:hint="eastAsia"/>
                <w:color w:val="000000" w:themeColor="text1"/>
                <w:kern w:val="0"/>
                <w:sz w:val="20"/>
                <w:szCs w:val="20"/>
              </w:rPr>
              <w:t>各类应收（预付）款项。</w:t>
            </w:r>
          </w:p>
        </w:tc>
        <w:tc>
          <w:tcPr>
            <w:tcW w:w="4640" w:type="dxa"/>
            <w:shd w:val="clear" w:color="auto" w:fill="auto"/>
            <w:vAlign w:val="center"/>
          </w:tcPr>
          <w:p w:rsidR="007C40BB" w:rsidRPr="009263D7" w:rsidRDefault="00CB4B9E" w:rsidP="00D21C6C">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1.各类金融工具产生的应收利息，应与原始金融工具</w:t>
            </w:r>
            <w:r w:rsidRPr="00CB4B9E">
              <w:rPr>
                <w:rFonts w:ascii="宋体" w:hAnsi="宋体" w:cs="宋体" w:hint="eastAsia"/>
                <w:color w:val="000000" w:themeColor="text1"/>
                <w:kern w:val="0"/>
                <w:sz w:val="20"/>
                <w:szCs w:val="20"/>
              </w:rPr>
              <w:t>（如贷款、存款）记录在一起。</w:t>
            </w:r>
          </w:p>
        </w:tc>
      </w:tr>
    </w:tbl>
    <w:p w:rsidR="00E8091C" w:rsidRPr="009263D7" w:rsidRDefault="00CB4B9E" w:rsidP="00E8091C">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D0401.对方国</w:t>
      </w:r>
      <w:r w:rsidRPr="00CB4B9E">
        <w:rPr>
          <w:rFonts w:ascii="黑体" w:eastAsia="黑体" w:hAnsi="宋体" w:hint="eastAsia"/>
          <w:color w:val="000000" w:themeColor="text1"/>
          <w:szCs w:val="21"/>
        </w:rPr>
        <w:t>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指应收款项对应的非居民主体注册或常驻（住）的国家</w:t>
      </w:r>
      <w:r w:rsidRPr="00CB4B9E">
        <w:rPr>
          <w:rFonts w:ascii="宋体" w:hAnsi="宋体"/>
          <w:color w:val="000000" w:themeColor="text1"/>
          <w:szCs w:val="21"/>
        </w:rPr>
        <w:t>/</w:t>
      </w:r>
      <w:r w:rsidRPr="00CB4B9E">
        <w:rPr>
          <w:rFonts w:ascii="宋体" w:hAnsi="宋体" w:hint="eastAsia"/>
          <w:color w:val="000000" w:themeColor="text1"/>
          <w:szCs w:val="21"/>
        </w:rPr>
        <w:t>地区。</w:t>
      </w:r>
      <w:r w:rsidRPr="00CB4B9E">
        <w:rPr>
          <w:rFonts w:ascii="宋体" w:hAnsi="宋体" w:hint="eastAsia"/>
          <w:color w:val="000000" w:themeColor="text1"/>
        </w:rPr>
        <w:t>请参照数据采集规范最新版本中的相关代码表填列。</w:t>
      </w:r>
    </w:p>
    <w:p w:rsidR="007C40BB" w:rsidRPr="009263D7" w:rsidRDefault="00CB4B9E" w:rsidP="00F326F7">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D0402.对方部门：</w:t>
      </w:r>
      <w:r w:rsidRPr="00CB4B9E">
        <w:rPr>
          <w:rFonts w:ascii="宋体" w:hAnsi="宋体" w:hint="eastAsia"/>
          <w:color w:val="000000" w:themeColor="text1"/>
          <w:szCs w:val="21"/>
        </w:rPr>
        <w:t>指应收款项对应的非居民主体所属部门，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请按对手方的主营业务归类。</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D0403.</w:t>
      </w:r>
      <w:r w:rsidRPr="00CB4B9E">
        <w:rPr>
          <w:rFonts w:ascii="黑体" w:eastAsia="黑体" w:hAnsi="宋体" w:hint="eastAsia"/>
          <w:color w:val="000000" w:themeColor="text1"/>
          <w:szCs w:val="21"/>
        </w:rPr>
        <w:t>对方与本机构的关系：</w:t>
      </w:r>
      <w:r w:rsidRPr="00CB4B9E">
        <w:rPr>
          <w:rFonts w:ascii="宋体" w:hAnsi="宋体" w:hint="eastAsia"/>
          <w:color w:val="000000" w:themeColor="text1"/>
        </w:rPr>
        <w:t>请按以下四种情况填列：①对方是本机构的境外直接投资者，即持有本机构表决权≥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；②对方是本机构的境外直接投资企业，即本机构持有表决权在</w:t>
      </w:r>
      <w:r w:rsidRPr="00CB4B9E">
        <w:rPr>
          <w:rFonts w:ascii="宋体" w:hAnsi="宋体"/>
          <w:color w:val="000000" w:themeColor="text1"/>
        </w:rPr>
        <w:t>10%及以上的</w:t>
      </w:r>
      <w:r w:rsidRPr="00CB4B9E">
        <w:rPr>
          <w:rFonts w:ascii="宋体" w:hAnsi="宋体" w:hint="eastAsia"/>
          <w:color w:val="000000" w:themeColor="text1"/>
        </w:rPr>
        <w:t>境外分</w:t>
      </w:r>
      <w:r w:rsidRPr="00CB4B9E">
        <w:rPr>
          <w:rFonts w:ascii="宋体" w:hAnsi="宋体" w:hint="eastAsia"/>
          <w:color w:val="000000" w:themeColor="text1"/>
        </w:rPr>
        <w:lastRenderedPageBreak/>
        <w:t>支机构、子机构、联营机构或合营机构；③对方是本机构的境外联属机构，即双方有共同母公司，但相互持有表决权＜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或相互不持有表决权；④对方与本机构无关联关系。</w:t>
      </w:r>
    </w:p>
    <w:p w:rsidR="007C40BB" w:rsidRPr="009263D7" w:rsidRDefault="00CB4B9E" w:rsidP="002D6805">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D0404</w:t>
      </w:r>
      <w:r w:rsidRPr="00CB4B9E">
        <w:rPr>
          <w:rFonts w:ascii="黑体" w:eastAsia="黑体" w:hAnsi="宋体" w:hint="eastAsia"/>
          <w:color w:val="000000" w:themeColor="text1"/>
          <w:szCs w:val="21"/>
        </w:rPr>
        <w:t>原始期限：</w:t>
      </w:r>
      <w:r w:rsidRPr="00CB4B9E">
        <w:rPr>
          <w:rFonts w:ascii="宋体" w:hAnsi="宋体" w:hint="eastAsia"/>
          <w:color w:val="000000" w:themeColor="text1"/>
          <w:szCs w:val="21"/>
        </w:rPr>
        <w:t>指应收款从确认至（预计）收回的期限，按以下两种情况填列</w:t>
      </w:r>
      <w:r w:rsidRPr="00CB4B9E">
        <w:rPr>
          <w:rFonts w:ascii="宋体" w:hAnsi="宋体"/>
          <w:color w:val="000000" w:themeColor="text1"/>
          <w:szCs w:val="21"/>
        </w:rPr>
        <w:t>:</w:t>
      </w:r>
      <w:r w:rsidRPr="00CB4B9E">
        <w:rPr>
          <w:rFonts w:ascii="宋体" w:hAnsi="宋体" w:hint="eastAsia"/>
          <w:color w:val="000000" w:themeColor="text1"/>
        </w:rPr>
        <w:t>①一年及以下，含不定期</w:t>
      </w:r>
      <w:r w:rsidRPr="00CB4B9E">
        <w:rPr>
          <w:rFonts w:ascii="宋体" w:hAnsi="宋体" w:hint="eastAsia"/>
          <w:color w:val="000000" w:themeColor="text1"/>
          <w:szCs w:val="21"/>
        </w:rPr>
        <w:t>；</w:t>
      </w:r>
      <w:r w:rsidRPr="00CB4B9E">
        <w:rPr>
          <w:rFonts w:ascii="宋体" w:hAnsi="宋体" w:hint="eastAsia"/>
          <w:color w:val="000000" w:themeColor="text1"/>
        </w:rPr>
        <w:t>②一年以上。</w:t>
      </w:r>
      <w:r w:rsidRPr="00CB4B9E">
        <w:rPr>
          <w:rFonts w:ascii="宋体" w:hAnsi="宋体" w:hint="eastAsia"/>
          <w:color w:val="000000" w:themeColor="text1"/>
          <w:szCs w:val="21"/>
        </w:rPr>
        <w:t>如发生应收款拖欠或展期的，应按照双方确定的期限计算。如双方无安排，应按原期限归类。</w:t>
      </w:r>
    </w:p>
    <w:p w:rsidR="0015561D" w:rsidRPr="009263D7" w:rsidRDefault="00CB4B9E" w:rsidP="0015561D">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D0405.原始币种：</w:t>
      </w:r>
      <w:r w:rsidRPr="00CB4B9E">
        <w:rPr>
          <w:rFonts w:ascii="宋体" w:hAnsi="宋体" w:hint="eastAsia"/>
          <w:color w:val="000000" w:themeColor="text1"/>
          <w:szCs w:val="21"/>
        </w:rPr>
        <w:t>指应收款项的原始计价币种。适用于</w:t>
      </w:r>
      <w:r w:rsidRPr="00CB4B9E">
        <w:rPr>
          <w:rFonts w:ascii="宋体" w:hAnsi="宋体"/>
          <w:color w:val="000000" w:themeColor="text1"/>
          <w:szCs w:val="21"/>
        </w:rPr>
        <w:t>D0406-D0410各项。</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D0406.上月末余额：</w:t>
      </w:r>
      <w:r w:rsidRPr="00CB4B9E">
        <w:rPr>
          <w:rFonts w:ascii="宋体" w:hAnsi="宋体" w:hint="eastAsia"/>
          <w:color w:val="000000" w:themeColor="text1"/>
          <w:szCs w:val="21"/>
        </w:rPr>
        <w:t>指上月末对非居民应收款项的账面余额。</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D0407.</w:t>
      </w:r>
      <w:r w:rsidRPr="00CB4B9E">
        <w:rPr>
          <w:rFonts w:ascii="黑体" w:eastAsia="黑体" w:hAnsi="宋体" w:hint="eastAsia"/>
          <w:color w:val="000000" w:themeColor="text1"/>
          <w:szCs w:val="21"/>
        </w:rPr>
        <w:t>本月末余额：</w:t>
      </w:r>
      <w:r w:rsidRPr="00CB4B9E">
        <w:rPr>
          <w:rFonts w:ascii="宋体" w:hAnsi="宋体" w:hint="eastAsia"/>
          <w:color w:val="000000" w:themeColor="text1"/>
          <w:szCs w:val="21"/>
        </w:rPr>
        <w:t>指本月末对非居民应收款项的账面余额。</w:t>
      </w:r>
    </w:p>
    <w:p w:rsidR="001450E4"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D0408.其中：剩余期限在一年及以下：</w:t>
      </w:r>
      <w:r w:rsidRPr="00CB4B9E">
        <w:rPr>
          <w:rFonts w:ascii="宋体" w:hAnsi="宋体" w:hint="eastAsia"/>
          <w:color w:val="000000" w:themeColor="text1"/>
          <w:szCs w:val="21"/>
        </w:rPr>
        <w:t>指自本月末至到期在一年及以下的本月末对非居民应收款项的账面余额。如发生应收款拖欠或展期的，应按照双方确定的期限计算。如双方无安排，纳入一年及以下统计。</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D0409.本月非交易变动：</w:t>
      </w:r>
      <w:r w:rsidRPr="00CB4B9E">
        <w:rPr>
          <w:rFonts w:ascii="宋体" w:hAnsi="宋体" w:hint="eastAsia"/>
          <w:color w:val="000000" w:themeColor="text1"/>
          <w:szCs w:val="21"/>
        </w:rPr>
        <w:t>指因不良资产注销、重新分类以及所涉主体居民地位改变等因素导致境内机构对非居民应收款项变动的净额。</w:t>
      </w:r>
    </w:p>
    <w:p w:rsidR="00B62E28"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D0410.</w:t>
      </w:r>
      <w:r w:rsidRPr="00CB4B9E">
        <w:rPr>
          <w:rFonts w:ascii="黑体" w:eastAsia="黑体" w:hAnsi="宋体" w:hint="eastAsia"/>
          <w:color w:val="000000" w:themeColor="text1"/>
          <w:szCs w:val="21"/>
        </w:rPr>
        <w:t>本月净发生额：</w:t>
      </w:r>
      <w:r w:rsidRPr="00CB4B9E">
        <w:rPr>
          <w:rFonts w:ascii="宋体" w:hAnsi="宋体" w:hint="eastAsia"/>
          <w:color w:val="000000" w:themeColor="text1"/>
          <w:szCs w:val="21"/>
        </w:rPr>
        <w:t>指本月对非居民应收款项的净发生额（提供应收</w:t>
      </w:r>
      <w:r w:rsidRPr="00CB4B9E">
        <w:rPr>
          <w:rFonts w:ascii="宋体" w:hAnsi="宋体"/>
          <w:color w:val="000000" w:themeColor="text1"/>
          <w:szCs w:val="21"/>
        </w:rPr>
        <w:t>-应收款项收回），正值代表资产的增加，负值代表资产的减少。计算公式为D0410=D0407-D0406-D0409。</w:t>
      </w:r>
    </w:p>
    <w:p w:rsidR="001368FB" w:rsidRPr="009263D7" w:rsidRDefault="001368FB" w:rsidP="000F0C70">
      <w:pPr>
        <w:spacing w:line="360" w:lineRule="auto"/>
        <w:ind w:firstLineChars="200" w:firstLine="420"/>
        <w:rPr>
          <w:rFonts w:ascii="宋体" w:hAnsi="宋体"/>
          <w:color w:val="000000" w:themeColor="text1"/>
          <w:szCs w:val="21"/>
        </w:rPr>
      </w:pPr>
    </w:p>
    <w:p w:rsidR="00B62E28" w:rsidRPr="009263D7" w:rsidRDefault="00CB4B9E" w:rsidP="00EC1567">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D05</w:t>
      </w:r>
      <w:r w:rsidRPr="00CB4B9E">
        <w:rPr>
          <w:rFonts w:ascii="黑体" w:eastAsia="黑体" w:hAnsi="宋体" w:hint="eastAsia"/>
          <w:color w:val="000000" w:themeColor="text1"/>
          <w:sz w:val="24"/>
        </w:rPr>
        <w:t>表：存款（含银行同业和联行存放）（负债）</w:t>
      </w:r>
    </w:p>
    <w:tbl>
      <w:tblPr>
        <w:tblW w:w="9259" w:type="dxa"/>
        <w:tblInd w:w="93" w:type="dxa"/>
        <w:tblBorders>
          <w:top w:val="single" w:sz="4" w:space="0" w:color="auto"/>
          <w:bottom w:val="single" w:sz="4" w:space="0" w:color="auto"/>
          <w:insideH w:val="single" w:sz="4" w:space="0" w:color="auto"/>
          <w:insideV w:val="single" w:sz="4" w:space="0" w:color="auto"/>
        </w:tblBorders>
        <w:tblLook w:val="04A0"/>
      </w:tblPr>
      <w:tblGrid>
        <w:gridCol w:w="4619"/>
        <w:gridCol w:w="4640"/>
      </w:tblGrid>
      <w:tr w:rsidR="00B62E28" w:rsidRPr="009263D7">
        <w:trPr>
          <w:trHeight w:val="274"/>
        </w:trPr>
        <w:tc>
          <w:tcPr>
            <w:tcW w:w="4619" w:type="dxa"/>
            <w:shd w:val="clear" w:color="auto" w:fill="auto"/>
          </w:tcPr>
          <w:p w:rsidR="00B62E28" w:rsidRPr="009263D7" w:rsidRDefault="00CB4B9E" w:rsidP="00637141">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4640" w:type="dxa"/>
            <w:shd w:val="clear" w:color="auto" w:fill="auto"/>
          </w:tcPr>
          <w:p w:rsidR="00B62E28" w:rsidRPr="009263D7" w:rsidRDefault="00CB4B9E" w:rsidP="00637141">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B62E28" w:rsidRPr="009263D7">
        <w:trPr>
          <w:trHeight w:val="274"/>
        </w:trPr>
        <w:tc>
          <w:tcPr>
            <w:tcW w:w="4619" w:type="dxa"/>
            <w:shd w:val="clear" w:color="auto" w:fill="auto"/>
            <w:vAlign w:val="center"/>
          </w:tcPr>
          <w:p w:rsidR="00B62E28" w:rsidRPr="009263D7" w:rsidRDefault="00CB4B9E" w:rsidP="00637141">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1．非居民存放在境内金融机构的款项（含驻华使领馆存放在境内金融机构的款项</w:t>
            </w:r>
            <w:r w:rsidRPr="00CB4B9E">
              <w:rPr>
                <w:rFonts w:ascii="宋体" w:hAnsi="宋体" w:cs="宋体" w:hint="eastAsia"/>
                <w:color w:val="000000" w:themeColor="text1"/>
                <w:kern w:val="0"/>
                <w:sz w:val="20"/>
                <w:szCs w:val="20"/>
              </w:rPr>
              <w:t>以及境外银行同业和联行存款）。</w:t>
            </w:r>
          </w:p>
        </w:tc>
        <w:tc>
          <w:tcPr>
            <w:tcW w:w="4640" w:type="dxa"/>
            <w:shd w:val="clear" w:color="auto" w:fill="auto"/>
            <w:vAlign w:val="center"/>
          </w:tcPr>
          <w:p w:rsidR="00B62E28" w:rsidRPr="009263D7" w:rsidRDefault="00B62E28" w:rsidP="00637141">
            <w:pPr>
              <w:widowControl/>
              <w:jc w:val="left"/>
              <w:rPr>
                <w:rFonts w:ascii="宋体" w:hAnsi="宋体" w:cs="宋体"/>
                <w:color w:val="000000" w:themeColor="text1"/>
                <w:kern w:val="0"/>
                <w:sz w:val="20"/>
                <w:szCs w:val="20"/>
              </w:rPr>
            </w:pPr>
          </w:p>
        </w:tc>
      </w:tr>
    </w:tbl>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D0501.业务类别：</w:t>
      </w:r>
      <w:r w:rsidRPr="00CB4B9E">
        <w:rPr>
          <w:rFonts w:ascii="宋体" w:hAnsi="宋体" w:hint="eastAsia"/>
          <w:color w:val="000000" w:themeColor="text1"/>
          <w:szCs w:val="21"/>
        </w:rPr>
        <w:t>①存款；②账户金。</w:t>
      </w:r>
    </w:p>
    <w:p w:rsidR="00EB5D1A" w:rsidRPr="009263D7" w:rsidRDefault="00CB4B9E" w:rsidP="00B62E28">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D0502.对方国</w:t>
      </w:r>
      <w:r w:rsidRPr="00CB4B9E">
        <w:rPr>
          <w:rFonts w:ascii="黑体" w:eastAsia="黑体" w:hAnsi="宋体" w:hint="eastAsia"/>
          <w:color w:val="000000" w:themeColor="text1"/>
          <w:szCs w:val="21"/>
        </w:rPr>
        <w:t>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指非居民存款主体注册或常驻（住）的国家或地区。</w:t>
      </w:r>
      <w:r w:rsidRPr="00CB4B9E">
        <w:rPr>
          <w:rFonts w:ascii="宋体" w:hAnsi="宋体" w:hint="eastAsia"/>
          <w:color w:val="000000" w:themeColor="text1"/>
        </w:rPr>
        <w:t>请参照数据采集规范最新版本中的相关代码表填列。</w:t>
      </w:r>
    </w:p>
    <w:p w:rsidR="00D70AE3" w:rsidRPr="009263D7" w:rsidRDefault="00CB4B9E" w:rsidP="00E17D6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D0503.对方部门：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请按非居民存款主体的主营业务归类。</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D0504.</w:t>
      </w:r>
      <w:r w:rsidRPr="00CB4B9E">
        <w:rPr>
          <w:rFonts w:ascii="黑体" w:eastAsia="黑体" w:hAnsi="宋体" w:hint="eastAsia"/>
          <w:color w:val="000000" w:themeColor="text1"/>
          <w:szCs w:val="21"/>
        </w:rPr>
        <w:t>对方与本机构的关系：</w:t>
      </w:r>
      <w:r w:rsidRPr="00CB4B9E">
        <w:rPr>
          <w:rFonts w:ascii="宋体" w:hAnsi="宋体" w:hint="eastAsia"/>
          <w:color w:val="000000" w:themeColor="text1"/>
        </w:rPr>
        <w:t>请按以下四种情况填列：①对方是本机构的境外直接投资者，即持有本机构表决权≥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；②对方是本机构的境外直接投资企业，即本机构持有表决权在</w:t>
      </w:r>
      <w:r w:rsidRPr="00CB4B9E">
        <w:rPr>
          <w:rFonts w:ascii="宋体" w:hAnsi="宋体"/>
          <w:color w:val="000000" w:themeColor="text1"/>
        </w:rPr>
        <w:t>10%及以上的</w:t>
      </w:r>
      <w:r w:rsidRPr="00CB4B9E">
        <w:rPr>
          <w:rFonts w:ascii="宋体" w:hAnsi="宋体" w:hint="eastAsia"/>
          <w:color w:val="000000" w:themeColor="text1"/>
        </w:rPr>
        <w:t>境外分支机构、子机构、联营机构或合营机构；③对方是本机构的境外联属机构，即双方有共同母公司，但相互持有表决权＜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或相互不持有表决权；④对方与本机构无关联关系。</w:t>
      </w:r>
    </w:p>
    <w:p w:rsidR="00B62E28" w:rsidRPr="009263D7" w:rsidRDefault="00CB4B9E" w:rsidP="004D2CEC">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D0505.原始期限：</w:t>
      </w:r>
      <w:r w:rsidRPr="00CB4B9E">
        <w:rPr>
          <w:rFonts w:ascii="宋体" w:hAnsi="宋体" w:hint="eastAsia"/>
          <w:color w:val="000000" w:themeColor="text1"/>
          <w:szCs w:val="21"/>
        </w:rPr>
        <w:t>指存款自初始存入至到期的期限，按以下两种情况填列：</w:t>
      </w:r>
      <w:r w:rsidRPr="00CB4B9E">
        <w:rPr>
          <w:rFonts w:ascii="宋体" w:hAnsi="宋体" w:hint="eastAsia"/>
          <w:color w:val="000000" w:themeColor="text1"/>
        </w:rPr>
        <w:t>①一年及以下，含活期</w:t>
      </w:r>
      <w:r w:rsidRPr="00CB4B9E">
        <w:rPr>
          <w:rFonts w:ascii="宋体" w:hAnsi="宋体" w:hint="eastAsia"/>
          <w:color w:val="000000" w:themeColor="text1"/>
        </w:rPr>
        <w:lastRenderedPageBreak/>
        <w:t>或不定期</w:t>
      </w:r>
      <w:r w:rsidRPr="00CB4B9E">
        <w:rPr>
          <w:rFonts w:ascii="宋体" w:hAnsi="宋体" w:hint="eastAsia"/>
          <w:color w:val="000000" w:themeColor="text1"/>
          <w:szCs w:val="21"/>
        </w:rPr>
        <w:t>；</w:t>
      </w:r>
      <w:r w:rsidRPr="00CB4B9E">
        <w:rPr>
          <w:rFonts w:ascii="宋体" w:hAnsi="宋体" w:hint="eastAsia"/>
          <w:color w:val="000000" w:themeColor="text1"/>
        </w:rPr>
        <w:t>②一年以上</w:t>
      </w:r>
      <w:r w:rsidRPr="00CB4B9E">
        <w:rPr>
          <w:rFonts w:ascii="宋体" w:hAnsi="宋体" w:hint="eastAsia"/>
          <w:color w:val="000000" w:themeColor="text1"/>
          <w:szCs w:val="21"/>
        </w:rPr>
        <w:t>。</w:t>
      </w:r>
    </w:p>
    <w:p w:rsidR="00C43DB4" w:rsidRPr="009263D7" w:rsidRDefault="00CB4B9E" w:rsidP="00C43DB4">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D0506.原始币种：</w:t>
      </w:r>
      <w:r w:rsidRPr="00CB4B9E">
        <w:rPr>
          <w:rFonts w:ascii="宋体" w:hAnsi="宋体" w:hint="eastAsia"/>
          <w:color w:val="000000" w:themeColor="text1"/>
          <w:szCs w:val="21"/>
        </w:rPr>
        <w:t>指存款的记账币种（入账币种）。适用于</w:t>
      </w:r>
      <w:r w:rsidRPr="00CB4B9E">
        <w:rPr>
          <w:rFonts w:ascii="宋体" w:hAnsi="宋体"/>
          <w:color w:val="000000" w:themeColor="text1"/>
          <w:szCs w:val="21"/>
        </w:rPr>
        <w:t>D0507-D0514各项。</w:t>
      </w:r>
    </w:p>
    <w:p w:rsidR="003D6F22" w:rsidRPr="009263D7" w:rsidRDefault="00CB4B9E" w:rsidP="003D6F22">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D0507.上月末</w:t>
      </w:r>
      <w:r w:rsidRPr="00CB4B9E">
        <w:rPr>
          <w:rFonts w:ascii="黑体" w:eastAsia="黑体" w:hAnsi="宋体" w:hint="eastAsia"/>
          <w:color w:val="000000" w:themeColor="text1"/>
          <w:szCs w:val="21"/>
        </w:rPr>
        <w:t>本金余额：</w:t>
      </w:r>
      <w:r w:rsidRPr="00CB4B9E">
        <w:rPr>
          <w:rFonts w:ascii="宋体" w:hAnsi="宋体" w:hint="eastAsia"/>
          <w:color w:val="000000" w:themeColor="text1"/>
          <w:szCs w:val="21"/>
        </w:rPr>
        <w:t>指上月末非居民在本机构存放款项的余额。对于境外同业存放账户发生的透支款项及利息，如无法单独区分，应作为同业存款的一部分填列在本表中。</w:t>
      </w:r>
    </w:p>
    <w:p w:rsidR="00D70AE3" w:rsidRPr="009263D7" w:rsidRDefault="00CB4B9E" w:rsidP="00B62E28">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D0508.上月末应付利息余额：</w:t>
      </w:r>
      <w:r w:rsidRPr="00CB4B9E">
        <w:rPr>
          <w:rFonts w:ascii="宋体" w:hAnsi="宋体" w:hint="eastAsia"/>
          <w:color w:val="000000" w:themeColor="text1"/>
          <w:szCs w:val="21"/>
        </w:rPr>
        <w:t>指上月末本机构因吸收非居民存放款项而产生的应付未付利息余额。对于已结转为本金的利息，应纳入本金余额统计。</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D0509.</w:t>
      </w:r>
      <w:r w:rsidRPr="00CB4B9E">
        <w:rPr>
          <w:rFonts w:ascii="黑体" w:eastAsia="黑体" w:hAnsi="宋体" w:hint="eastAsia"/>
          <w:color w:val="000000" w:themeColor="text1"/>
          <w:szCs w:val="21"/>
        </w:rPr>
        <w:t>本月末本金余额：</w:t>
      </w:r>
      <w:r w:rsidRPr="00CB4B9E">
        <w:rPr>
          <w:rFonts w:ascii="宋体" w:hAnsi="宋体" w:hint="eastAsia"/>
          <w:color w:val="000000" w:themeColor="text1"/>
          <w:szCs w:val="21"/>
        </w:rPr>
        <w:t>指本月末非居民存款主体在本机构存放款项的余额。对于境外同业存放账户发生的透支款项及利息，如无法单独区分，应作为同业存款的一部分填列在本表中。</w:t>
      </w:r>
    </w:p>
    <w:p w:rsidR="004D2CEC"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D0510.其中：剩余期限在一年及以下：</w:t>
      </w:r>
      <w:r w:rsidRPr="00CB4B9E">
        <w:rPr>
          <w:rFonts w:ascii="宋体" w:hAnsi="宋体" w:hint="eastAsia"/>
          <w:color w:val="000000" w:themeColor="text1"/>
          <w:szCs w:val="21"/>
        </w:rPr>
        <w:t>指自本月末至最终到期在一年及以下的非居民在本机构存放款项的余额。对于境外同业存放账户发生的透支款项及利息，如无法单独区分，应纳入剩余期限在一年及以下的同业存款进行统计。</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D0511.</w:t>
      </w:r>
      <w:r w:rsidRPr="00CB4B9E">
        <w:rPr>
          <w:rFonts w:ascii="黑体" w:eastAsia="黑体" w:hAnsi="宋体" w:hint="eastAsia"/>
          <w:color w:val="000000" w:themeColor="text1"/>
          <w:szCs w:val="21"/>
        </w:rPr>
        <w:t>本月末应付利息余额：</w:t>
      </w:r>
      <w:r w:rsidRPr="00CB4B9E">
        <w:rPr>
          <w:rFonts w:ascii="宋体" w:hAnsi="宋体" w:hint="eastAsia"/>
          <w:color w:val="000000" w:themeColor="text1"/>
          <w:szCs w:val="21"/>
        </w:rPr>
        <w:t>指本月末因吸收非居民存放款项而产生的应付未付利息余额。对于已结转为本金的利息，应纳入本金余额统计。</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D0512.</w:t>
      </w:r>
      <w:r w:rsidRPr="00CB4B9E">
        <w:rPr>
          <w:rFonts w:ascii="黑体" w:eastAsia="黑体" w:hAnsi="宋体" w:hint="eastAsia"/>
          <w:color w:val="000000" w:themeColor="text1"/>
          <w:szCs w:val="21"/>
        </w:rPr>
        <w:t>本月非交易变动：</w:t>
      </w:r>
      <w:r w:rsidRPr="00CB4B9E">
        <w:rPr>
          <w:rFonts w:ascii="宋体" w:hAnsi="宋体" w:hint="eastAsia"/>
          <w:color w:val="000000" w:themeColor="text1"/>
          <w:szCs w:val="21"/>
        </w:rPr>
        <w:t>指本月因重新分类以及所涉主体居民地位改变等因素导致境外主体在本金融机构存放款项变动的净额。</w:t>
      </w:r>
    </w:p>
    <w:p w:rsidR="00711642"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D0513.</w:t>
      </w:r>
      <w:r w:rsidRPr="00CB4B9E">
        <w:rPr>
          <w:rFonts w:ascii="黑体" w:eastAsia="黑体" w:hAnsi="宋体" w:hint="eastAsia"/>
          <w:color w:val="000000" w:themeColor="text1"/>
          <w:szCs w:val="21"/>
        </w:rPr>
        <w:t>本月净发生额：</w:t>
      </w:r>
      <w:r w:rsidRPr="00CB4B9E">
        <w:rPr>
          <w:rFonts w:ascii="宋体" w:hAnsi="宋体" w:hint="eastAsia"/>
          <w:color w:val="000000" w:themeColor="text1"/>
          <w:szCs w:val="21"/>
        </w:rPr>
        <w:t>指非居民存款主体本月在本机构存放款项的净发生额（境外存放</w:t>
      </w:r>
      <w:r w:rsidRPr="00CB4B9E">
        <w:rPr>
          <w:rFonts w:ascii="宋体" w:hAnsi="宋体"/>
          <w:color w:val="000000" w:themeColor="text1"/>
          <w:szCs w:val="21"/>
        </w:rPr>
        <w:t>-存款调出）。正值代表负债的增加，负值代表负债的减少。计算公式为D0513=</w:t>
      </w:r>
      <w:r w:rsidRPr="00CB4B9E">
        <w:rPr>
          <w:rFonts w:ascii="宋体" w:hAnsi="宋体" w:hint="eastAsia"/>
          <w:color w:val="000000" w:themeColor="text1"/>
          <w:szCs w:val="21"/>
        </w:rPr>
        <w:t>（</w:t>
      </w:r>
      <w:r w:rsidRPr="00CB4B9E">
        <w:rPr>
          <w:rFonts w:ascii="宋体" w:hAnsi="宋体"/>
          <w:color w:val="000000" w:themeColor="text1"/>
          <w:szCs w:val="21"/>
        </w:rPr>
        <w:t>D0509+D0511</w:t>
      </w:r>
      <w:r w:rsidRPr="00CB4B9E">
        <w:rPr>
          <w:rFonts w:ascii="宋体" w:hAnsi="宋体" w:hint="eastAsia"/>
          <w:color w:val="000000" w:themeColor="text1"/>
          <w:szCs w:val="21"/>
        </w:rPr>
        <w:t>）</w:t>
      </w:r>
      <w:r w:rsidRPr="00CB4B9E">
        <w:rPr>
          <w:rFonts w:ascii="宋体" w:hAnsi="宋体"/>
          <w:color w:val="000000" w:themeColor="text1"/>
          <w:szCs w:val="21"/>
        </w:rPr>
        <w:t>-</w:t>
      </w:r>
      <w:r w:rsidRPr="00CB4B9E">
        <w:rPr>
          <w:rFonts w:ascii="宋体" w:hAnsi="宋体" w:hint="eastAsia"/>
          <w:color w:val="000000" w:themeColor="text1"/>
          <w:szCs w:val="21"/>
        </w:rPr>
        <w:t>（</w:t>
      </w:r>
      <w:r w:rsidRPr="00CB4B9E">
        <w:rPr>
          <w:rFonts w:ascii="宋体" w:hAnsi="宋体"/>
          <w:color w:val="000000" w:themeColor="text1"/>
          <w:szCs w:val="21"/>
        </w:rPr>
        <w:t>D0507+D0508</w:t>
      </w:r>
      <w:r w:rsidRPr="00CB4B9E">
        <w:rPr>
          <w:rFonts w:ascii="宋体" w:hAnsi="宋体" w:hint="eastAsia"/>
          <w:color w:val="000000" w:themeColor="text1"/>
          <w:szCs w:val="21"/>
        </w:rPr>
        <w:t>）</w:t>
      </w:r>
      <w:r w:rsidRPr="00CB4B9E">
        <w:rPr>
          <w:rFonts w:ascii="宋体" w:hAnsi="宋体"/>
          <w:color w:val="000000" w:themeColor="text1"/>
          <w:szCs w:val="21"/>
        </w:rPr>
        <w:t>-D0512</w:t>
      </w:r>
      <w:r w:rsidRPr="00CB4B9E">
        <w:rPr>
          <w:rFonts w:ascii="宋体" w:hAnsi="宋体" w:hint="eastAsia"/>
          <w:color w:val="000000" w:themeColor="text1"/>
          <w:szCs w:val="21"/>
        </w:rPr>
        <w:t>。</w:t>
      </w:r>
    </w:p>
    <w:p w:rsidR="008662A2" w:rsidRPr="009263D7" w:rsidRDefault="00CB4B9E" w:rsidP="008662A2">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D0514.本月利息支出：</w:t>
      </w:r>
      <w:r w:rsidRPr="00CB4B9E">
        <w:rPr>
          <w:rFonts w:ascii="宋体" w:hAnsi="宋体" w:hint="eastAsia"/>
          <w:color w:val="000000" w:themeColor="text1"/>
          <w:szCs w:val="21"/>
        </w:rPr>
        <w:t>指本机构会计账上按权责发生制确认的当月对非居民存款利息支出。指当月数，而非累计数。</w:t>
      </w:r>
    </w:p>
    <w:p w:rsidR="00B62E28" w:rsidRPr="009263D7" w:rsidRDefault="00B62E28" w:rsidP="00105B53">
      <w:pPr>
        <w:spacing w:line="360" w:lineRule="auto"/>
        <w:ind w:firstLineChars="200" w:firstLine="480"/>
        <w:rPr>
          <w:rFonts w:ascii="黑体" w:eastAsia="黑体" w:hAnsi="宋体"/>
          <w:color w:val="000000" w:themeColor="text1"/>
          <w:sz w:val="24"/>
        </w:rPr>
      </w:pPr>
    </w:p>
    <w:p w:rsidR="00B62E28" w:rsidRPr="009263D7" w:rsidRDefault="00CB4B9E" w:rsidP="00EC1567">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D06</w:t>
      </w:r>
      <w:r w:rsidRPr="00CB4B9E">
        <w:rPr>
          <w:rFonts w:ascii="黑体" w:eastAsia="黑体" w:hAnsi="宋体" w:hint="eastAsia"/>
          <w:color w:val="000000" w:themeColor="text1"/>
          <w:sz w:val="24"/>
        </w:rPr>
        <w:t>表：贷款（含银行同业和联行拆借）（负债）</w:t>
      </w:r>
    </w:p>
    <w:tbl>
      <w:tblPr>
        <w:tblW w:w="9259" w:type="dxa"/>
        <w:tblInd w:w="93" w:type="dxa"/>
        <w:tblBorders>
          <w:top w:val="single" w:sz="4" w:space="0" w:color="auto"/>
          <w:bottom w:val="single" w:sz="4" w:space="0" w:color="auto"/>
          <w:insideH w:val="single" w:sz="4" w:space="0" w:color="auto"/>
          <w:insideV w:val="single" w:sz="4" w:space="0" w:color="auto"/>
        </w:tblBorders>
        <w:tblLook w:val="04A0"/>
      </w:tblPr>
      <w:tblGrid>
        <w:gridCol w:w="4619"/>
        <w:gridCol w:w="4640"/>
      </w:tblGrid>
      <w:tr w:rsidR="00B62E28" w:rsidRPr="009263D7">
        <w:trPr>
          <w:trHeight w:val="274"/>
        </w:trPr>
        <w:tc>
          <w:tcPr>
            <w:tcW w:w="4619" w:type="dxa"/>
            <w:shd w:val="clear" w:color="auto" w:fill="auto"/>
          </w:tcPr>
          <w:p w:rsidR="00B62E28" w:rsidRPr="009263D7" w:rsidRDefault="00CB4B9E" w:rsidP="00637141">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4640" w:type="dxa"/>
            <w:shd w:val="clear" w:color="auto" w:fill="auto"/>
          </w:tcPr>
          <w:p w:rsidR="00B62E28" w:rsidRPr="009263D7" w:rsidRDefault="00CB4B9E" w:rsidP="00637141">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BF1501" w:rsidRPr="009263D7">
        <w:trPr>
          <w:trHeight w:val="1191"/>
        </w:trPr>
        <w:tc>
          <w:tcPr>
            <w:tcW w:w="4619" w:type="dxa"/>
            <w:shd w:val="clear" w:color="auto" w:fill="auto"/>
            <w:vAlign w:val="center"/>
          </w:tcPr>
          <w:p w:rsidR="00BF1501" w:rsidRPr="009263D7" w:rsidRDefault="00CB4B9E" w:rsidP="00637141">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1.非居民向境内机构提供的贷款，包括普通贷款、透支、融资租赁、证券回购协议、银行同业拆借及其它贷款。</w:t>
            </w:r>
          </w:p>
        </w:tc>
        <w:tc>
          <w:tcPr>
            <w:tcW w:w="4640" w:type="dxa"/>
            <w:shd w:val="clear" w:color="auto" w:fill="auto"/>
            <w:vAlign w:val="center"/>
          </w:tcPr>
          <w:p w:rsidR="00BF1501" w:rsidRPr="009263D7" w:rsidRDefault="00BF1501" w:rsidP="00637141">
            <w:pPr>
              <w:widowControl/>
              <w:jc w:val="left"/>
              <w:rPr>
                <w:rFonts w:ascii="宋体" w:hAnsi="宋体" w:cs="宋体"/>
                <w:color w:val="000000" w:themeColor="text1"/>
                <w:kern w:val="0"/>
                <w:sz w:val="20"/>
                <w:szCs w:val="20"/>
              </w:rPr>
            </w:pPr>
          </w:p>
        </w:tc>
      </w:tr>
    </w:tbl>
    <w:p w:rsidR="00B62E28" w:rsidRPr="009263D7" w:rsidRDefault="00CB4B9E" w:rsidP="00B62E28">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D0601.</w:t>
      </w:r>
      <w:r w:rsidRPr="00CB4B9E">
        <w:rPr>
          <w:rFonts w:ascii="黑体" w:eastAsia="黑体" w:hAnsi="宋体" w:hint="eastAsia"/>
          <w:color w:val="000000" w:themeColor="text1"/>
          <w:szCs w:val="21"/>
        </w:rPr>
        <w:t>对方国家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指提供贷款的非居民注册或常驻（住）的国家或地区。</w:t>
      </w:r>
      <w:r w:rsidRPr="00CB4B9E">
        <w:rPr>
          <w:rFonts w:ascii="宋体" w:hAnsi="宋体" w:hint="eastAsia"/>
          <w:color w:val="000000" w:themeColor="text1"/>
        </w:rPr>
        <w:t>请参照数据采集规范最新版本中的相关代码表填列。</w:t>
      </w:r>
    </w:p>
    <w:p w:rsidR="00B62E28" w:rsidRPr="009263D7" w:rsidRDefault="00CB4B9E" w:rsidP="00E17D6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D0602.</w:t>
      </w:r>
      <w:r w:rsidRPr="00CB4B9E">
        <w:rPr>
          <w:rFonts w:ascii="黑体" w:eastAsia="黑体" w:hAnsi="宋体" w:hint="eastAsia"/>
          <w:color w:val="000000" w:themeColor="text1"/>
          <w:szCs w:val="21"/>
        </w:rPr>
        <w:t>对方部门：</w:t>
      </w:r>
      <w:r w:rsidRPr="00CB4B9E">
        <w:rPr>
          <w:rFonts w:ascii="宋体" w:hAnsi="宋体" w:hint="eastAsia"/>
          <w:color w:val="000000" w:themeColor="text1"/>
          <w:szCs w:val="21"/>
        </w:rPr>
        <w:t>指提供贷款的非居民所属部门，</w:t>
      </w:r>
      <w:r w:rsidRPr="00CB4B9E">
        <w:rPr>
          <w:rFonts w:ascii="宋体" w:hAnsi="宋体" w:hint="eastAsia"/>
          <w:color w:val="000000" w:themeColor="text1"/>
        </w:rPr>
        <w:t>请按以下五个子部门填列，即：①政府；②中央银行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请按提供贷款的非居民的主营业务归类。</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 xml:space="preserve">D0603. </w:t>
      </w:r>
      <w:r w:rsidRPr="00CB4B9E">
        <w:rPr>
          <w:rFonts w:ascii="黑体" w:eastAsia="黑体" w:hAnsi="宋体" w:hint="eastAsia"/>
          <w:color w:val="000000" w:themeColor="text1"/>
          <w:szCs w:val="21"/>
        </w:rPr>
        <w:t>对方与本机构的关系：</w:t>
      </w:r>
      <w:r w:rsidRPr="00CB4B9E">
        <w:rPr>
          <w:rFonts w:ascii="宋体" w:hAnsi="宋体" w:hint="eastAsia"/>
          <w:color w:val="000000" w:themeColor="text1"/>
        </w:rPr>
        <w:t>请按以下四种情况填列：①对方是本机构的境外直接投资者，即持</w:t>
      </w:r>
      <w:r w:rsidRPr="00CB4B9E">
        <w:rPr>
          <w:rFonts w:ascii="宋体" w:hAnsi="宋体" w:hint="eastAsia"/>
          <w:color w:val="000000" w:themeColor="text1"/>
        </w:rPr>
        <w:lastRenderedPageBreak/>
        <w:t>有本机构表决权≥</w:t>
      </w:r>
      <w:r w:rsidRPr="00CB4B9E">
        <w:rPr>
          <w:rFonts w:ascii="宋体" w:hAnsi="宋体"/>
          <w:color w:val="000000" w:themeColor="text1"/>
        </w:rPr>
        <w:t>10%</w:t>
      </w:r>
      <w:r w:rsidRPr="00CB4B9E">
        <w:rPr>
          <w:rFonts w:ascii="宋体" w:hAnsi="宋体" w:hint="eastAsia"/>
          <w:color w:val="000000" w:themeColor="text1"/>
        </w:rPr>
        <w:t>；②对方是本机构的境外直接投资企业，即本机构持有表决权在</w:t>
      </w:r>
      <w:r w:rsidRPr="00CB4B9E">
        <w:rPr>
          <w:rFonts w:ascii="宋体" w:hAnsi="宋体"/>
          <w:color w:val="000000" w:themeColor="text1"/>
        </w:rPr>
        <w:t>10%及以上的</w:t>
      </w:r>
      <w:r w:rsidRPr="00CB4B9E">
        <w:rPr>
          <w:rFonts w:ascii="宋体" w:hAnsi="宋体" w:hint="eastAsia"/>
          <w:color w:val="000000" w:themeColor="text1"/>
        </w:rPr>
        <w:t>境外分支机构、子机构、联营机构或合营机构；③对方是本机构的境外联属机构，即双方有共同母公司，但相互持有表决权＜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或相互不持有表决权；④对方与本机构无关联关系。</w:t>
      </w:r>
    </w:p>
    <w:p w:rsidR="00B62E28" w:rsidRPr="009263D7" w:rsidRDefault="00CB4B9E" w:rsidP="004378E6">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D0604</w:t>
      </w:r>
      <w:r w:rsidRPr="00CB4B9E">
        <w:rPr>
          <w:rFonts w:ascii="黑体" w:eastAsia="黑体" w:hAnsi="宋体" w:hint="eastAsia"/>
          <w:color w:val="000000" w:themeColor="text1"/>
          <w:szCs w:val="21"/>
        </w:rPr>
        <w:t>原始期限：</w:t>
      </w:r>
      <w:r w:rsidRPr="00CB4B9E">
        <w:rPr>
          <w:rFonts w:ascii="宋体" w:hAnsi="宋体" w:hint="eastAsia"/>
          <w:color w:val="000000" w:themeColor="text1"/>
        </w:rPr>
        <w:t>指贷款合同或借贷双方交易证实书中贷款的首笔提款日至最终到期日（或结清日）的期限。</w:t>
      </w:r>
      <w:r w:rsidRPr="00CB4B9E">
        <w:rPr>
          <w:rFonts w:ascii="宋体" w:hAnsi="宋体" w:hint="eastAsia"/>
          <w:color w:val="000000" w:themeColor="text1"/>
          <w:szCs w:val="21"/>
        </w:rPr>
        <w:t>按以下两种情况填列：</w:t>
      </w:r>
      <w:r w:rsidRPr="00CB4B9E">
        <w:rPr>
          <w:rFonts w:ascii="宋体" w:hAnsi="宋体" w:hint="eastAsia"/>
          <w:color w:val="000000" w:themeColor="text1"/>
        </w:rPr>
        <w:t>①一年及以下，含不定期</w:t>
      </w:r>
      <w:r w:rsidRPr="00CB4B9E">
        <w:rPr>
          <w:rFonts w:ascii="宋体" w:hAnsi="宋体" w:hint="eastAsia"/>
          <w:color w:val="000000" w:themeColor="text1"/>
          <w:szCs w:val="21"/>
        </w:rPr>
        <w:t>；</w:t>
      </w:r>
      <w:r w:rsidRPr="00CB4B9E">
        <w:rPr>
          <w:rFonts w:ascii="宋体" w:hAnsi="宋体" w:hint="eastAsia"/>
          <w:color w:val="000000" w:themeColor="text1"/>
        </w:rPr>
        <w:t>②一年以上</w:t>
      </w:r>
      <w:r w:rsidRPr="00CB4B9E">
        <w:rPr>
          <w:rFonts w:ascii="宋体" w:hAnsi="宋体" w:hint="eastAsia"/>
          <w:color w:val="000000" w:themeColor="text1"/>
          <w:szCs w:val="21"/>
        </w:rPr>
        <w:t>。其中，循环贷款按合同或交易证实书中约定的贷款周期填写。如发生贷款拖欠或展期的，应按照双方确定的期限计算。如双方无安排，应按原期限归类。</w:t>
      </w:r>
    </w:p>
    <w:p w:rsidR="0011597F" w:rsidRPr="009263D7" w:rsidRDefault="00CB4B9E" w:rsidP="0011597F">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D0605.原始币种：</w:t>
      </w:r>
      <w:r w:rsidRPr="00CB4B9E">
        <w:rPr>
          <w:rFonts w:ascii="宋体" w:hAnsi="宋体" w:hint="eastAsia"/>
          <w:color w:val="000000" w:themeColor="text1"/>
          <w:szCs w:val="21"/>
        </w:rPr>
        <w:t>指贷款合同中规定的贷款币种。适用于</w:t>
      </w:r>
      <w:r w:rsidRPr="00CB4B9E">
        <w:rPr>
          <w:rFonts w:ascii="宋体" w:hAnsi="宋体"/>
          <w:color w:val="000000" w:themeColor="text1"/>
          <w:szCs w:val="21"/>
        </w:rPr>
        <w:t>D0606-D0613</w:t>
      </w:r>
      <w:r w:rsidRPr="00CB4B9E">
        <w:rPr>
          <w:rFonts w:ascii="宋体" w:hAnsi="宋体" w:hint="eastAsia"/>
          <w:color w:val="000000" w:themeColor="text1"/>
          <w:szCs w:val="21"/>
        </w:rPr>
        <w:t>各项。</w:t>
      </w:r>
    </w:p>
    <w:p w:rsidR="0073390C"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D0606.上月末</w:t>
      </w:r>
      <w:r w:rsidRPr="00CB4B9E">
        <w:rPr>
          <w:rFonts w:ascii="黑体" w:eastAsia="黑体" w:hAnsi="宋体" w:hint="eastAsia"/>
          <w:color w:val="000000" w:themeColor="text1"/>
          <w:szCs w:val="21"/>
        </w:rPr>
        <w:t>本金余额：</w:t>
      </w:r>
      <w:r w:rsidRPr="00CB4B9E">
        <w:rPr>
          <w:rFonts w:ascii="宋体" w:hAnsi="宋体" w:hint="eastAsia"/>
          <w:color w:val="000000" w:themeColor="text1"/>
          <w:szCs w:val="21"/>
        </w:rPr>
        <w:t>指上月末接受非居民提供贷款的账面本金余额。</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D0607.上月末应</w:t>
      </w:r>
      <w:r w:rsidRPr="00CB4B9E">
        <w:rPr>
          <w:rFonts w:ascii="黑体" w:eastAsia="黑体" w:hAnsi="宋体" w:hint="eastAsia"/>
          <w:color w:val="000000" w:themeColor="text1"/>
          <w:szCs w:val="21"/>
        </w:rPr>
        <w:t>付利息余额：</w:t>
      </w:r>
      <w:r w:rsidRPr="00CB4B9E">
        <w:rPr>
          <w:rFonts w:ascii="宋体" w:hAnsi="宋体" w:hint="eastAsia"/>
          <w:color w:val="000000" w:themeColor="text1"/>
          <w:szCs w:val="21"/>
        </w:rPr>
        <w:t>指上月末对非居民应付未付的贷款利息余额。</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D0608.</w:t>
      </w:r>
      <w:r w:rsidRPr="00CB4B9E">
        <w:rPr>
          <w:rFonts w:ascii="黑体" w:eastAsia="黑体" w:hAnsi="宋体" w:hint="eastAsia"/>
          <w:color w:val="000000" w:themeColor="text1"/>
          <w:szCs w:val="21"/>
        </w:rPr>
        <w:t>本月末本金余额：</w:t>
      </w:r>
      <w:r w:rsidRPr="00CB4B9E">
        <w:rPr>
          <w:rFonts w:ascii="宋体" w:hAnsi="宋体" w:hint="eastAsia"/>
          <w:color w:val="000000" w:themeColor="text1"/>
          <w:szCs w:val="21"/>
        </w:rPr>
        <w:t>指本月末接受非居民提供贷款的账面本金余额。</w:t>
      </w:r>
    </w:p>
    <w:p w:rsidR="002F0AA0"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D0609.其中：剩余期限在一年及以下：</w:t>
      </w:r>
      <w:r w:rsidRPr="00CB4B9E">
        <w:rPr>
          <w:rFonts w:ascii="宋体" w:hAnsi="宋体" w:hint="eastAsia"/>
          <w:color w:val="000000" w:themeColor="text1"/>
          <w:szCs w:val="21"/>
        </w:rPr>
        <w:t>指自本月末至到期在一年及以下的接受非居民提供贷款的账面本金余额。对于循环贷款，应根据对应贷款自本月末至最终到期日（或结清日）的期限是否在一年及以下判断。对于贷款拖欠或展期的，应按照双方确定的期限判断剩余期限是否在一年及以下。如双方无安排，纳入一年及以下统计。</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D0610.</w:t>
      </w:r>
      <w:r w:rsidRPr="00CB4B9E">
        <w:rPr>
          <w:rFonts w:ascii="黑体" w:eastAsia="黑体" w:hAnsi="宋体" w:hint="eastAsia"/>
          <w:color w:val="000000" w:themeColor="text1"/>
          <w:szCs w:val="21"/>
        </w:rPr>
        <w:t>本月末应付利息余额：</w:t>
      </w:r>
      <w:r w:rsidRPr="00CB4B9E">
        <w:rPr>
          <w:rFonts w:ascii="宋体" w:hAnsi="宋体" w:hint="eastAsia"/>
          <w:color w:val="000000" w:themeColor="text1"/>
          <w:szCs w:val="21"/>
        </w:rPr>
        <w:t>指本月末对非居民应付未付的贷款利息余额。</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D0611.</w:t>
      </w:r>
      <w:r w:rsidRPr="00CB4B9E">
        <w:rPr>
          <w:rFonts w:ascii="黑体" w:eastAsia="黑体" w:hAnsi="宋体" w:hint="eastAsia"/>
          <w:color w:val="000000" w:themeColor="text1"/>
          <w:szCs w:val="21"/>
        </w:rPr>
        <w:t>本月非交易变动：</w:t>
      </w:r>
      <w:r w:rsidRPr="00CB4B9E">
        <w:rPr>
          <w:rFonts w:ascii="宋体" w:hAnsi="宋体" w:hint="eastAsia"/>
          <w:color w:val="000000" w:themeColor="text1"/>
          <w:szCs w:val="21"/>
        </w:rPr>
        <w:t>指因贷款重新分类（贷款一旦转让，则重新分类为债务证券）以及所涉主体居民地位改变等因素导致境内机构接受境外提供贷款余额变动的净额。</w:t>
      </w:r>
    </w:p>
    <w:p w:rsidR="00AD6E5E"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D0612.</w:t>
      </w:r>
      <w:r w:rsidRPr="00CB4B9E">
        <w:rPr>
          <w:rFonts w:ascii="黑体" w:eastAsia="黑体" w:hAnsi="宋体" w:hint="eastAsia"/>
          <w:color w:val="000000" w:themeColor="text1"/>
          <w:szCs w:val="21"/>
        </w:rPr>
        <w:t>本月净发生额：</w:t>
      </w:r>
      <w:r w:rsidRPr="00CB4B9E">
        <w:rPr>
          <w:rFonts w:ascii="宋体" w:hAnsi="宋体" w:hint="eastAsia"/>
          <w:color w:val="000000" w:themeColor="text1"/>
          <w:szCs w:val="21"/>
        </w:rPr>
        <w:t>指本月本机构接受非居民提供贷款的净发生额（接受贷款</w:t>
      </w:r>
      <w:r w:rsidRPr="00CB4B9E">
        <w:rPr>
          <w:rFonts w:ascii="宋体" w:hAnsi="宋体"/>
          <w:color w:val="000000" w:themeColor="text1"/>
          <w:szCs w:val="21"/>
        </w:rPr>
        <w:t>-贷款偿还），正值代表负债的增加，负值代表负债的减少。计算公式为D0612=</w:t>
      </w:r>
      <w:r w:rsidRPr="00CB4B9E">
        <w:rPr>
          <w:rFonts w:ascii="宋体" w:hAnsi="宋体" w:hint="eastAsia"/>
          <w:color w:val="000000" w:themeColor="text1"/>
          <w:szCs w:val="21"/>
        </w:rPr>
        <w:t>（</w:t>
      </w:r>
      <w:r w:rsidRPr="00CB4B9E">
        <w:rPr>
          <w:rFonts w:ascii="宋体" w:hAnsi="宋体"/>
          <w:color w:val="000000" w:themeColor="text1"/>
          <w:szCs w:val="21"/>
        </w:rPr>
        <w:t>D0608+D0610</w:t>
      </w:r>
      <w:r w:rsidRPr="00CB4B9E">
        <w:rPr>
          <w:rFonts w:ascii="宋体" w:hAnsi="宋体" w:hint="eastAsia"/>
          <w:color w:val="000000" w:themeColor="text1"/>
          <w:szCs w:val="21"/>
        </w:rPr>
        <w:t>）</w:t>
      </w:r>
      <w:r w:rsidRPr="00CB4B9E">
        <w:rPr>
          <w:rFonts w:ascii="宋体" w:hAnsi="宋体"/>
          <w:color w:val="000000" w:themeColor="text1"/>
          <w:szCs w:val="21"/>
        </w:rPr>
        <w:t>-</w:t>
      </w:r>
      <w:r w:rsidRPr="00CB4B9E">
        <w:rPr>
          <w:rFonts w:ascii="宋体" w:hAnsi="宋体" w:hint="eastAsia"/>
          <w:color w:val="000000" w:themeColor="text1"/>
          <w:szCs w:val="21"/>
        </w:rPr>
        <w:t>（</w:t>
      </w:r>
      <w:r w:rsidRPr="00CB4B9E">
        <w:rPr>
          <w:rFonts w:ascii="宋体" w:hAnsi="宋体"/>
          <w:color w:val="000000" w:themeColor="text1"/>
          <w:szCs w:val="21"/>
        </w:rPr>
        <w:t>D0606+D0607</w:t>
      </w:r>
      <w:r w:rsidRPr="00CB4B9E">
        <w:rPr>
          <w:rFonts w:ascii="宋体" w:hAnsi="宋体" w:hint="eastAsia"/>
          <w:color w:val="000000" w:themeColor="text1"/>
          <w:szCs w:val="21"/>
        </w:rPr>
        <w:t>）</w:t>
      </w:r>
      <w:r w:rsidRPr="00CB4B9E">
        <w:rPr>
          <w:rFonts w:ascii="宋体" w:hAnsi="宋体"/>
          <w:color w:val="000000" w:themeColor="text1"/>
          <w:szCs w:val="21"/>
        </w:rPr>
        <w:t>-D0611。</w:t>
      </w:r>
      <w:r w:rsidRPr="00CB4B9E">
        <w:rPr>
          <w:rFonts w:ascii="黑体" w:eastAsia="黑体" w:hAnsi="宋体"/>
          <w:color w:val="000000" w:themeColor="text1"/>
          <w:szCs w:val="21"/>
        </w:rPr>
        <w:t xml:space="preserve"> </w:t>
      </w:r>
    </w:p>
    <w:p w:rsidR="00B62E28" w:rsidRPr="009263D7" w:rsidRDefault="00CB4B9E" w:rsidP="00B62E28">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D0613.本月利息支出：</w:t>
      </w:r>
      <w:r w:rsidRPr="00CB4B9E">
        <w:rPr>
          <w:rFonts w:ascii="宋体" w:hAnsi="宋体" w:hint="eastAsia"/>
          <w:color w:val="000000" w:themeColor="text1"/>
          <w:szCs w:val="21"/>
        </w:rPr>
        <w:t>指本机构会计账上按权责发生制确认的本月对非居民贷款利息支出。指当月数，而非累计数。</w:t>
      </w:r>
    </w:p>
    <w:p w:rsidR="007324B3" w:rsidRPr="009263D7" w:rsidRDefault="007324B3" w:rsidP="00B62E28">
      <w:pPr>
        <w:spacing w:line="360" w:lineRule="auto"/>
        <w:ind w:firstLineChars="200" w:firstLine="420"/>
        <w:rPr>
          <w:rFonts w:ascii="宋体" w:hAnsi="宋体"/>
          <w:color w:val="000000" w:themeColor="text1"/>
          <w:szCs w:val="21"/>
        </w:rPr>
      </w:pPr>
    </w:p>
    <w:p w:rsidR="007324B3" w:rsidRPr="009263D7" w:rsidRDefault="00CB4B9E" w:rsidP="007324B3">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D07表：非居民持有本机构（非公司制）10%以下</w:t>
      </w:r>
      <w:r w:rsidRPr="00CB4B9E">
        <w:rPr>
          <w:rFonts w:ascii="黑体" w:eastAsia="黑体" w:hAnsi="宋体" w:hint="eastAsia"/>
          <w:color w:val="000000" w:themeColor="text1"/>
          <w:sz w:val="24"/>
        </w:rPr>
        <w:t>表决权（负债）</w:t>
      </w:r>
    </w:p>
    <w:tbl>
      <w:tblPr>
        <w:tblW w:w="9259" w:type="dxa"/>
        <w:tblInd w:w="93" w:type="dxa"/>
        <w:tblBorders>
          <w:top w:val="single" w:sz="4" w:space="0" w:color="auto"/>
          <w:bottom w:val="single" w:sz="4" w:space="0" w:color="auto"/>
          <w:insideH w:val="single" w:sz="4" w:space="0" w:color="auto"/>
          <w:insideV w:val="single" w:sz="4" w:space="0" w:color="auto"/>
        </w:tblBorders>
        <w:tblLook w:val="04A0"/>
      </w:tblPr>
      <w:tblGrid>
        <w:gridCol w:w="4619"/>
        <w:gridCol w:w="4640"/>
      </w:tblGrid>
      <w:tr w:rsidR="007324B3" w:rsidRPr="009263D7">
        <w:trPr>
          <w:trHeight w:val="274"/>
        </w:trPr>
        <w:tc>
          <w:tcPr>
            <w:tcW w:w="4619" w:type="dxa"/>
            <w:shd w:val="clear" w:color="auto" w:fill="auto"/>
          </w:tcPr>
          <w:p w:rsidR="007324B3" w:rsidRPr="009263D7" w:rsidRDefault="00CB4B9E" w:rsidP="00675CD0">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4640" w:type="dxa"/>
            <w:shd w:val="clear" w:color="auto" w:fill="auto"/>
          </w:tcPr>
          <w:p w:rsidR="007324B3" w:rsidRPr="009263D7" w:rsidRDefault="00CB4B9E" w:rsidP="00675CD0">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7324B3" w:rsidRPr="009263D7">
        <w:trPr>
          <w:trHeight w:val="274"/>
        </w:trPr>
        <w:tc>
          <w:tcPr>
            <w:tcW w:w="4619" w:type="dxa"/>
            <w:shd w:val="clear" w:color="auto" w:fill="auto"/>
            <w:vAlign w:val="center"/>
          </w:tcPr>
          <w:p w:rsidR="007324B3" w:rsidRPr="009263D7" w:rsidRDefault="00CB4B9E" w:rsidP="00736AE1">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1.非居民持有境内非公司制机构10%以下表决权的不可流通股权。</w:t>
            </w:r>
          </w:p>
        </w:tc>
        <w:tc>
          <w:tcPr>
            <w:tcW w:w="4640" w:type="dxa"/>
            <w:shd w:val="clear" w:color="auto" w:fill="auto"/>
            <w:vAlign w:val="center"/>
          </w:tcPr>
          <w:p w:rsidR="007324B3" w:rsidRPr="009263D7" w:rsidRDefault="00CB4B9E" w:rsidP="00736AE1">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 非居民持有境内非公司制机构10%及以上表决权的不可流通股权，纳入A02表统计。</w:t>
            </w:r>
          </w:p>
        </w:tc>
      </w:tr>
      <w:tr w:rsidR="007324B3" w:rsidRPr="009263D7">
        <w:trPr>
          <w:trHeight w:val="274"/>
        </w:trPr>
        <w:tc>
          <w:tcPr>
            <w:tcW w:w="4619" w:type="dxa"/>
            <w:shd w:val="clear" w:color="auto" w:fill="auto"/>
            <w:vAlign w:val="center"/>
          </w:tcPr>
          <w:p w:rsidR="007324B3" w:rsidRPr="009263D7" w:rsidRDefault="007324B3" w:rsidP="00675CD0">
            <w:pPr>
              <w:widowControl/>
              <w:jc w:val="left"/>
              <w:rPr>
                <w:rFonts w:ascii="宋体" w:hAnsi="宋体" w:cs="宋体"/>
                <w:color w:val="000000" w:themeColor="text1"/>
                <w:kern w:val="0"/>
                <w:sz w:val="20"/>
                <w:szCs w:val="20"/>
              </w:rPr>
            </w:pPr>
          </w:p>
        </w:tc>
        <w:tc>
          <w:tcPr>
            <w:tcW w:w="4640" w:type="dxa"/>
            <w:shd w:val="clear" w:color="auto" w:fill="auto"/>
            <w:vAlign w:val="center"/>
          </w:tcPr>
          <w:p w:rsidR="007324B3" w:rsidRPr="009263D7" w:rsidRDefault="00CB4B9E" w:rsidP="00736AE1">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2.非居民持有境内机构的可流通股权。</w:t>
            </w:r>
          </w:p>
        </w:tc>
      </w:tr>
    </w:tbl>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D0701.对方名称：</w:t>
      </w:r>
      <w:r w:rsidRPr="00CB4B9E">
        <w:rPr>
          <w:rFonts w:ascii="宋体" w:hAnsi="宋体" w:hint="eastAsia"/>
          <w:color w:val="000000" w:themeColor="text1"/>
          <w:szCs w:val="21"/>
        </w:rPr>
        <w:t>指境外投资主体的中文名称及当地注册的英文名称，如为其他语言名称，可不填写外文名称，但必须填写中文名称。</w:t>
      </w:r>
    </w:p>
    <w:p w:rsidR="007324B3" w:rsidRPr="009263D7" w:rsidRDefault="00CB4B9E" w:rsidP="007324B3">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D0702.对方代码：</w:t>
      </w:r>
      <w:r w:rsidRPr="00CB4B9E">
        <w:rPr>
          <w:rFonts w:ascii="宋体" w:hAnsi="宋体" w:hint="eastAsia"/>
          <w:color w:val="000000" w:themeColor="text1"/>
          <w:szCs w:val="21"/>
        </w:rPr>
        <w:t>指可以唯一标识该境外投资主体的代码，包括“</w:t>
      </w:r>
      <w:r w:rsidRPr="00CB4B9E">
        <w:rPr>
          <w:rFonts w:ascii="宋体" w:hAnsi="宋体"/>
          <w:color w:val="000000" w:themeColor="text1"/>
          <w:szCs w:val="21"/>
        </w:rPr>
        <w:t xml:space="preserve">SWIFT编码” </w:t>
      </w:r>
      <w:r w:rsidRPr="00CB4B9E">
        <w:rPr>
          <w:rFonts w:ascii="宋体" w:hAnsi="宋体" w:hint="eastAsia"/>
          <w:color w:val="000000" w:themeColor="text1"/>
          <w:szCs w:val="21"/>
        </w:rPr>
        <w:t>等。如无市场通用</w:t>
      </w:r>
      <w:r w:rsidRPr="00CB4B9E">
        <w:rPr>
          <w:rFonts w:ascii="宋体" w:hAnsi="宋体" w:hint="eastAsia"/>
          <w:color w:val="000000" w:themeColor="text1"/>
          <w:szCs w:val="21"/>
        </w:rPr>
        <w:lastRenderedPageBreak/>
        <w:t>代码，应使用本机构内部使用的代码进行唯一标识。</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D0703.对方国家/地区：</w:t>
      </w:r>
      <w:r w:rsidRPr="00CB4B9E">
        <w:rPr>
          <w:rFonts w:ascii="宋体" w:hAnsi="宋体" w:hint="eastAsia"/>
          <w:color w:val="000000" w:themeColor="text1"/>
          <w:szCs w:val="21"/>
        </w:rPr>
        <w:t>指境外投资主体注册或常驻（住）的国家</w:t>
      </w:r>
      <w:r w:rsidRPr="00CB4B9E">
        <w:rPr>
          <w:rFonts w:ascii="宋体" w:hAnsi="宋体"/>
          <w:color w:val="000000" w:themeColor="text1"/>
          <w:szCs w:val="21"/>
        </w:rPr>
        <w:t>/</w:t>
      </w:r>
      <w:r w:rsidRPr="00CB4B9E">
        <w:rPr>
          <w:rFonts w:ascii="宋体" w:hAnsi="宋体" w:hint="eastAsia"/>
          <w:color w:val="000000" w:themeColor="text1"/>
          <w:szCs w:val="21"/>
        </w:rPr>
        <w:t>地区。</w:t>
      </w:r>
      <w:r w:rsidRPr="00CB4B9E">
        <w:rPr>
          <w:rFonts w:ascii="宋体" w:hAnsi="宋体" w:hint="eastAsia"/>
          <w:color w:val="000000" w:themeColor="text1"/>
        </w:rPr>
        <w:t>请参照数据采集规范最新版本中的相关代码表填列。</w:t>
      </w:r>
    </w:p>
    <w:p w:rsidR="007324B3" w:rsidRPr="009263D7" w:rsidRDefault="00CB4B9E" w:rsidP="007324B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D0704.对方部门：</w:t>
      </w:r>
      <w:r w:rsidRPr="00CB4B9E">
        <w:rPr>
          <w:rFonts w:ascii="宋体" w:hAnsi="宋体" w:hint="eastAsia"/>
          <w:color w:val="000000" w:themeColor="text1"/>
          <w:szCs w:val="21"/>
        </w:rPr>
        <w:t>指境外投资主体所属部门，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请按境外投资主体的主营业务归类。</w:t>
      </w:r>
    </w:p>
    <w:p w:rsidR="007324B3" w:rsidRPr="009263D7" w:rsidRDefault="00CB4B9E" w:rsidP="007324B3">
      <w:pPr>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D0705.</w:t>
      </w:r>
      <w:r w:rsidRPr="00CB4B9E">
        <w:rPr>
          <w:rFonts w:ascii="黑体" w:eastAsia="黑体" w:hAnsi="宋体" w:hint="eastAsia"/>
          <w:color w:val="000000" w:themeColor="text1"/>
          <w:szCs w:val="21"/>
        </w:rPr>
        <w:t>对方与本机构的关系：</w:t>
      </w:r>
      <w:r w:rsidRPr="00CB4B9E">
        <w:rPr>
          <w:rFonts w:ascii="宋体" w:hAnsi="宋体" w:hint="eastAsia"/>
          <w:color w:val="000000" w:themeColor="text1"/>
        </w:rPr>
        <w:t>请按以下四种情况填列：①对方是本机构的境外直接投资者，即持有本机构表决权≥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；②对方是本机构的境外直接投资企业，即本机构持有表决权在</w:t>
      </w:r>
      <w:r w:rsidRPr="00CB4B9E">
        <w:rPr>
          <w:rFonts w:ascii="宋体" w:hAnsi="宋体"/>
          <w:color w:val="000000" w:themeColor="text1"/>
        </w:rPr>
        <w:t>10%及以上的</w:t>
      </w:r>
      <w:r w:rsidRPr="00CB4B9E">
        <w:rPr>
          <w:rFonts w:ascii="宋体" w:hAnsi="宋体" w:hint="eastAsia"/>
          <w:color w:val="000000" w:themeColor="text1"/>
        </w:rPr>
        <w:t>境外分支机构、子机构、联营机构或合营机构；③对方是本机构的境外联属机构，即双方有共同母公司，但相互持有表决权＜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或相互不持有表决权；④对方与本机构无关联关系。</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D0706.原始币种：</w:t>
      </w:r>
      <w:r w:rsidRPr="00CB4B9E">
        <w:rPr>
          <w:rFonts w:ascii="宋体" w:hAnsi="宋体" w:hint="eastAsia"/>
          <w:color w:val="000000" w:themeColor="text1"/>
          <w:szCs w:val="21"/>
        </w:rPr>
        <w:t>指本机构会计系统中对其他股权的记账币种。适用于</w:t>
      </w:r>
      <w:r w:rsidRPr="00CB4B9E">
        <w:rPr>
          <w:rFonts w:ascii="宋体" w:hAnsi="宋体"/>
          <w:color w:val="000000" w:themeColor="text1"/>
          <w:szCs w:val="21"/>
        </w:rPr>
        <w:t>D0707-D0710各项，以及D0712。</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D0707.上月末余额：</w:t>
      </w:r>
      <w:r w:rsidRPr="00CB4B9E">
        <w:rPr>
          <w:rFonts w:ascii="宋体" w:hAnsi="宋体" w:hint="eastAsia"/>
          <w:color w:val="000000" w:themeColor="text1"/>
          <w:szCs w:val="21"/>
        </w:rPr>
        <w:t>指上月末非居民持有的相关股权的存量金额。</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D0708.本月末余额：</w:t>
      </w:r>
      <w:r w:rsidRPr="00CB4B9E">
        <w:rPr>
          <w:rFonts w:ascii="宋体" w:hAnsi="宋体" w:hint="eastAsia"/>
          <w:color w:val="000000" w:themeColor="text1"/>
          <w:szCs w:val="21"/>
        </w:rPr>
        <w:t>指本月末非居民持有的相关股权的存量金额。</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D0709.本月非交易变动：</w:t>
      </w:r>
      <w:r w:rsidRPr="00CB4B9E">
        <w:rPr>
          <w:rFonts w:ascii="宋体" w:hAnsi="宋体" w:hint="eastAsia"/>
          <w:color w:val="000000" w:themeColor="text1"/>
          <w:szCs w:val="21"/>
        </w:rPr>
        <w:t>指境外投资主体本月因重新分类以及所涉主体居民地位改变等因素导致其持有本机构不可流通股权增减变动的净额。计算公式为</w:t>
      </w:r>
      <w:r w:rsidRPr="00CB4B9E">
        <w:rPr>
          <w:rFonts w:ascii="宋体" w:hAnsi="宋体"/>
          <w:color w:val="000000" w:themeColor="text1"/>
          <w:szCs w:val="21"/>
        </w:rPr>
        <w:t>D0709=D0708-D0707-D0710。</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D0710.本月净发生额：</w:t>
      </w:r>
      <w:r w:rsidRPr="00CB4B9E">
        <w:rPr>
          <w:rFonts w:ascii="宋体" w:hAnsi="宋体" w:hint="eastAsia"/>
          <w:color w:val="000000" w:themeColor="text1"/>
          <w:szCs w:val="21"/>
        </w:rPr>
        <w:t>指境外投资主体本月购入或售出本机构不可流通股权的净值（本机构出售</w:t>
      </w:r>
      <w:r w:rsidRPr="00CB4B9E">
        <w:rPr>
          <w:rFonts w:ascii="宋体" w:hAnsi="宋体"/>
          <w:color w:val="000000" w:themeColor="text1"/>
          <w:szCs w:val="21"/>
        </w:rPr>
        <w:t>-</w:t>
      </w:r>
      <w:r w:rsidRPr="00CB4B9E">
        <w:rPr>
          <w:rFonts w:ascii="宋体" w:hAnsi="宋体" w:hint="eastAsia"/>
          <w:color w:val="000000" w:themeColor="text1"/>
          <w:szCs w:val="21"/>
        </w:rPr>
        <w:t>本机构赎回）。</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D0711.本月末</w:t>
      </w:r>
      <w:r w:rsidRPr="00CB4B9E">
        <w:rPr>
          <w:rFonts w:ascii="黑体" w:eastAsia="黑体" w:hAnsi="宋体" w:hint="eastAsia"/>
          <w:color w:val="000000" w:themeColor="text1"/>
          <w:szCs w:val="21"/>
        </w:rPr>
        <w:t>外方表决权比例（</w:t>
      </w:r>
      <w:r w:rsidRPr="00CB4B9E">
        <w:rPr>
          <w:rFonts w:ascii="黑体" w:eastAsia="黑体" w:hAnsi="宋体"/>
          <w:color w:val="000000" w:themeColor="text1"/>
          <w:szCs w:val="21"/>
        </w:rPr>
        <w:t>%）</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指本月末境外投资主体拥有的表决权占本机构表决权的比例。</w:t>
      </w:r>
    </w:p>
    <w:p w:rsidR="007324B3" w:rsidRPr="009263D7" w:rsidRDefault="00CB4B9E" w:rsidP="007324B3">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D0712.本月对外方的股息/红利/利润支出：</w:t>
      </w:r>
      <w:r w:rsidRPr="00CB4B9E">
        <w:rPr>
          <w:rFonts w:ascii="宋体" w:hAnsi="宋体" w:hint="eastAsia"/>
          <w:color w:val="000000" w:themeColor="text1"/>
          <w:szCs w:val="21"/>
        </w:rPr>
        <w:t>按照权责发生制，本机构本月应分配给境外投资主体的股权股息、红利、利润支出。</w:t>
      </w:r>
    </w:p>
    <w:p w:rsidR="007324B3" w:rsidRPr="009263D7" w:rsidRDefault="007324B3" w:rsidP="00EC1567">
      <w:pPr>
        <w:spacing w:line="360" w:lineRule="auto"/>
        <w:ind w:firstLineChars="200" w:firstLine="480"/>
        <w:rPr>
          <w:rFonts w:ascii="黑体" w:eastAsia="黑体" w:hAnsi="宋体"/>
          <w:color w:val="000000" w:themeColor="text1"/>
          <w:sz w:val="24"/>
        </w:rPr>
      </w:pPr>
    </w:p>
    <w:p w:rsidR="007C40BB" w:rsidRPr="009263D7" w:rsidRDefault="00CB4B9E" w:rsidP="00EC1567">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D08</w:t>
      </w:r>
      <w:r w:rsidRPr="00CB4B9E">
        <w:rPr>
          <w:rFonts w:ascii="黑体" w:eastAsia="黑体" w:hAnsi="宋体" w:hint="eastAsia"/>
          <w:color w:val="000000" w:themeColor="text1"/>
          <w:sz w:val="24"/>
        </w:rPr>
        <w:t>表：应付款（不含应付利息）（负债）</w:t>
      </w:r>
    </w:p>
    <w:tbl>
      <w:tblPr>
        <w:tblW w:w="9259" w:type="dxa"/>
        <w:tblInd w:w="93" w:type="dxa"/>
        <w:tblBorders>
          <w:top w:val="single" w:sz="4" w:space="0" w:color="auto"/>
          <w:bottom w:val="single" w:sz="4" w:space="0" w:color="auto"/>
          <w:insideH w:val="single" w:sz="4" w:space="0" w:color="auto"/>
          <w:insideV w:val="single" w:sz="4" w:space="0" w:color="auto"/>
        </w:tblBorders>
        <w:tblLook w:val="04A0"/>
      </w:tblPr>
      <w:tblGrid>
        <w:gridCol w:w="4619"/>
        <w:gridCol w:w="4640"/>
      </w:tblGrid>
      <w:tr w:rsidR="007C40BB" w:rsidRPr="009263D7">
        <w:trPr>
          <w:trHeight w:val="274"/>
        </w:trPr>
        <w:tc>
          <w:tcPr>
            <w:tcW w:w="4619" w:type="dxa"/>
            <w:shd w:val="clear" w:color="auto" w:fill="auto"/>
          </w:tcPr>
          <w:p w:rsidR="007C40BB" w:rsidRPr="009263D7" w:rsidRDefault="00CB4B9E" w:rsidP="004C48FD">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包括</w:t>
            </w:r>
          </w:p>
        </w:tc>
        <w:tc>
          <w:tcPr>
            <w:tcW w:w="4640" w:type="dxa"/>
            <w:shd w:val="clear" w:color="auto" w:fill="auto"/>
          </w:tcPr>
          <w:p w:rsidR="007C40BB" w:rsidRPr="009263D7" w:rsidRDefault="00CB4B9E" w:rsidP="004C48FD">
            <w:pPr>
              <w:widowControl/>
              <w:jc w:val="center"/>
              <w:rPr>
                <w:rFonts w:ascii="宋体" w:hAnsi="宋体" w:cs="宋体"/>
                <w:b/>
                <w:color w:val="000000" w:themeColor="text1"/>
                <w:kern w:val="0"/>
                <w:szCs w:val="21"/>
              </w:rPr>
            </w:pPr>
            <w:r w:rsidRPr="00CB4B9E">
              <w:rPr>
                <w:rFonts w:ascii="宋体" w:hAnsi="宋体" w:cs="宋体" w:hint="eastAsia"/>
                <w:b/>
                <w:color w:val="000000" w:themeColor="text1"/>
                <w:kern w:val="0"/>
                <w:szCs w:val="21"/>
              </w:rPr>
              <w:t>不包括</w:t>
            </w:r>
          </w:p>
        </w:tc>
      </w:tr>
      <w:tr w:rsidR="007C40BB" w:rsidRPr="009263D7">
        <w:trPr>
          <w:trHeight w:val="274"/>
        </w:trPr>
        <w:tc>
          <w:tcPr>
            <w:tcW w:w="4619" w:type="dxa"/>
            <w:shd w:val="clear" w:color="auto" w:fill="auto"/>
            <w:vAlign w:val="center"/>
          </w:tcPr>
          <w:p w:rsidR="007C40BB" w:rsidRPr="009263D7" w:rsidRDefault="00CB4B9E" w:rsidP="00117FC2">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1.境内机构对非居民的</w:t>
            </w:r>
            <w:r w:rsidRPr="00CB4B9E">
              <w:rPr>
                <w:rFonts w:ascii="宋体" w:hAnsi="宋体" w:cs="宋体" w:hint="eastAsia"/>
                <w:color w:val="000000" w:themeColor="text1"/>
                <w:kern w:val="0"/>
                <w:sz w:val="20"/>
                <w:szCs w:val="20"/>
              </w:rPr>
              <w:t>各类应付（预收）款项。</w:t>
            </w:r>
          </w:p>
        </w:tc>
        <w:tc>
          <w:tcPr>
            <w:tcW w:w="4640" w:type="dxa"/>
            <w:shd w:val="clear" w:color="auto" w:fill="auto"/>
            <w:vAlign w:val="center"/>
          </w:tcPr>
          <w:p w:rsidR="007C40BB" w:rsidRPr="009263D7" w:rsidRDefault="00CB4B9E" w:rsidP="00492B2A">
            <w:pPr>
              <w:widowControl/>
              <w:jc w:val="left"/>
              <w:rPr>
                <w:rFonts w:ascii="宋体" w:hAnsi="宋体" w:cs="宋体"/>
                <w:color w:val="000000" w:themeColor="text1"/>
                <w:kern w:val="0"/>
                <w:sz w:val="20"/>
                <w:szCs w:val="20"/>
              </w:rPr>
            </w:pPr>
            <w:r w:rsidRPr="00CB4B9E">
              <w:rPr>
                <w:rFonts w:ascii="宋体" w:hAnsi="宋体" w:cs="宋体"/>
                <w:color w:val="000000" w:themeColor="text1"/>
                <w:kern w:val="0"/>
                <w:sz w:val="20"/>
                <w:szCs w:val="20"/>
              </w:rPr>
              <w:t>1.其他各类金融工具产生的应付</w:t>
            </w:r>
            <w:r w:rsidRPr="00CB4B9E">
              <w:rPr>
                <w:rFonts w:ascii="宋体" w:hAnsi="宋体" w:cs="宋体" w:hint="eastAsia"/>
                <w:color w:val="000000" w:themeColor="text1"/>
                <w:kern w:val="0"/>
                <w:sz w:val="20"/>
                <w:szCs w:val="20"/>
              </w:rPr>
              <w:t>未付利息，应与对应金融工具（如贷款、存款）的余额数据记录在一起。</w:t>
            </w:r>
          </w:p>
        </w:tc>
      </w:tr>
    </w:tbl>
    <w:p w:rsidR="007C40BB" w:rsidRPr="009263D7" w:rsidRDefault="00CB4B9E" w:rsidP="007C40BB">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D0801.</w:t>
      </w:r>
      <w:r w:rsidRPr="00CB4B9E">
        <w:rPr>
          <w:rFonts w:ascii="黑体" w:eastAsia="黑体" w:hAnsi="宋体" w:hint="eastAsia"/>
          <w:color w:val="000000" w:themeColor="text1"/>
          <w:szCs w:val="21"/>
        </w:rPr>
        <w:t>对方国家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指应付款项对应的非居民主体注册或常驻（住）的国家</w:t>
      </w:r>
      <w:r w:rsidRPr="00CB4B9E">
        <w:rPr>
          <w:rFonts w:ascii="宋体" w:hAnsi="宋体"/>
          <w:color w:val="000000" w:themeColor="text1"/>
          <w:szCs w:val="21"/>
        </w:rPr>
        <w:t>/</w:t>
      </w:r>
      <w:r w:rsidRPr="00CB4B9E">
        <w:rPr>
          <w:rFonts w:ascii="宋体" w:hAnsi="宋体" w:hint="eastAsia"/>
          <w:color w:val="000000" w:themeColor="text1"/>
          <w:szCs w:val="21"/>
        </w:rPr>
        <w:t>地区。</w:t>
      </w:r>
      <w:r w:rsidRPr="00CB4B9E">
        <w:rPr>
          <w:rFonts w:ascii="宋体" w:hAnsi="宋体" w:hint="eastAsia"/>
          <w:color w:val="000000" w:themeColor="text1"/>
        </w:rPr>
        <w:t>请参照数据采集规范最新版本中的相关代码表填列。</w:t>
      </w:r>
      <w:r w:rsidRPr="00CB4B9E">
        <w:rPr>
          <w:rFonts w:ascii="黑体" w:eastAsia="黑体" w:hAnsi="宋体"/>
          <w:color w:val="000000" w:themeColor="text1"/>
          <w:szCs w:val="21"/>
        </w:rPr>
        <w:t xml:space="preserve"> </w:t>
      </w:r>
    </w:p>
    <w:p w:rsidR="007C40BB" w:rsidRPr="009263D7" w:rsidRDefault="00CB4B9E" w:rsidP="00E17D6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D0802.</w:t>
      </w:r>
      <w:r w:rsidRPr="00CB4B9E">
        <w:rPr>
          <w:rFonts w:ascii="黑体" w:eastAsia="黑体" w:hAnsi="宋体" w:hint="eastAsia"/>
          <w:color w:val="000000" w:themeColor="text1"/>
          <w:szCs w:val="21"/>
        </w:rPr>
        <w:t>对方部门：</w:t>
      </w:r>
      <w:r w:rsidRPr="00CB4B9E">
        <w:rPr>
          <w:rFonts w:ascii="宋体" w:hAnsi="宋体" w:hint="eastAsia"/>
          <w:color w:val="000000" w:themeColor="text1"/>
          <w:szCs w:val="21"/>
        </w:rPr>
        <w:t>指应付款项对应的非居民主体所属部门，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请按对方的主营业务归类。</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D0803.</w:t>
      </w:r>
      <w:r w:rsidRPr="00CB4B9E">
        <w:rPr>
          <w:rFonts w:ascii="黑体" w:eastAsia="黑体" w:hAnsi="宋体" w:hint="eastAsia"/>
          <w:color w:val="000000" w:themeColor="text1"/>
          <w:szCs w:val="21"/>
        </w:rPr>
        <w:t>对方与本机构的关系：</w:t>
      </w:r>
      <w:r w:rsidRPr="00CB4B9E">
        <w:rPr>
          <w:rFonts w:ascii="宋体" w:hAnsi="宋体" w:hint="eastAsia"/>
          <w:color w:val="000000" w:themeColor="text1"/>
        </w:rPr>
        <w:t>请按以下四种情况填列：①对方是本机构的境外直接投资者，即持有</w:t>
      </w:r>
      <w:r w:rsidRPr="00CB4B9E">
        <w:rPr>
          <w:rFonts w:ascii="宋体" w:hAnsi="宋体" w:hint="eastAsia"/>
          <w:color w:val="000000" w:themeColor="text1"/>
        </w:rPr>
        <w:lastRenderedPageBreak/>
        <w:t>本机构表决权≥</w:t>
      </w:r>
      <w:r w:rsidRPr="00CB4B9E">
        <w:rPr>
          <w:rFonts w:ascii="宋体" w:hAnsi="宋体"/>
          <w:color w:val="000000" w:themeColor="text1"/>
        </w:rPr>
        <w:t>10%</w:t>
      </w:r>
      <w:r w:rsidRPr="00CB4B9E">
        <w:rPr>
          <w:rFonts w:ascii="宋体" w:hAnsi="宋体" w:hint="eastAsia"/>
          <w:color w:val="000000" w:themeColor="text1"/>
        </w:rPr>
        <w:t>；②对方是本机构的境外直接投资企业，即本机构持有表决权在</w:t>
      </w:r>
      <w:r w:rsidRPr="00CB4B9E">
        <w:rPr>
          <w:rFonts w:ascii="宋体" w:hAnsi="宋体"/>
          <w:color w:val="000000" w:themeColor="text1"/>
        </w:rPr>
        <w:t>10%及以上的</w:t>
      </w:r>
      <w:r w:rsidRPr="00CB4B9E">
        <w:rPr>
          <w:rFonts w:ascii="宋体" w:hAnsi="宋体" w:hint="eastAsia"/>
          <w:color w:val="000000" w:themeColor="text1"/>
        </w:rPr>
        <w:t>境外分支机构、子机构、联营机构或合营机构；③对方是本机构的境外联属机构，即双方有共同母公司，但相互持有表决权＜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或相互不持有表决权；④对方与本机构无关联关系。</w:t>
      </w:r>
    </w:p>
    <w:p w:rsidR="007C40BB" w:rsidRPr="009263D7" w:rsidRDefault="00CB4B9E" w:rsidP="004378E6">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D0804.</w:t>
      </w:r>
      <w:r w:rsidRPr="00CB4B9E">
        <w:rPr>
          <w:rFonts w:ascii="黑体" w:eastAsia="黑体" w:hAnsi="宋体" w:hint="eastAsia"/>
          <w:color w:val="000000" w:themeColor="text1"/>
          <w:szCs w:val="21"/>
        </w:rPr>
        <w:t>原始期限：</w:t>
      </w:r>
      <w:r w:rsidRPr="00CB4B9E">
        <w:rPr>
          <w:rFonts w:ascii="宋体" w:hAnsi="宋体" w:hint="eastAsia"/>
          <w:color w:val="000000" w:themeColor="text1"/>
          <w:szCs w:val="21"/>
        </w:rPr>
        <w:t>指应付款从确认至（预计）付清的期限，按以下两种情况填报，</w:t>
      </w:r>
      <w:r w:rsidRPr="00CB4B9E">
        <w:rPr>
          <w:rFonts w:ascii="宋体" w:hAnsi="宋体" w:hint="eastAsia"/>
          <w:color w:val="000000" w:themeColor="text1"/>
        </w:rPr>
        <w:t>①一年及以下，含不定期</w:t>
      </w:r>
      <w:r w:rsidRPr="00CB4B9E">
        <w:rPr>
          <w:rFonts w:ascii="宋体" w:hAnsi="宋体" w:hint="eastAsia"/>
          <w:color w:val="000000" w:themeColor="text1"/>
          <w:szCs w:val="21"/>
        </w:rPr>
        <w:t>；</w:t>
      </w:r>
      <w:r w:rsidRPr="00CB4B9E">
        <w:rPr>
          <w:rFonts w:ascii="宋体" w:hAnsi="宋体" w:hint="eastAsia"/>
          <w:color w:val="000000" w:themeColor="text1"/>
        </w:rPr>
        <w:t>②一年以上。</w:t>
      </w:r>
      <w:r w:rsidRPr="00CB4B9E">
        <w:rPr>
          <w:rFonts w:ascii="宋体" w:hAnsi="宋体" w:hint="eastAsia"/>
          <w:color w:val="000000" w:themeColor="text1"/>
          <w:szCs w:val="21"/>
        </w:rPr>
        <w:t>如发生应付款拖欠或展期的，应按照双方确定的期限计算。如双方无安排，应按原期限归类。</w:t>
      </w:r>
    </w:p>
    <w:p w:rsidR="00E37059" w:rsidRPr="009263D7" w:rsidRDefault="00CB4B9E" w:rsidP="00E37059">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D0805.原始币种：</w:t>
      </w:r>
      <w:r w:rsidRPr="00CB4B9E">
        <w:rPr>
          <w:rFonts w:ascii="宋体" w:hAnsi="宋体" w:hint="eastAsia"/>
          <w:color w:val="000000" w:themeColor="text1"/>
          <w:szCs w:val="21"/>
        </w:rPr>
        <w:t>指应付款项的原始记账币种。适用于</w:t>
      </w:r>
      <w:r w:rsidRPr="00CB4B9E">
        <w:rPr>
          <w:rFonts w:ascii="宋体" w:hAnsi="宋体"/>
          <w:color w:val="000000" w:themeColor="text1"/>
          <w:szCs w:val="21"/>
        </w:rPr>
        <w:t>D0806-D0810</w:t>
      </w:r>
      <w:r w:rsidRPr="00CB4B9E">
        <w:rPr>
          <w:rFonts w:ascii="宋体" w:hAnsi="宋体" w:hint="eastAsia"/>
          <w:color w:val="000000" w:themeColor="text1"/>
          <w:szCs w:val="21"/>
        </w:rPr>
        <w:t>各项。</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D0806.上月末余额：</w:t>
      </w:r>
      <w:r w:rsidRPr="00CB4B9E">
        <w:rPr>
          <w:rFonts w:ascii="宋体" w:hAnsi="宋体" w:hint="eastAsia"/>
          <w:color w:val="000000" w:themeColor="text1"/>
          <w:szCs w:val="21"/>
        </w:rPr>
        <w:t>指上月末对非居民应付款项的账面余额。</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D0807.</w:t>
      </w:r>
      <w:r w:rsidRPr="00CB4B9E">
        <w:rPr>
          <w:rFonts w:ascii="黑体" w:eastAsia="黑体" w:hAnsi="宋体" w:hint="eastAsia"/>
          <w:color w:val="000000" w:themeColor="text1"/>
          <w:szCs w:val="21"/>
        </w:rPr>
        <w:t>本月末余额：</w:t>
      </w:r>
      <w:r w:rsidRPr="00CB4B9E">
        <w:rPr>
          <w:rFonts w:ascii="宋体" w:hAnsi="宋体" w:hint="eastAsia"/>
          <w:color w:val="000000" w:themeColor="text1"/>
          <w:szCs w:val="21"/>
        </w:rPr>
        <w:t>指本月末对非居民应付款项的账面余额。</w:t>
      </w:r>
    </w:p>
    <w:p w:rsidR="004378E6"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D0808.其中：剩余期限在一年及以下：</w:t>
      </w:r>
      <w:r w:rsidRPr="00CB4B9E">
        <w:rPr>
          <w:rFonts w:ascii="宋体" w:hAnsi="宋体" w:hint="eastAsia"/>
          <w:color w:val="000000" w:themeColor="text1"/>
          <w:szCs w:val="21"/>
        </w:rPr>
        <w:t>自本月末至到期在一年及以下的对非居民应付款项的账面余额。如发生应付款拖欠或展期的，应按照双方确定的期限计算。如双方无安排，归入一年及以下统计。</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D0809.本月非交易变动：</w:t>
      </w:r>
      <w:r w:rsidRPr="00CB4B9E">
        <w:rPr>
          <w:rFonts w:ascii="宋体" w:hAnsi="宋体" w:hint="eastAsia"/>
          <w:color w:val="000000" w:themeColor="text1"/>
          <w:szCs w:val="21"/>
        </w:rPr>
        <w:t>指因重新分类以及所涉主体居民地位改变等因素导致本机构对非居民应付款项变动的净额。</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D0810.</w:t>
      </w:r>
      <w:r w:rsidRPr="00CB4B9E">
        <w:rPr>
          <w:rFonts w:ascii="黑体" w:eastAsia="黑体" w:hAnsi="宋体" w:hint="eastAsia"/>
          <w:color w:val="000000" w:themeColor="text1"/>
          <w:szCs w:val="21"/>
        </w:rPr>
        <w:t>本月净发生额：</w:t>
      </w:r>
      <w:r w:rsidRPr="00CB4B9E">
        <w:rPr>
          <w:rFonts w:ascii="宋体" w:hAnsi="宋体" w:hint="eastAsia"/>
          <w:color w:val="000000" w:themeColor="text1"/>
          <w:szCs w:val="21"/>
        </w:rPr>
        <w:t>指本月对非居民应付款项的净发生额（应付增加</w:t>
      </w:r>
      <w:r w:rsidRPr="00CB4B9E">
        <w:rPr>
          <w:rFonts w:ascii="宋体" w:hAnsi="宋体"/>
          <w:color w:val="000000" w:themeColor="text1"/>
          <w:szCs w:val="21"/>
        </w:rPr>
        <w:t>-应付偿还），正值代表负债的增加，负值代表负债的减少。</w:t>
      </w:r>
      <w:r w:rsidRPr="00CB4B9E">
        <w:rPr>
          <w:rFonts w:ascii="宋体" w:hAnsi="宋体" w:hint="eastAsia"/>
          <w:color w:val="000000" w:themeColor="text1"/>
          <w:szCs w:val="21"/>
        </w:rPr>
        <w:t>计算公式为</w:t>
      </w:r>
      <w:r w:rsidRPr="00CB4B9E">
        <w:rPr>
          <w:rFonts w:ascii="宋体" w:hAnsi="宋体"/>
          <w:color w:val="000000" w:themeColor="text1"/>
          <w:szCs w:val="21"/>
        </w:rPr>
        <w:t>D0810=D0807-D0806-D0809。</w:t>
      </w:r>
    </w:p>
    <w:p w:rsidR="000F0C70" w:rsidRPr="009263D7" w:rsidRDefault="000F0C70" w:rsidP="007C40BB">
      <w:pPr>
        <w:spacing w:line="360" w:lineRule="auto"/>
        <w:ind w:firstLineChars="200" w:firstLine="420"/>
        <w:rPr>
          <w:rFonts w:ascii="宋体" w:hAnsi="宋体"/>
          <w:color w:val="000000" w:themeColor="text1"/>
          <w:szCs w:val="21"/>
        </w:rPr>
      </w:pPr>
    </w:p>
    <w:p w:rsidR="007C40BB" w:rsidRPr="009263D7" w:rsidRDefault="00CB4B9E" w:rsidP="00EC1567">
      <w:pPr>
        <w:spacing w:line="360" w:lineRule="auto"/>
        <w:ind w:firstLineChars="200" w:firstLine="480"/>
        <w:rPr>
          <w:rFonts w:ascii="黑体" w:eastAsia="黑体" w:hAnsi="宋体"/>
          <w:color w:val="000000" w:themeColor="text1"/>
          <w:sz w:val="24"/>
        </w:rPr>
      </w:pPr>
      <w:r w:rsidRPr="00CB4B9E">
        <w:rPr>
          <w:rFonts w:ascii="黑体" w:eastAsia="黑体" w:hAnsi="宋体"/>
          <w:color w:val="000000" w:themeColor="text1"/>
          <w:sz w:val="24"/>
        </w:rPr>
        <w:t>D09</w:t>
      </w:r>
      <w:r w:rsidRPr="00CB4B9E">
        <w:rPr>
          <w:rFonts w:ascii="黑体" w:eastAsia="黑体" w:hAnsi="宋体" w:hint="eastAsia"/>
          <w:color w:val="000000" w:themeColor="text1"/>
          <w:sz w:val="24"/>
        </w:rPr>
        <w:t>表：对非居民的贷款和应收款减值准备余额</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D0901.</w:t>
      </w:r>
      <w:r w:rsidRPr="00CB4B9E">
        <w:rPr>
          <w:rFonts w:ascii="黑体" w:eastAsia="黑体" w:hAnsi="宋体" w:hint="eastAsia"/>
          <w:color w:val="000000" w:themeColor="text1"/>
          <w:szCs w:val="21"/>
        </w:rPr>
        <w:t>资产类别：</w:t>
      </w:r>
      <w:r w:rsidRPr="00CB4B9E">
        <w:rPr>
          <w:rFonts w:ascii="宋体" w:hAnsi="宋体" w:hint="eastAsia"/>
          <w:color w:val="000000" w:themeColor="text1"/>
        </w:rPr>
        <w:t>①</w:t>
      </w:r>
      <w:r w:rsidRPr="00CB4B9E">
        <w:rPr>
          <w:rFonts w:ascii="宋体" w:hAnsi="宋体" w:hint="eastAsia"/>
          <w:color w:val="000000" w:themeColor="text1"/>
          <w:szCs w:val="21"/>
        </w:rPr>
        <w:t>贷款；</w:t>
      </w:r>
      <w:r w:rsidRPr="00CB4B9E">
        <w:rPr>
          <w:rFonts w:ascii="宋体" w:hAnsi="宋体" w:hint="eastAsia"/>
          <w:color w:val="000000" w:themeColor="text1"/>
        </w:rPr>
        <w:t>②</w:t>
      </w:r>
      <w:r w:rsidRPr="00CB4B9E">
        <w:rPr>
          <w:rFonts w:ascii="宋体" w:hAnsi="宋体" w:hint="eastAsia"/>
          <w:color w:val="000000" w:themeColor="text1"/>
          <w:szCs w:val="21"/>
        </w:rPr>
        <w:t>应收款。</w:t>
      </w:r>
    </w:p>
    <w:p w:rsidR="002B069E"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D0902.</w:t>
      </w:r>
      <w:r w:rsidRPr="00CB4B9E">
        <w:rPr>
          <w:rFonts w:ascii="黑体" w:eastAsia="黑体" w:hAnsi="宋体" w:hint="eastAsia"/>
          <w:color w:val="000000" w:themeColor="text1"/>
          <w:szCs w:val="21"/>
        </w:rPr>
        <w:t>风险分类：</w:t>
      </w:r>
      <w:r w:rsidRPr="00CB4B9E">
        <w:rPr>
          <w:rFonts w:ascii="宋体" w:hAnsi="宋体" w:hint="eastAsia"/>
          <w:color w:val="000000" w:themeColor="text1"/>
          <w:szCs w:val="21"/>
        </w:rPr>
        <w:t>按五级分类法：</w:t>
      </w:r>
      <w:r w:rsidRPr="00CB4B9E">
        <w:rPr>
          <w:rFonts w:ascii="宋体" w:hAnsi="宋体" w:hint="eastAsia"/>
          <w:color w:val="000000" w:themeColor="text1"/>
        </w:rPr>
        <w:t>①正常；②关注；③次级；④可疑；⑤损失。</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D0903.</w:t>
      </w:r>
      <w:r w:rsidRPr="00CB4B9E">
        <w:rPr>
          <w:rFonts w:ascii="黑体" w:eastAsia="黑体" w:hAnsi="宋体" w:hint="eastAsia"/>
          <w:color w:val="000000" w:themeColor="text1"/>
          <w:szCs w:val="21"/>
        </w:rPr>
        <w:t>币种：</w:t>
      </w:r>
      <w:r w:rsidRPr="00CB4B9E">
        <w:rPr>
          <w:rFonts w:ascii="宋体" w:hAnsi="宋体" w:hint="eastAsia"/>
          <w:color w:val="000000" w:themeColor="text1"/>
          <w:szCs w:val="21"/>
        </w:rPr>
        <w:t>指本机构所提取的贷款和应收款减值准备所用币种，适用于</w:t>
      </w:r>
      <w:r w:rsidRPr="00CB4B9E">
        <w:rPr>
          <w:rFonts w:ascii="宋体" w:hAnsi="宋体"/>
          <w:color w:val="000000" w:themeColor="text1"/>
          <w:szCs w:val="21"/>
        </w:rPr>
        <w:t>D0904</w:t>
      </w:r>
      <w:r w:rsidRPr="00CB4B9E">
        <w:rPr>
          <w:rFonts w:ascii="宋体" w:hAnsi="宋体" w:hint="eastAsia"/>
          <w:color w:val="000000" w:themeColor="text1"/>
          <w:szCs w:val="21"/>
        </w:rPr>
        <w:t>项。</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D0904.</w:t>
      </w:r>
      <w:r w:rsidRPr="00CB4B9E">
        <w:rPr>
          <w:rFonts w:ascii="黑体" w:eastAsia="黑体" w:hAnsi="宋体" w:hint="eastAsia"/>
          <w:color w:val="000000" w:themeColor="text1"/>
          <w:szCs w:val="21"/>
        </w:rPr>
        <w:t>本月末减值准备余额：</w:t>
      </w:r>
      <w:r w:rsidRPr="00CB4B9E">
        <w:rPr>
          <w:rFonts w:ascii="宋体" w:hAnsi="宋体" w:hint="eastAsia"/>
          <w:color w:val="000000" w:themeColor="text1"/>
          <w:szCs w:val="21"/>
        </w:rPr>
        <w:t>本月末，按照会计准则规定计提的对非居民的贷款和应收款减值准备余额。对于非居民信用卡透支，请根据本机构相关减值准备计提原则，确定填报口径。</w:t>
      </w:r>
    </w:p>
    <w:p w:rsidR="00D44C80" w:rsidRPr="009263D7" w:rsidRDefault="00D44C80" w:rsidP="007C40BB">
      <w:pPr>
        <w:spacing w:line="360" w:lineRule="auto"/>
        <w:ind w:firstLineChars="200" w:firstLine="420"/>
        <w:rPr>
          <w:rFonts w:ascii="宋体" w:hAnsi="宋体"/>
          <w:color w:val="000000" w:themeColor="text1"/>
          <w:szCs w:val="21"/>
        </w:rPr>
      </w:pPr>
    </w:p>
    <w:p w:rsidR="007C40BB" w:rsidRPr="009263D7" w:rsidRDefault="00CB4B9E" w:rsidP="007C40BB">
      <w:pPr>
        <w:spacing w:line="360" w:lineRule="auto"/>
        <w:ind w:firstLineChars="200" w:firstLine="422"/>
        <w:rPr>
          <w:rFonts w:ascii="宋体" w:hAnsi="宋体"/>
          <w:b/>
          <w:color w:val="000000" w:themeColor="text1"/>
          <w:szCs w:val="21"/>
        </w:rPr>
      </w:pPr>
      <w:r w:rsidRPr="00CB4B9E">
        <w:rPr>
          <w:rFonts w:ascii="宋体" w:hAnsi="宋体"/>
          <w:b/>
          <w:color w:val="000000" w:themeColor="text1"/>
          <w:szCs w:val="21"/>
        </w:rPr>
        <w:t xml:space="preserve">3. </w:t>
      </w:r>
      <w:r w:rsidRPr="00CB4B9E">
        <w:rPr>
          <w:rFonts w:ascii="宋体" w:hAnsi="宋体" w:hint="eastAsia"/>
          <w:b/>
          <w:color w:val="000000" w:themeColor="text1"/>
          <w:szCs w:val="21"/>
        </w:rPr>
        <w:t>存贷款、应收应付款及非公司制机构股权等其他投资的相关概念：</w:t>
      </w:r>
    </w:p>
    <w:p w:rsidR="00383D4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1）</w:t>
      </w:r>
      <w:r w:rsidRPr="00CB4B9E">
        <w:rPr>
          <w:rFonts w:ascii="宋体" w:hAnsi="宋体" w:hint="eastAsia"/>
          <w:color w:val="000000" w:themeColor="text1"/>
          <w:szCs w:val="21"/>
        </w:rPr>
        <w:t>非公司或准公司股权：指不以“证券”代表的，不能被转手交易的股权。主要包括非公司或准公司股权（当单个投资者持有表决权比例在</w:t>
      </w:r>
      <w:r w:rsidRPr="00CB4B9E">
        <w:rPr>
          <w:rFonts w:ascii="宋体" w:hAnsi="宋体"/>
          <w:color w:val="000000" w:themeColor="text1"/>
          <w:szCs w:val="21"/>
        </w:rPr>
        <w:t>10%以下</w:t>
      </w:r>
      <w:r w:rsidRPr="00CB4B9E">
        <w:rPr>
          <w:rFonts w:ascii="宋体" w:hAnsi="宋体" w:hint="eastAsia"/>
          <w:color w:val="000000" w:themeColor="text1"/>
          <w:szCs w:val="21"/>
        </w:rPr>
        <w:t>时）。</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2）国际组织的份额：</w:t>
      </w:r>
      <w:r w:rsidRPr="00CB4B9E">
        <w:rPr>
          <w:rFonts w:ascii="宋体" w:hAnsi="宋体" w:hint="eastAsia"/>
          <w:color w:val="000000" w:themeColor="text1"/>
          <w:szCs w:val="21"/>
        </w:rPr>
        <w:t>不以股份表示的国际组织的所有权，因此被列为其他股权。</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3</w:t>
      </w:r>
      <w:r w:rsidRPr="00CB4B9E">
        <w:rPr>
          <w:rFonts w:ascii="宋体" w:hAnsi="宋体" w:hint="eastAsia"/>
          <w:color w:val="000000" w:themeColor="text1"/>
          <w:szCs w:val="21"/>
        </w:rPr>
        <w:t>）外币现金：指境外发行的硬币和纸币。</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4</w:t>
      </w:r>
      <w:r w:rsidRPr="00CB4B9E">
        <w:rPr>
          <w:rFonts w:ascii="宋体" w:hAnsi="宋体" w:hint="eastAsia"/>
          <w:color w:val="000000" w:themeColor="text1"/>
          <w:szCs w:val="21"/>
        </w:rPr>
        <w:t>）存款：指存放在中央银行、中央银行以外的存款性公司的债权。</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5</w:t>
      </w:r>
      <w:r w:rsidRPr="00CB4B9E">
        <w:rPr>
          <w:rFonts w:ascii="宋体" w:hAnsi="宋体" w:hint="eastAsia"/>
          <w:color w:val="000000" w:themeColor="text1"/>
          <w:szCs w:val="21"/>
        </w:rPr>
        <w:t>）银行同业存放：指境内银行与境外银行（包括境内银行在境外的分支机构）间由于日常资金</w:t>
      </w:r>
      <w:r w:rsidRPr="00CB4B9E">
        <w:rPr>
          <w:rFonts w:ascii="宋体" w:hAnsi="宋体" w:hint="eastAsia"/>
          <w:color w:val="000000" w:themeColor="text1"/>
          <w:szCs w:val="21"/>
        </w:rPr>
        <w:lastRenderedPageBreak/>
        <w:t>往来而发生的存款。</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6</w:t>
      </w:r>
      <w:r w:rsidRPr="00CB4B9E">
        <w:rPr>
          <w:rFonts w:ascii="宋体" w:hAnsi="宋体" w:hint="eastAsia"/>
          <w:color w:val="000000" w:themeColor="text1"/>
          <w:szCs w:val="21"/>
        </w:rPr>
        <w:t>）贷款：是在债权人将资金直接借给债务人时产生的，并以非流动单据作为证明的金融资产。一般来讲，贷款是不具有流动性的金融工具，一旦其具有流动性，将不再是“贷款”，而是“债务证券”。</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6）普通贷款：指贷款人与借款人签订的约定利率、期限并还本付息的贷款。</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7</w:t>
      </w:r>
      <w:r w:rsidRPr="00CB4B9E">
        <w:rPr>
          <w:rFonts w:ascii="宋体" w:hAnsi="宋体" w:hint="eastAsia"/>
          <w:color w:val="000000" w:themeColor="text1"/>
          <w:szCs w:val="21"/>
        </w:rPr>
        <w:t>）透支：指客户在其信用额度内进行支付或取现，从而获得短期信贷资金的行为。</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8</w:t>
      </w:r>
      <w:r w:rsidRPr="00CB4B9E">
        <w:rPr>
          <w:rFonts w:ascii="宋体" w:hAnsi="宋体" w:hint="eastAsia"/>
          <w:color w:val="000000" w:themeColor="text1"/>
          <w:szCs w:val="21"/>
        </w:rPr>
        <w:t>）融资租赁：指实质上转移与资产所有权有关的全部或大部分风险和报酬的租赁，以承租人占用融资成本的时间计算租金，本质上是一种贷款性质的融资行为，其租金实质为利息。</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9</w:t>
      </w:r>
      <w:r w:rsidRPr="00CB4B9E">
        <w:rPr>
          <w:rFonts w:ascii="宋体" w:hAnsi="宋体" w:hint="eastAsia"/>
          <w:color w:val="000000" w:themeColor="text1"/>
          <w:szCs w:val="21"/>
        </w:rPr>
        <w:t>）证券回购协议：资金融入方与资金融出方以协议的方式，按特定价格出售资产，融入资金，并约定在将来特定日期按指定价格购回相同或类似资产的交易行为。对于资金融入方，是资产回购；对于资金融出方，是资产返售。</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10</w:t>
      </w:r>
      <w:r w:rsidRPr="00CB4B9E">
        <w:rPr>
          <w:rFonts w:ascii="宋体" w:hAnsi="宋体" w:hint="eastAsia"/>
          <w:color w:val="000000" w:themeColor="text1"/>
          <w:szCs w:val="21"/>
        </w:rPr>
        <w:t>）银行同业拆借：指境内银行与境外银行（包括境内银行在境外的分支机构）间发生的短期资金融通行为。</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11</w:t>
      </w:r>
      <w:r w:rsidRPr="00CB4B9E">
        <w:rPr>
          <w:rFonts w:ascii="宋体" w:hAnsi="宋体" w:hint="eastAsia"/>
          <w:color w:val="000000" w:themeColor="text1"/>
          <w:szCs w:val="21"/>
        </w:rPr>
        <w:t>）其它贷款：不包括在以上贷款业务类别中的其它贷款。</w:t>
      </w:r>
    </w:p>
    <w:p w:rsidR="007C40BB" w:rsidRPr="009263D7" w:rsidRDefault="00CB4B9E" w:rsidP="007C40BB">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w:t>
      </w:r>
      <w:r w:rsidRPr="00CB4B9E">
        <w:rPr>
          <w:rFonts w:ascii="宋体" w:hAnsi="宋体"/>
          <w:color w:val="000000" w:themeColor="text1"/>
          <w:szCs w:val="21"/>
        </w:rPr>
        <w:t>12</w:t>
      </w:r>
      <w:r w:rsidRPr="00CB4B9E">
        <w:rPr>
          <w:rFonts w:ascii="宋体" w:hAnsi="宋体" w:hint="eastAsia"/>
          <w:color w:val="000000" w:themeColor="text1"/>
          <w:szCs w:val="21"/>
        </w:rPr>
        <w:t>）应收应付款：指没有纳入其它金融工具之列的应收和应付账款。包括税款、证券买卖、融券费用、黄金贷款费用、工资、股息和应计但未付的社会缴款，还包括这些项目的预缴款（预收款计入</w:t>
      </w:r>
      <w:r w:rsidRPr="00CB4B9E">
        <w:rPr>
          <w:rFonts w:ascii="宋体" w:hAnsi="宋体"/>
          <w:color w:val="000000" w:themeColor="text1"/>
          <w:szCs w:val="21"/>
        </w:rPr>
        <w:t>D08表，预付款计入D04表</w:t>
      </w:r>
      <w:r w:rsidRPr="00CB4B9E">
        <w:rPr>
          <w:rFonts w:ascii="宋体" w:hAnsi="宋体" w:hint="eastAsia"/>
          <w:color w:val="000000" w:themeColor="text1"/>
          <w:szCs w:val="21"/>
        </w:rPr>
        <w:t>）。其中，无对应现金作为交换的证券和黄金借贷所收取的费用不能被当成贷款利息处理，其应收应付及预收预付款应统计为其他应收与应付款。其他应收应付款实际为申报主体应向非居民收取或支付的、未纳入其他表格（</w:t>
      </w:r>
      <w:r w:rsidRPr="00CB4B9E">
        <w:rPr>
          <w:rFonts w:ascii="宋体" w:hAnsi="宋体"/>
          <w:color w:val="000000" w:themeColor="text1"/>
          <w:szCs w:val="21"/>
        </w:rPr>
        <w:t>A</w:t>
      </w:r>
      <w:r w:rsidRPr="00CB4B9E">
        <w:rPr>
          <w:rFonts w:ascii="宋体" w:hAnsi="宋体" w:hint="eastAsia"/>
          <w:color w:val="000000" w:themeColor="text1"/>
          <w:szCs w:val="21"/>
        </w:rPr>
        <w:t>、</w:t>
      </w:r>
      <w:r w:rsidRPr="00CB4B9E">
        <w:rPr>
          <w:rFonts w:ascii="宋体" w:hAnsi="宋体"/>
          <w:color w:val="000000" w:themeColor="text1"/>
          <w:szCs w:val="21"/>
        </w:rPr>
        <w:t>B</w:t>
      </w:r>
      <w:r w:rsidRPr="00CB4B9E">
        <w:rPr>
          <w:rFonts w:ascii="宋体" w:hAnsi="宋体" w:hint="eastAsia"/>
          <w:color w:val="000000" w:themeColor="text1"/>
          <w:szCs w:val="21"/>
        </w:rPr>
        <w:t>、</w:t>
      </w:r>
      <w:r w:rsidRPr="00CB4B9E">
        <w:rPr>
          <w:rFonts w:ascii="宋体" w:hAnsi="宋体"/>
          <w:color w:val="000000" w:themeColor="text1"/>
          <w:szCs w:val="21"/>
        </w:rPr>
        <w:t>C</w:t>
      </w:r>
      <w:r w:rsidRPr="00CB4B9E">
        <w:rPr>
          <w:rFonts w:ascii="宋体" w:hAnsi="宋体" w:hint="eastAsia"/>
          <w:color w:val="000000" w:themeColor="text1"/>
          <w:szCs w:val="21"/>
        </w:rPr>
        <w:t>、</w:t>
      </w:r>
      <w:r w:rsidRPr="00CB4B9E">
        <w:rPr>
          <w:rFonts w:ascii="宋体" w:hAnsi="宋体"/>
          <w:color w:val="000000" w:themeColor="text1"/>
          <w:szCs w:val="21"/>
        </w:rPr>
        <w:t>D</w:t>
      </w:r>
      <w:r w:rsidRPr="00CB4B9E">
        <w:rPr>
          <w:rFonts w:ascii="宋体" w:hAnsi="宋体" w:hint="eastAsia"/>
          <w:color w:val="000000" w:themeColor="text1"/>
          <w:szCs w:val="21"/>
        </w:rPr>
        <w:t>、</w:t>
      </w:r>
      <w:r w:rsidRPr="00CB4B9E">
        <w:rPr>
          <w:rFonts w:ascii="宋体" w:hAnsi="宋体"/>
          <w:color w:val="000000" w:themeColor="text1"/>
          <w:szCs w:val="21"/>
        </w:rPr>
        <w:t>F表</w:t>
      </w:r>
      <w:r w:rsidRPr="00CB4B9E">
        <w:rPr>
          <w:rFonts w:ascii="宋体" w:hAnsi="宋体" w:hint="eastAsia"/>
          <w:color w:val="000000" w:themeColor="text1"/>
          <w:szCs w:val="21"/>
        </w:rPr>
        <w:t>格）统计的，除应收应付利息外的所有款项合计。</w:t>
      </w:r>
    </w:p>
    <w:p w:rsidR="007C40BB" w:rsidRPr="009263D7" w:rsidRDefault="007C40BB" w:rsidP="007C40BB">
      <w:pPr>
        <w:spacing w:line="360" w:lineRule="auto"/>
        <w:ind w:firstLineChars="200" w:firstLine="420"/>
        <w:rPr>
          <w:color w:val="000000" w:themeColor="text1"/>
        </w:rPr>
      </w:pPr>
    </w:p>
    <w:p w:rsidR="009363A0" w:rsidRPr="009263D7" w:rsidRDefault="00CB4B9E" w:rsidP="009D7B7D">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（六）货物、服务、薪资及债务减免等其他各类往来</w:t>
      </w:r>
    </w:p>
    <w:p w:rsidR="000C5828" w:rsidRPr="009263D7" w:rsidRDefault="00CB4B9E" w:rsidP="00E23A7E">
      <w:pPr>
        <w:autoSpaceDE w:val="0"/>
        <w:autoSpaceDN w:val="0"/>
        <w:adjustRightInd w:val="0"/>
        <w:spacing w:line="360" w:lineRule="auto"/>
        <w:ind w:firstLineChars="200" w:firstLine="420"/>
        <w:jc w:val="left"/>
        <w:rPr>
          <w:rFonts w:ascii="宋体" w:hAnsi="宋体"/>
          <w:color w:val="000000" w:themeColor="text1"/>
          <w:szCs w:val="21"/>
        </w:rPr>
      </w:pPr>
      <w:bookmarkStart w:id="55" w:name="OLE_LINK3"/>
      <w:r w:rsidRPr="00CB4B9E">
        <w:rPr>
          <w:rFonts w:ascii="黑体" w:eastAsia="黑体" w:hAnsi="宋体"/>
          <w:color w:val="000000" w:themeColor="text1"/>
          <w:szCs w:val="21"/>
        </w:rPr>
        <w:t>1.</w:t>
      </w:r>
      <w:r w:rsidRPr="00CB4B9E">
        <w:rPr>
          <w:rFonts w:ascii="黑体" w:eastAsia="黑体" w:hAnsi="宋体" w:hint="eastAsia"/>
          <w:color w:val="000000" w:themeColor="text1"/>
          <w:szCs w:val="21"/>
        </w:rPr>
        <w:t>统计内容：</w:t>
      </w:r>
      <w:r w:rsidRPr="00CB4B9E">
        <w:rPr>
          <w:rFonts w:ascii="宋体" w:hAnsi="宋体" w:hint="eastAsia"/>
          <w:color w:val="000000" w:themeColor="text1"/>
          <w:szCs w:val="21"/>
        </w:rPr>
        <w:t>该表统计居民（填报机构）与非居民之间发生的非金融资产交易，包括货物买卖、服务收入</w:t>
      </w:r>
      <w:r w:rsidRPr="00CB4B9E">
        <w:rPr>
          <w:rFonts w:ascii="宋体" w:hAnsi="宋体"/>
          <w:color w:val="000000" w:themeColor="text1"/>
          <w:szCs w:val="21"/>
        </w:rPr>
        <w:t>/</w:t>
      </w:r>
      <w:r w:rsidRPr="00CB4B9E">
        <w:rPr>
          <w:rFonts w:ascii="宋体" w:hAnsi="宋体" w:hint="eastAsia"/>
          <w:color w:val="000000" w:themeColor="text1"/>
          <w:szCs w:val="21"/>
        </w:rPr>
        <w:t>支出、雇员报酬（薪资）以及各类转移。</w:t>
      </w:r>
    </w:p>
    <w:p w:rsidR="008C59FE" w:rsidRPr="009263D7" w:rsidRDefault="00CB4B9E" w:rsidP="008C59FE">
      <w:pPr>
        <w:autoSpaceDE w:val="0"/>
        <w:autoSpaceDN w:val="0"/>
        <w:adjustRightInd w:val="0"/>
        <w:spacing w:line="360" w:lineRule="auto"/>
        <w:jc w:val="left"/>
        <w:rPr>
          <w:rFonts w:ascii="宋体" w:hAnsi="宋体"/>
          <w:color w:val="000000" w:themeColor="text1"/>
          <w:szCs w:val="21"/>
        </w:rPr>
      </w:pPr>
      <w:r w:rsidRPr="00CB4B9E">
        <w:rPr>
          <w:rFonts w:ascii="宋体" w:hAnsi="宋体"/>
          <w:color w:val="000000" w:themeColor="text1"/>
          <w:szCs w:val="21"/>
        </w:rPr>
        <w:t xml:space="preserve">       </w:t>
      </w:r>
    </w:p>
    <w:p w:rsidR="008C59FE" w:rsidRPr="009263D7" w:rsidRDefault="00CB4B9E" w:rsidP="008C59FE">
      <w:pPr>
        <w:autoSpaceDE w:val="0"/>
        <w:autoSpaceDN w:val="0"/>
        <w:adjustRightInd w:val="0"/>
        <w:spacing w:line="360" w:lineRule="auto"/>
        <w:jc w:val="left"/>
        <w:rPr>
          <w:rFonts w:ascii="宋体" w:hAnsi="宋体"/>
          <w:color w:val="000000" w:themeColor="text1"/>
          <w:szCs w:val="21"/>
        </w:rPr>
      </w:pPr>
      <w:r w:rsidRPr="00CB4B9E">
        <w:rPr>
          <w:rFonts w:ascii="宋体" w:hAnsi="宋体" w:hint="eastAsia"/>
          <w:color w:val="000000" w:themeColor="text1"/>
          <w:szCs w:val="21"/>
        </w:rPr>
        <w:t>货物统计内容：</w:t>
      </w:r>
    </w:p>
    <w:tbl>
      <w:tblPr>
        <w:tblW w:w="9509" w:type="dxa"/>
        <w:tblInd w:w="97" w:type="dxa"/>
        <w:tblLayout w:type="fixed"/>
        <w:tblLook w:val="04A0"/>
      </w:tblPr>
      <w:tblGrid>
        <w:gridCol w:w="4754"/>
        <w:gridCol w:w="4755"/>
      </w:tblGrid>
      <w:tr w:rsidR="008C59FE" w:rsidRPr="009263D7">
        <w:trPr>
          <w:trHeight w:val="285"/>
        </w:trPr>
        <w:tc>
          <w:tcPr>
            <w:tcW w:w="4754" w:type="dxa"/>
            <w:tcBorders>
              <w:top w:val="single" w:sz="8" w:space="0" w:color="auto"/>
              <w:left w:val="nil"/>
              <w:bottom w:val="single" w:sz="4" w:space="0" w:color="auto"/>
              <w:right w:val="single" w:sz="4" w:space="0" w:color="auto"/>
            </w:tcBorders>
            <w:shd w:val="clear" w:color="auto" w:fill="auto"/>
            <w:noWrap/>
            <w:vAlign w:val="center"/>
          </w:tcPr>
          <w:p w:rsidR="008C59FE" w:rsidRPr="009263D7" w:rsidRDefault="00CB4B9E" w:rsidP="00B75491">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项目</w:t>
            </w:r>
          </w:p>
        </w:tc>
        <w:tc>
          <w:tcPr>
            <w:tcW w:w="4755" w:type="dxa"/>
            <w:tcBorders>
              <w:top w:val="single" w:sz="8" w:space="0" w:color="auto"/>
              <w:left w:val="nil"/>
              <w:bottom w:val="single" w:sz="4" w:space="0" w:color="auto"/>
              <w:right w:val="nil"/>
            </w:tcBorders>
            <w:shd w:val="clear" w:color="auto" w:fill="auto"/>
            <w:noWrap/>
            <w:vAlign w:val="center"/>
          </w:tcPr>
          <w:p w:rsidR="008C59FE" w:rsidRPr="009263D7" w:rsidRDefault="00CB4B9E" w:rsidP="00B75491">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说明</w:t>
            </w:r>
          </w:p>
        </w:tc>
      </w:tr>
      <w:tr w:rsidR="008C59FE" w:rsidRPr="009263D7">
        <w:trPr>
          <w:trHeight w:val="285"/>
        </w:trPr>
        <w:tc>
          <w:tcPr>
            <w:tcW w:w="4754" w:type="dxa"/>
            <w:tcBorders>
              <w:top w:val="nil"/>
              <w:left w:val="nil"/>
              <w:bottom w:val="single" w:sz="4" w:space="0" w:color="auto"/>
              <w:right w:val="single" w:sz="4" w:space="0" w:color="auto"/>
            </w:tcBorders>
            <w:shd w:val="clear" w:color="auto" w:fill="auto"/>
            <w:vAlign w:val="center"/>
          </w:tcPr>
          <w:p w:rsidR="008C59FE"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1.货物</w:t>
            </w:r>
          </w:p>
        </w:tc>
        <w:tc>
          <w:tcPr>
            <w:tcW w:w="4755" w:type="dxa"/>
            <w:tcBorders>
              <w:top w:val="nil"/>
              <w:left w:val="nil"/>
              <w:bottom w:val="single" w:sz="4" w:space="0" w:color="auto"/>
              <w:right w:val="nil"/>
            </w:tcBorders>
            <w:shd w:val="clear" w:color="auto" w:fill="auto"/>
            <w:vAlign w:val="center"/>
          </w:tcPr>
          <w:p w:rsidR="008C59FE" w:rsidRPr="009263D7" w:rsidRDefault="00CB4B9E" w:rsidP="00AD3CFA">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指一般商品的进出口、非货币黄金以及转手买卖所涉及的货物。</w:t>
            </w:r>
          </w:p>
        </w:tc>
      </w:tr>
      <w:tr w:rsidR="008C59FE" w:rsidRPr="009263D7">
        <w:trPr>
          <w:trHeight w:val="720"/>
        </w:trPr>
        <w:tc>
          <w:tcPr>
            <w:tcW w:w="4754" w:type="dxa"/>
            <w:tcBorders>
              <w:top w:val="nil"/>
              <w:left w:val="nil"/>
              <w:bottom w:val="single" w:sz="4" w:space="0" w:color="auto"/>
              <w:right w:val="single" w:sz="4" w:space="0" w:color="auto"/>
            </w:tcBorders>
            <w:shd w:val="clear" w:color="auto" w:fill="auto"/>
            <w:vAlign w:val="center"/>
          </w:tcPr>
          <w:p w:rsidR="008C59FE"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1）（其中项）非货币黄金</w:t>
            </w:r>
          </w:p>
        </w:tc>
        <w:tc>
          <w:tcPr>
            <w:tcW w:w="4755" w:type="dxa"/>
            <w:tcBorders>
              <w:top w:val="nil"/>
              <w:left w:val="nil"/>
              <w:bottom w:val="single" w:sz="4" w:space="0" w:color="auto"/>
              <w:right w:val="nil"/>
            </w:tcBorders>
            <w:shd w:val="clear" w:color="auto" w:fill="auto"/>
            <w:vAlign w:val="center"/>
          </w:tcPr>
          <w:p w:rsidR="008F069D"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非货币黄金指以海关各种贸易方式进口的，但不作为中央银行储备资产的所有黄金。</w:t>
            </w:r>
          </w:p>
          <w:p w:rsidR="008F069D"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包括：</w:t>
            </w:r>
          </w:p>
          <w:p w:rsidR="008C59FE"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w:t>
            </w:r>
            <w:r w:rsidRPr="00CB4B9E">
              <w:rPr>
                <w:rFonts w:ascii="宋体" w:hAnsi="宋体" w:cs="宋体" w:hint="eastAsia"/>
                <w:color w:val="000000" w:themeColor="text1"/>
                <w:kern w:val="0"/>
                <w:sz w:val="18"/>
                <w:szCs w:val="18"/>
              </w:rPr>
              <w:t>作为储藏手段的黄金和其他用途（工业用）黄金，可以</w:t>
            </w:r>
            <w:r w:rsidRPr="00CB4B9E">
              <w:rPr>
                <w:rFonts w:ascii="宋体" w:hAnsi="宋体" w:cs="宋体" w:hint="eastAsia"/>
                <w:color w:val="000000" w:themeColor="text1"/>
                <w:kern w:val="0"/>
                <w:sz w:val="18"/>
                <w:szCs w:val="18"/>
              </w:rPr>
              <w:lastRenderedPageBreak/>
              <w:t>是金条、金块、金粉以及其他未加工或半加工的黄金。</w:t>
            </w:r>
          </w:p>
          <w:p w:rsidR="008C59FE"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不包括：</w:t>
            </w:r>
          </w:p>
          <w:p w:rsidR="008C59FE"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--含有黄金的珠宝不属于非货币黄金，而是属于</w:t>
            </w:r>
            <w:r w:rsidRPr="00CB4B9E">
              <w:rPr>
                <w:rFonts w:ascii="宋体" w:hAnsi="宋体" w:cs="宋体" w:hint="eastAsia"/>
                <w:color w:val="000000" w:themeColor="text1"/>
                <w:kern w:val="0"/>
                <w:sz w:val="18"/>
                <w:szCs w:val="18"/>
              </w:rPr>
              <w:t>一般商品。</w:t>
            </w:r>
          </w:p>
          <w:p w:rsidR="008C59FE" w:rsidRPr="009263D7" w:rsidRDefault="00CB4B9E" w:rsidP="00AD3CFA">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--列入国家储备的黄金资产，</w:t>
            </w:r>
            <w:r w:rsidRPr="00CB4B9E">
              <w:rPr>
                <w:rFonts w:ascii="宋体" w:hAnsi="宋体" w:cs="宋体" w:hint="eastAsia"/>
                <w:color w:val="000000" w:themeColor="text1"/>
                <w:kern w:val="0"/>
                <w:sz w:val="18"/>
                <w:szCs w:val="18"/>
              </w:rPr>
              <w:t>由中央银行持有。</w:t>
            </w:r>
          </w:p>
        </w:tc>
      </w:tr>
    </w:tbl>
    <w:p w:rsidR="008C59FE" w:rsidRPr="009263D7" w:rsidRDefault="008C59FE" w:rsidP="008C59FE">
      <w:pPr>
        <w:autoSpaceDE w:val="0"/>
        <w:autoSpaceDN w:val="0"/>
        <w:adjustRightInd w:val="0"/>
        <w:jc w:val="left"/>
        <w:rPr>
          <w:rFonts w:ascii="宋体" w:hAnsi="宋体"/>
          <w:color w:val="000000" w:themeColor="text1"/>
          <w:szCs w:val="21"/>
        </w:rPr>
      </w:pPr>
    </w:p>
    <w:p w:rsidR="008C59FE" w:rsidRPr="009263D7" w:rsidRDefault="00CB4B9E" w:rsidP="008C59FE">
      <w:pPr>
        <w:autoSpaceDE w:val="0"/>
        <w:autoSpaceDN w:val="0"/>
        <w:adjustRightInd w:val="0"/>
        <w:jc w:val="left"/>
        <w:rPr>
          <w:color w:val="000000" w:themeColor="text1"/>
        </w:rPr>
      </w:pPr>
      <w:r w:rsidRPr="00CB4B9E">
        <w:rPr>
          <w:rFonts w:ascii="宋体" w:hAnsi="宋体" w:hint="eastAsia"/>
          <w:color w:val="000000" w:themeColor="text1"/>
          <w:szCs w:val="21"/>
        </w:rPr>
        <w:t>服务</w:t>
      </w:r>
      <w:r w:rsidRPr="00CB4B9E">
        <w:rPr>
          <w:rFonts w:hint="eastAsia"/>
          <w:color w:val="000000" w:themeColor="text1"/>
        </w:rPr>
        <w:t>统计内容：</w:t>
      </w:r>
      <w:r w:rsidRPr="00CB4B9E">
        <w:rPr>
          <w:color w:val="000000" w:themeColor="text1"/>
        </w:rPr>
        <w:t xml:space="preserve"> </w:t>
      </w:r>
    </w:p>
    <w:tbl>
      <w:tblPr>
        <w:tblW w:w="9532" w:type="dxa"/>
        <w:tblInd w:w="97" w:type="dxa"/>
        <w:tblLayout w:type="fixed"/>
        <w:tblLook w:val="04A0"/>
      </w:tblPr>
      <w:tblGrid>
        <w:gridCol w:w="4766"/>
        <w:gridCol w:w="4766"/>
      </w:tblGrid>
      <w:tr w:rsidR="008C59FE" w:rsidRPr="009263D7">
        <w:trPr>
          <w:trHeight w:val="285"/>
        </w:trPr>
        <w:tc>
          <w:tcPr>
            <w:tcW w:w="4766" w:type="dxa"/>
            <w:tcBorders>
              <w:top w:val="single" w:sz="8" w:space="0" w:color="auto"/>
              <w:left w:val="nil"/>
              <w:bottom w:val="single" w:sz="4" w:space="0" w:color="auto"/>
              <w:right w:val="single" w:sz="4" w:space="0" w:color="auto"/>
            </w:tcBorders>
            <w:shd w:val="clear" w:color="auto" w:fill="auto"/>
            <w:noWrap/>
            <w:vAlign w:val="center"/>
          </w:tcPr>
          <w:p w:rsidR="008C59FE" w:rsidRPr="009263D7" w:rsidRDefault="00CB4B9E" w:rsidP="00B75491">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项</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目</w:t>
            </w:r>
          </w:p>
        </w:tc>
        <w:tc>
          <w:tcPr>
            <w:tcW w:w="4766" w:type="dxa"/>
            <w:tcBorders>
              <w:top w:val="single" w:sz="8" w:space="0" w:color="auto"/>
              <w:left w:val="nil"/>
              <w:bottom w:val="single" w:sz="4" w:space="0" w:color="auto"/>
              <w:right w:val="nil"/>
            </w:tcBorders>
            <w:shd w:val="clear" w:color="auto" w:fill="auto"/>
            <w:noWrap/>
            <w:vAlign w:val="center"/>
          </w:tcPr>
          <w:p w:rsidR="008C59FE" w:rsidRPr="009263D7" w:rsidRDefault="00CB4B9E" w:rsidP="00B75491">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含义</w:t>
            </w:r>
          </w:p>
        </w:tc>
      </w:tr>
      <w:tr w:rsidR="008C59FE" w:rsidRPr="009263D7">
        <w:trPr>
          <w:trHeight w:val="285"/>
        </w:trPr>
        <w:tc>
          <w:tcPr>
            <w:tcW w:w="4766" w:type="dxa"/>
            <w:tcBorders>
              <w:top w:val="nil"/>
              <w:left w:val="nil"/>
              <w:bottom w:val="single" w:sz="4" w:space="0" w:color="auto"/>
              <w:right w:val="single" w:sz="4" w:space="0" w:color="auto"/>
            </w:tcBorders>
            <w:shd w:val="clear" w:color="auto" w:fill="auto"/>
            <w:vAlign w:val="center"/>
          </w:tcPr>
          <w:p w:rsidR="008C59FE"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1.服务</w:t>
            </w:r>
          </w:p>
        </w:tc>
        <w:tc>
          <w:tcPr>
            <w:tcW w:w="4766" w:type="dxa"/>
            <w:tcBorders>
              <w:top w:val="nil"/>
              <w:left w:val="nil"/>
              <w:bottom w:val="single" w:sz="4" w:space="0" w:color="auto"/>
              <w:right w:val="nil"/>
            </w:tcBorders>
            <w:shd w:val="clear" w:color="auto" w:fill="auto"/>
            <w:vAlign w:val="center"/>
          </w:tcPr>
          <w:p w:rsidR="008C59FE" w:rsidRPr="009263D7" w:rsidRDefault="00CB4B9E" w:rsidP="00EC70D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服务包括加工服务、别处未涵盖的维护和维修服务、运输、公务及商务旅行、建设、保险和养老金服务、金融服务、知识产权使用费、电信计算机和信息服务、研究和开发、专业和管理咨询、远程教育医疗和培训、签证费等政府服务、技术服务等其他商业服务。</w:t>
            </w:r>
          </w:p>
        </w:tc>
      </w:tr>
      <w:tr w:rsidR="00105792" w:rsidRPr="009263D7">
        <w:trPr>
          <w:trHeight w:val="285"/>
        </w:trPr>
        <w:tc>
          <w:tcPr>
            <w:tcW w:w="4766" w:type="dxa"/>
            <w:tcBorders>
              <w:top w:val="nil"/>
              <w:left w:val="nil"/>
              <w:bottom w:val="single" w:sz="4" w:space="0" w:color="auto"/>
              <w:right w:val="single" w:sz="4" w:space="0" w:color="auto"/>
            </w:tcBorders>
            <w:shd w:val="clear" w:color="auto" w:fill="auto"/>
            <w:vAlign w:val="center"/>
          </w:tcPr>
          <w:p w:rsidR="00105792" w:rsidRPr="009263D7" w:rsidRDefault="00CB4B9E" w:rsidP="00F061B5">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加工服务</w:t>
            </w:r>
          </w:p>
        </w:tc>
        <w:tc>
          <w:tcPr>
            <w:tcW w:w="4766" w:type="dxa"/>
            <w:tcBorders>
              <w:top w:val="nil"/>
              <w:left w:val="nil"/>
              <w:bottom w:val="single" w:sz="4" w:space="0" w:color="auto"/>
              <w:right w:val="nil"/>
            </w:tcBorders>
            <w:shd w:val="clear" w:color="auto" w:fill="auto"/>
            <w:vAlign w:val="center"/>
          </w:tcPr>
          <w:p w:rsidR="00105792" w:rsidRPr="009263D7" w:rsidRDefault="00CB4B9E" w:rsidP="000F508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对他人拥有的实物投入的制造服务（加工服务），包括由不拥有相关货物的企业承担的加工、装配、贴标签和包装等服务。不拥有货物的实体提供该服务，获得的是相关服务费用收入。常见的加工服务包括炼油、天然气液化、服装和电子装配、安装服务（但建筑预制件的安装纳入“建设”统计）、贴标签和包装（但不包括用于运输的包装，用于运输的包装纳入“运输”统计）。</w:t>
            </w:r>
          </w:p>
        </w:tc>
      </w:tr>
      <w:tr w:rsidR="00105792" w:rsidRPr="009263D7">
        <w:trPr>
          <w:trHeight w:val="285"/>
        </w:trPr>
        <w:tc>
          <w:tcPr>
            <w:tcW w:w="4766" w:type="dxa"/>
            <w:tcBorders>
              <w:top w:val="nil"/>
              <w:left w:val="nil"/>
              <w:bottom w:val="single" w:sz="4" w:space="0" w:color="auto"/>
              <w:right w:val="single" w:sz="4" w:space="0" w:color="auto"/>
            </w:tcBorders>
            <w:shd w:val="clear" w:color="auto" w:fill="auto"/>
            <w:vAlign w:val="center"/>
          </w:tcPr>
          <w:p w:rsidR="00105792" w:rsidRPr="009263D7" w:rsidRDefault="00CB4B9E" w:rsidP="00F061B5">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2）别处未涵盖的维护和维修服务</w:t>
            </w:r>
          </w:p>
        </w:tc>
        <w:tc>
          <w:tcPr>
            <w:tcW w:w="4766" w:type="dxa"/>
            <w:tcBorders>
              <w:top w:val="nil"/>
              <w:left w:val="nil"/>
              <w:bottom w:val="single" w:sz="4" w:space="0" w:color="auto"/>
              <w:right w:val="nil"/>
            </w:tcBorders>
            <w:shd w:val="clear" w:color="auto" w:fill="auto"/>
            <w:vAlign w:val="center"/>
          </w:tcPr>
          <w:p w:rsidR="00105792" w:rsidRPr="009263D7" w:rsidRDefault="00CB4B9E" w:rsidP="000F508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居民为非居民（反之亦然）所拥有的货物提供的维护和维修工作。对于船舶、飞机和其他运输设备的维护和维修计入本项统计。但运输设备清洁服务纳入“运输”统计。建筑工程维护和维修纳入“建设”统计。计算机的维护和维修纳入“电信、计算机和信息服务”统计。</w:t>
            </w:r>
          </w:p>
        </w:tc>
      </w:tr>
      <w:tr w:rsidR="00FD3BC2" w:rsidRPr="009263D7">
        <w:trPr>
          <w:trHeight w:val="285"/>
        </w:trPr>
        <w:tc>
          <w:tcPr>
            <w:tcW w:w="4766" w:type="dxa"/>
            <w:tcBorders>
              <w:top w:val="nil"/>
              <w:left w:val="nil"/>
              <w:bottom w:val="single" w:sz="4" w:space="0" w:color="auto"/>
              <w:right w:val="single" w:sz="4" w:space="0" w:color="auto"/>
            </w:tcBorders>
            <w:shd w:val="clear" w:color="auto" w:fill="auto"/>
            <w:vAlign w:val="center"/>
          </w:tcPr>
          <w:p w:rsidR="00FD3BC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3</w:t>
            </w:r>
            <w:r w:rsidRPr="00CB4B9E">
              <w:rPr>
                <w:rFonts w:ascii="宋体" w:hAnsi="宋体" w:cs="宋体" w:hint="eastAsia"/>
                <w:color w:val="000000" w:themeColor="text1"/>
                <w:kern w:val="0"/>
                <w:sz w:val="18"/>
                <w:szCs w:val="18"/>
              </w:rPr>
              <w:t>）运输</w:t>
            </w:r>
          </w:p>
        </w:tc>
        <w:tc>
          <w:tcPr>
            <w:tcW w:w="4766" w:type="dxa"/>
            <w:tcBorders>
              <w:top w:val="nil"/>
              <w:left w:val="nil"/>
              <w:bottom w:val="single" w:sz="4" w:space="0" w:color="auto"/>
              <w:right w:val="nil"/>
            </w:tcBorders>
            <w:shd w:val="clear" w:color="auto" w:fill="auto"/>
            <w:vAlign w:val="center"/>
          </w:tcPr>
          <w:p w:rsidR="00FD3BC2" w:rsidRPr="009263D7" w:rsidDel="00F061B5" w:rsidRDefault="00CB4B9E" w:rsidP="008352F6">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将人或物体从一地点运送至另一地点的过程，包括相关辅助和附属服务，以及邮政和邮递服务。其中，客运（如差旅中的机票）应为居民使用非居民承运人承运的国际运输以及在中国境内运输的花费。货运、邮政或邮递服务支出指居民使用非居民承运人、邮政或邮递公司提供的货物运输、信件、报纸、各类印刷品、邮包、包裹、快递和上门送货等各类服务的花费。但居民在境外使用非居民提供的运输或邮递、邮政服务应纳入商务旅行支出统计。</w:t>
            </w:r>
          </w:p>
        </w:tc>
      </w:tr>
      <w:tr w:rsidR="00FD3BC2" w:rsidRPr="009263D7">
        <w:trPr>
          <w:trHeight w:val="285"/>
        </w:trPr>
        <w:tc>
          <w:tcPr>
            <w:tcW w:w="4766" w:type="dxa"/>
            <w:tcBorders>
              <w:top w:val="nil"/>
              <w:left w:val="nil"/>
              <w:bottom w:val="single" w:sz="4" w:space="0" w:color="auto"/>
              <w:right w:val="single" w:sz="4" w:space="0" w:color="auto"/>
            </w:tcBorders>
            <w:shd w:val="clear" w:color="auto" w:fill="auto"/>
            <w:vAlign w:val="center"/>
          </w:tcPr>
          <w:p w:rsidR="00FD3BC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4</w:t>
            </w:r>
            <w:r w:rsidRPr="00CB4B9E">
              <w:rPr>
                <w:rFonts w:ascii="宋体" w:hAnsi="宋体" w:cs="宋体" w:hint="eastAsia"/>
                <w:color w:val="000000" w:themeColor="text1"/>
                <w:kern w:val="0"/>
                <w:sz w:val="18"/>
                <w:szCs w:val="18"/>
              </w:rPr>
              <w:t>）公务及商务旅行</w:t>
            </w:r>
          </w:p>
        </w:tc>
        <w:tc>
          <w:tcPr>
            <w:tcW w:w="4766" w:type="dxa"/>
            <w:tcBorders>
              <w:top w:val="nil"/>
              <w:left w:val="nil"/>
              <w:bottom w:val="single" w:sz="4" w:space="0" w:color="auto"/>
              <w:right w:val="nil"/>
            </w:tcBorders>
            <w:shd w:val="clear" w:color="auto" w:fill="auto"/>
            <w:vAlign w:val="center"/>
          </w:tcPr>
          <w:p w:rsidR="00FD3BC2" w:rsidRPr="009263D7" w:rsidDel="00F061B5" w:rsidRDefault="00CB4B9E" w:rsidP="008B34ED">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指为公务及商务目的旅行的个人，在旅行地的个人物品和服务的花费，如在旅行地的交通、餐饮、住宿等花费。但公务及商务旅行人员使用非居民承运的国际运输花费，应纳入运输项目统计。</w:t>
            </w:r>
          </w:p>
        </w:tc>
      </w:tr>
      <w:tr w:rsidR="00FD3BC2" w:rsidRPr="009263D7">
        <w:trPr>
          <w:trHeight w:val="285"/>
        </w:trPr>
        <w:tc>
          <w:tcPr>
            <w:tcW w:w="4766" w:type="dxa"/>
            <w:tcBorders>
              <w:top w:val="nil"/>
              <w:left w:val="nil"/>
              <w:bottom w:val="single" w:sz="4" w:space="0" w:color="auto"/>
              <w:right w:val="single" w:sz="4" w:space="0" w:color="auto"/>
            </w:tcBorders>
            <w:shd w:val="clear" w:color="auto" w:fill="auto"/>
            <w:vAlign w:val="center"/>
          </w:tcPr>
          <w:p w:rsidR="00FD3BC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5</w:t>
            </w:r>
            <w:r w:rsidRPr="00CB4B9E">
              <w:rPr>
                <w:rFonts w:ascii="宋体" w:hAnsi="宋体" w:cs="宋体" w:hint="eastAsia"/>
                <w:color w:val="000000" w:themeColor="text1"/>
                <w:kern w:val="0"/>
                <w:sz w:val="18"/>
                <w:szCs w:val="18"/>
              </w:rPr>
              <w:t>）建设</w:t>
            </w:r>
          </w:p>
        </w:tc>
        <w:tc>
          <w:tcPr>
            <w:tcW w:w="4766" w:type="dxa"/>
            <w:tcBorders>
              <w:top w:val="nil"/>
              <w:left w:val="nil"/>
              <w:bottom w:val="single" w:sz="4" w:space="0" w:color="auto"/>
              <w:right w:val="nil"/>
            </w:tcBorders>
            <w:shd w:val="clear" w:color="auto" w:fill="auto"/>
            <w:vAlign w:val="center"/>
          </w:tcPr>
          <w:p w:rsidR="00FD3BC2"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指在建设工程所在经济体未设立法人、分支机构及项目办公司情况下开展的建设活动。</w:t>
            </w:r>
          </w:p>
        </w:tc>
      </w:tr>
      <w:tr w:rsidR="00FD3BC2" w:rsidRPr="009263D7">
        <w:trPr>
          <w:trHeight w:val="285"/>
        </w:trPr>
        <w:tc>
          <w:tcPr>
            <w:tcW w:w="4766" w:type="dxa"/>
            <w:tcBorders>
              <w:top w:val="nil"/>
              <w:left w:val="nil"/>
              <w:bottom w:val="single" w:sz="4" w:space="0" w:color="auto"/>
              <w:right w:val="single" w:sz="4" w:space="0" w:color="auto"/>
            </w:tcBorders>
            <w:shd w:val="clear" w:color="auto" w:fill="auto"/>
            <w:vAlign w:val="center"/>
          </w:tcPr>
          <w:p w:rsidR="00FD3BC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6</w:t>
            </w:r>
            <w:r w:rsidRPr="00CB4B9E">
              <w:rPr>
                <w:rFonts w:ascii="宋体" w:hAnsi="宋体" w:cs="宋体" w:hint="eastAsia"/>
                <w:color w:val="000000" w:themeColor="text1"/>
                <w:kern w:val="0"/>
                <w:sz w:val="18"/>
                <w:szCs w:val="18"/>
              </w:rPr>
              <w:t>）保险和养老金服务</w:t>
            </w:r>
          </w:p>
        </w:tc>
        <w:tc>
          <w:tcPr>
            <w:tcW w:w="4766" w:type="dxa"/>
            <w:tcBorders>
              <w:top w:val="nil"/>
              <w:left w:val="nil"/>
              <w:bottom w:val="single" w:sz="4" w:space="0" w:color="auto"/>
              <w:right w:val="nil"/>
            </w:tcBorders>
            <w:shd w:val="clear" w:color="auto" w:fill="auto"/>
            <w:vAlign w:val="center"/>
          </w:tcPr>
          <w:p w:rsidR="00BF4936" w:rsidRDefault="00CB4B9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指人寿保险和年金、非人寿保险、再保险、标准化担保服务，以及保险、养老金计划和标准化担保计划的辅助服务所涉及的费用等。境内保险机构</w:t>
            </w:r>
            <w:r w:rsidR="00F81A9F">
              <w:rPr>
                <w:rFonts w:ascii="宋体" w:hAnsi="宋体" w:cs="宋体" w:hint="eastAsia"/>
                <w:color w:val="000000" w:themeColor="text1"/>
                <w:kern w:val="0"/>
                <w:sz w:val="18"/>
                <w:szCs w:val="18"/>
              </w:rPr>
              <w:t>向投保人</w:t>
            </w:r>
            <w:r w:rsidRPr="00CB4B9E">
              <w:rPr>
                <w:rFonts w:ascii="宋体" w:hAnsi="宋体" w:cs="宋体" w:hint="eastAsia"/>
                <w:color w:val="000000" w:themeColor="text1"/>
                <w:kern w:val="0"/>
                <w:sz w:val="18"/>
                <w:szCs w:val="18"/>
              </w:rPr>
              <w:t>收取的保费</w:t>
            </w:r>
            <w:r w:rsidR="00F81A9F">
              <w:rPr>
                <w:rFonts w:ascii="宋体" w:hAnsi="宋体" w:cs="宋体" w:hint="eastAsia"/>
                <w:color w:val="000000" w:themeColor="text1"/>
                <w:kern w:val="0"/>
                <w:sz w:val="18"/>
                <w:szCs w:val="18"/>
              </w:rPr>
              <w:t>和支付的赔偿</w:t>
            </w:r>
            <w:r w:rsidRPr="00CB4B9E">
              <w:rPr>
                <w:rFonts w:ascii="宋体" w:hAnsi="宋体" w:cs="宋体" w:hint="eastAsia"/>
                <w:color w:val="000000" w:themeColor="text1"/>
                <w:kern w:val="0"/>
                <w:sz w:val="18"/>
                <w:szCs w:val="18"/>
              </w:rPr>
              <w:t>等相关信息纳入</w:t>
            </w:r>
            <w:r w:rsidRPr="00CB4B9E">
              <w:rPr>
                <w:rFonts w:ascii="宋体" w:hAnsi="宋体" w:cs="宋体"/>
                <w:color w:val="000000" w:themeColor="text1"/>
                <w:kern w:val="0"/>
                <w:sz w:val="18"/>
                <w:szCs w:val="18"/>
              </w:rPr>
              <w:t>I表统计。</w:t>
            </w:r>
          </w:p>
        </w:tc>
      </w:tr>
      <w:tr w:rsidR="00FD3BC2" w:rsidRPr="009263D7">
        <w:trPr>
          <w:trHeight w:val="285"/>
        </w:trPr>
        <w:tc>
          <w:tcPr>
            <w:tcW w:w="4766" w:type="dxa"/>
            <w:tcBorders>
              <w:top w:val="nil"/>
              <w:left w:val="nil"/>
              <w:bottom w:val="single" w:sz="4" w:space="0" w:color="auto"/>
              <w:right w:val="single" w:sz="4" w:space="0" w:color="auto"/>
            </w:tcBorders>
            <w:shd w:val="clear" w:color="auto" w:fill="auto"/>
            <w:vAlign w:val="center"/>
          </w:tcPr>
          <w:p w:rsidR="00FD3BC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7</w:t>
            </w:r>
            <w:r w:rsidRPr="00CB4B9E">
              <w:rPr>
                <w:rFonts w:ascii="宋体" w:hAnsi="宋体" w:cs="宋体" w:hint="eastAsia"/>
                <w:color w:val="000000" w:themeColor="text1"/>
                <w:kern w:val="0"/>
                <w:sz w:val="18"/>
                <w:szCs w:val="18"/>
              </w:rPr>
              <w:t>）金融服务</w:t>
            </w:r>
          </w:p>
        </w:tc>
        <w:tc>
          <w:tcPr>
            <w:tcW w:w="4766" w:type="dxa"/>
            <w:tcBorders>
              <w:top w:val="nil"/>
              <w:left w:val="nil"/>
              <w:bottom w:val="single" w:sz="4" w:space="0" w:color="auto"/>
              <w:right w:val="nil"/>
            </w:tcBorders>
            <w:shd w:val="clear" w:color="auto" w:fill="auto"/>
            <w:vAlign w:val="center"/>
          </w:tcPr>
          <w:p w:rsidR="00FD3BC2"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金融机构提供</w:t>
            </w:r>
            <w:r w:rsidRPr="00CB4B9E">
              <w:rPr>
                <w:rFonts w:ascii="宋体" w:hAnsi="宋体" w:cs="宋体"/>
                <w:color w:val="000000" w:themeColor="text1"/>
                <w:kern w:val="0"/>
                <w:sz w:val="18"/>
                <w:szCs w:val="18"/>
              </w:rPr>
              <w:t>/接受金融中介和辅助服务而收取/支付的费用。中介和辅助服务包括与存贷款服务、信用证服务、信用卡服务、融资租赁服务、保理、承销、支付清算、境外</w:t>
            </w:r>
            <w:r w:rsidRPr="00CB4B9E">
              <w:rPr>
                <w:rFonts w:ascii="宋体" w:hAnsi="宋体" w:cs="宋体"/>
                <w:color w:val="000000" w:themeColor="text1"/>
                <w:kern w:val="0"/>
                <w:sz w:val="18"/>
                <w:szCs w:val="18"/>
              </w:rPr>
              <w:lastRenderedPageBreak/>
              <w:t>上市筹资费用等，还包括金融咨询服务、金融资产或金条托管、金融资产管理、合并与收购服务、信用评级服务、证券交易服务和信托服务等。</w:t>
            </w:r>
          </w:p>
          <w:p w:rsidR="00FD3BC2"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不包括：</w:t>
            </w:r>
          </w:p>
          <w:p w:rsidR="00FD3BC2"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--保险和养老金服务，涉及境内保险公司的保险和养老金服务收支的详见I表：涉外保险业务情况。</w:t>
            </w:r>
          </w:p>
          <w:p w:rsidR="00490E89" w:rsidRPr="009263D7" w:rsidRDefault="00CB4B9E" w:rsidP="00490E89">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--法律服务、会计服务、管理咨询、公共关系服务；广告、市场研究和民意调查服务。</w:t>
            </w:r>
          </w:p>
        </w:tc>
      </w:tr>
      <w:tr w:rsidR="00FD3BC2" w:rsidRPr="009263D7">
        <w:trPr>
          <w:trHeight w:val="720"/>
        </w:trPr>
        <w:tc>
          <w:tcPr>
            <w:tcW w:w="4766" w:type="dxa"/>
            <w:tcBorders>
              <w:top w:val="nil"/>
              <w:left w:val="nil"/>
              <w:bottom w:val="single" w:sz="4" w:space="0" w:color="auto"/>
              <w:right w:val="single" w:sz="4" w:space="0" w:color="auto"/>
            </w:tcBorders>
            <w:shd w:val="clear" w:color="auto" w:fill="auto"/>
            <w:vAlign w:val="center"/>
          </w:tcPr>
          <w:p w:rsidR="00FD3BC2" w:rsidRPr="009263D7" w:rsidDel="00FD3BC2"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w:t>
            </w:r>
            <w:r w:rsidRPr="00CB4B9E">
              <w:rPr>
                <w:rFonts w:ascii="宋体" w:hAnsi="宋体" w:cs="宋体"/>
                <w:color w:val="000000" w:themeColor="text1"/>
                <w:kern w:val="0"/>
                <w:sz w:val="18"/>
                <w:szCs w:val="18"/>
              </w:rPr>
              <w:t>8</w:t>
            </w:r>
            <w:r w:rsidRPr="00CB4B9E">
              <w:rPr>
                <w:rFonts w:ascii="宋体" w:hAnsi="宋体" w:cs="宋体" w:hint="eastAsia"/>
                <w:color w:val="000000" w:themeColor="text1"/>
                <w:kern w:val="0"/>
                <w:sz w:val="18"/>
                <w:szCs w:val="18"/>
              </w:rPr>
              <w:t>）知识产权使用费</w:t>
            </w:r>
          </w:p>
        </w:tc>
        <w:tc>
          <w:tcPr>
            <w:tcW w:w="4766" w:type="dxa"/>
            <w:tcBorders>
              <w:top w:val="nil"/>
              <w:left w:val="nil"/>
              <w:bottom w:val="single" w:sz="4" w:space="0" w:color="auto"/>
              <w:right w:val="nil"/>
            </w:tcBorders>
            <w:shd w:val="clear" w:color="auto" w:fill="auto"/>
            <w:vAlign w:val="center"/>
          </w:tcPr>
          <w:p w:rsidR="00FD3BC2" w:rsidRPr="009263D7" w:rsidDel="00F061B5" w:rsidRDefault="00CB4B9E" w:rsidP="00D74365">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使用非居民所有的知识产权而产生的费用，以及复制传播此类产品（如书本和手稿、计算机软件、电影和音像制品）所涉及的许可费。知识产权包括专利权、商标权、版权、特许权等。</w:t>
            </w:r>
          </w:p>
        </w:tc>
      </w:tr>
      <w:tr w:rsidR="00FD3BC2" w:rsidRPr="009263D7">
        <w:trPr>
          <w:trHeight w:val="720"/>
        </w:trPr>
        <w:tc>
          <w:tcPr>
            <w:tcW w:w="4766" w:type="dxa"/>
            <w:tcBorders>
              <w:top w:val="nil"/>
              <w:left w:val="nil"/>
              <w:bottom w:val="single" w:sz="4" w:space="0" w:color="auto"/>
              <w:right w:val="single" w:sz="4" w:space="0" w:color="auto"/>
            </w:tcBorders>
            <w:shd w:val="clear" w:color="auto" w:fill="auto"/>
            <w:vAlign w:val="center"/>
          </w:tcPr>
          <w:p w:rsidR="00FD3BC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9</w:t>
            </w:r>
            <w:r w:rsidRPr="00CB4B9E">
              <w:rPr>
                <w:rFonts w:ascii="宋体" w:hAnsi="宋体" w:cs="宋体" w:hint="eastAsia"/>
                <w:color w:val="000000" w:themeColor="text1"/>
                <w:kern w:val="0"/>
                <w:sz w:val="18"/>
                <w:szCs w:val="18"/>
              </w:rPr>
              <w:t>）电信、计算机和信息服务</w:t>
            </w:r>
          </w:p>
        </w:tc>
        <w:tc>
          <w:tcPr>
            <w:tcW w:w="4766" w:type="dxa"/>
            <w:tcBorders>
              <w:top w:val="nil"/>
              <w:left w:val="nil"/>
              <w:bottom w:val="single" w:sz="4" w:space="0" w:color="auto"/>
              <w:right w:val="nil"/>
            </w:tcBorders>
            <w:shd w:val="clear" w:color="auto" w:fill="auto"/>
            <w:vAlign w:val="center"/>
          </w:tcPr>
          <w:p w:rsidR="00FD3BC2" w:rsidRPr="009263D7" w:rsidDel="00F061B5" w:rsidRDefault="00CB4B9E" w:rsidP="00AC2617">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信服务包括通过电话、电传、电报、无线广播、电视线缆、卫星电视、电子邮件、传真等形式广播或传播视音频信息。计算机服务包括与计算机有关的硬件和软件相关服务、数据处理服务。信息服务包括数据库服务、网页搜索服务、非批量定购报纸、期刊、书籍和电子出版物等。</w:t>
            </w:r>
          </w:p>
        </w:tc>
      </w:tr>
      <w:tr w:rsidR="00FD3BC2" w:rsidRPr="009263D7">
        <w:trPr>
          <w:trHeight w:val="720"/>
        </w:trPr>
        <w:tc>
          <w:tcPr>
            <w:tcW w:w="4766" w:type="dxa"/>
            <w:tcBorders>
              <w:top w:val="nil"/>
              <w:left w:val="nil"/>
              <w:bottom w:val="single" w:sz="4" w:space="0" w:color="auto"/>
              <w:right w:val="single" w:sz="4" w:space="0" w:color="auto"/>
            </w:tcBorders>
            <w:shd w:val="clear" w:color="auto" w:fill="auto"/>
            <w:vAlign w:val="center"/>
          </w:tcPr>
          <w:p w:rsidR="00FD3BC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10</w:t>
            </w:r>
            <w:r w:rsidRPr="00CB4B9E">
              <w:rPr>
                <w:rFonts w:ascii="宋体" w:hAnsi="宋体" w:cs="宋体" w:hint="eastAsia"/>
                <w:color w:val="000000" w:themeColor="text1"/>
                <w:kern w:val="0"/>
                <w:sz w:val="18"/>
                <w:szCs w:val="18"/>
              </w:rPr>
              <w:t>）研究和开发服务</w:t>
            </w:r>
          </w:p>
        </w:tc>
        <w:tc>
          <w:tcPr>
            <w:tcW w:w="4766" w:type="dxa"/>
            <w:tcBorders>
              <w:top w:val="nil"/>
              <w:left w:val="nil"/>
              <w:bottom w:val="single" w:sz="4" w:space="0" w:color="auto"/>
              <w:right w:val="nil"/>
            </w:tcBorders>
            <w:shd w:val="clear" w:color="auto" w:fill="auto"/>
            <w:vAlign w:val="center"/>
          </w:tcPr>
          <w:p w:rsidR="00FD3BC2" w:rsidRPr="009263D7" w:rsidDel="00F061B5" w:rsidRDefault="00CB4B9E" w:rsidP="00AC2617">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与基础研究、应用研究以及与新产品和流程的实验性开发相关的服务。包括定制和非定制的研发服务；转让研发成果所有权，如相关专利、版权、工业生产和设计等。但技术研究和咨询应纳入“技术服务相关其他商业服务”统计；计算机软件专利权销售以及复制或分销许可费，应纳入“电信、计算机和信息服务”等项目统计。</w:t>
            </w:r>
          </w:p>
        </w:tc>
      </w:tr>
      <w:tr w:rsidR="00FD3BC2" w:rsidRPr="009263D7">
        <w:trPr>
          <w:trHeight w:val="720"/>
        </w:trPr>
        <w:tc>
          <w:tcPr>
            <w:tcW w:w="4766" w:type="dxa"/>
            <w:tcBorders>
              <w:top w:val="nil"/>
              <w:left w:val="nil"/>
              <w:bottom w:val="single" w:sz="4" w:space="0" w:color="auto"/>
              <w:right w:val="single" w:sz="4" w:space="0" w:color="auto"/>
            </w:tcBorders>
            <w:shd w:val="clear" w:color="auto" w:fill="auto"/>
            <w:vAlign w:val="center"/>
          </w:tcPr>
          <w:p w:rsidR="00FD3BC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11</w:t>
            </w:r>
            <w:r w:rsidRPr="00CB4B9E">
              <w:rPr>
                <w:rFonts w:ascii="宋体" w:hAnsi="宋体" w:cs="宋体" w:hint="eastAsia"/>
                <w:color w:val="000000" w:themeColor="text1"/>
                <w:kern w:val="0"/>
                <w:sz w:val="18"/>
                <w:szCs w:val="18"/>
              </w:rPr>
              <w:t>）专业和管理咨询服务</w:t>
            </w:r>
          </w:p>
        </w:tc>
        <w:tc>
          <w:tcPr>
            <w:tcW w:w="4766" w:type="dxa"/>
            <w:tcBorders>
              <w:top w:val="nil"/>
              <w:left w:val="nil"/>
              <w:bottom w:val="single" w:sz="4" w:space="0" w:color="auto"/>
              <w:right w:val="nil"/>
            </w:tcBorders>
            <w:shd w:val="clear" w:color="auto" w:fill="auto"/>
            <w:vAlign w:val="center"/>
          </w:tcPr>
          <w:p w:rsidR="00FD3BC2" w:rsidRPr="009263D7" w:rsidDel="00F061B5" w:rsidRDefault="00CB4B9E" w:rsidP="00D74365">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指法律服务、会计服务、管理咨询、公共关系服务；广告、市场研究和民意调查服务。</w:t>
            </w:r>
          </w:p>
        </w:tc>
      </w:tr>
      <w:tr w:rsidR="00E1723A" w:rsidRPr="009263D7">
        <w:trPr>
          <w:trHeight w:val="720"/>
        </w:trPr>
        <w:tc>
          <w:tcPr>
            <w:tcW w:w="4766" w:type="dxa"/>
            <w:tcBorders>
              <w:top w:val="nil"/>
              <w:left w:val="nil"/>
              <w:bottom w:val="single" w:sz="4" w:space="0" w:color="auto"/>
              <w:right w:val="single" w:sz="4" w:space="0" w:color="auto"/>
            </w:tcBorders>
            <w:shd w:val="clear" w:color="auto" w:fill="auto"/>
            <w:vAlign w:val="center"/>
          </w:tcPr>
          <w:p w:rsidR="00E1723A" w:rsidRPr="009263D7" w:rsidRDefault="00CB4B9E" w:rsidP="00B97F88">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12</w:t>
            </w:r>
            <w:r w:rsidRPr="00CB4B9E">
              <w:rPr>
                <w:rFonts w:ascii="宋体" w:hAnsi="宋体" w:cs="宋体" w:hint="eastAsia"/>
                <w:color w:val="000000" w:themeColor="text1"/>
                <w:kern w:val="0"/>
                <w:sz w:val="18"/>
                <w:szCs w:val="18"/>
              </w:rPr>
              <w:t>）远程教育、医疗和培训</w:t>
            </w:r>
          </w:p>
        </w:tc>
        <w:tc>
          <w:tcPr>
            <w:tcW w:w="4766" w:type="dxa"/>
            <w:tcBorders>
              <w:top w:val="nil"/>
              <w:left w:val="nil"/>
              <w:bottom w:val="single" w:sz="4" w:space="0" w:color="auto"/>
              <w:right w:val="nil"/>
            </w:tcBorders>
            <w:shd w:val="clear" w:color="auto" w:fill="auto"/>
            <w:vAlign w:val="center"/>
          </w:tcPr>
          <w:p w:rsidR="00E1723A" w:rsidRPr="009263D7" w:rsidRDefault="00CB4B9E" w:rsidP="0057477F">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居民在本经济体内接受非居民提供的教育、医疗和培训服务。包括在境内接受非居民提供（包括远程提供）的教育、医疗和培训服务，以及本机构直接在境外或从境内远程向非居民提供的教育、医疗和培训服务。</w:t>
            </w:r>
          </w:p>
        </w:tc>
      </w:tr>
      <w:tr w:rsidR="0003147F" w:rsidRPr="009263D7">
        <w:trPr>
          <w:trHeight w:val="720"/>
        </w:trPr>
        <w:tc>
          <w:tcPr>
            <w:tcW w:w="4766" w:type="dxa"/>
            <w:tcBorders>
              <w:top w:val="nil"/>
              <w:left w:val="nil"/>
              <w:bottom w:val="single" w:sz="4" w:space="0" w:color="auto"/>
              <w:right w:val="single" w:sz="4" w:space="0" w:color="auto"/>
            </w:tcBorders>
            <w:shd w:val="clear" w:color="auto" w:fill="auto"/>
            <w:vAlign w:val="center"/>
          </w:tcPr>
          <w:p w:rsidR="0003147F"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13）</w:t>
            </w:r>
            <w:r w:rsidRPr="00CB4B9E">
              <w:rPr>
                <w:rFonts w:ascii="宋体" w:hAnsi="宋体" w:cs="宋体" w:hint="eastAsia"/>
                <w:color w:val="000000" w:themeColor="text1"/>
                <w:kern w:val="0"/>
                <w:sz w:val="18"/>
                <w:szCs w:val="18"/>
              </w:rPr>
              <w:t>签证费等政府服务</w:t>
            </w:r>
          </w:p>
        </w:tc>
        <w:tc>
          <w:tcPr>
            <w:tcW w:w="4766" w:type="dxa"/>
            <w:tcBorders>
              <w:top w:val="nil"/>
              <w:left w:val="nil"/>
              <w:bottom w:val="single" w:sz="4" w:space="0" w:color="auto"/>
              <w:right w:val="nil"/>
            </w:tcBorders>
            <w:shd w:val="clear" w:color="auto" w:fill="auto"/>
            <w:vAlign w:val="center"/>
          </w:tcPr>
          <w:p w:rsidR="0003147F" w:rsidRPr="009263D7" w:rsidDel="00F061B5" w:rsidRDefault="00CB4B9E" w:rsidP="008607C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指居民因使用非居民政府服务而支付的签证费等支出。</w:t>
            </w:r>
          </w:p>
        </w:tc>
      </w:tr>
      <w:tr w:rsidR="00105792" w:rsidRPr="009263D7">
        <w:trPr>
          <w:trHeight w:val="720"/>
        </w:trPr>
        <w:tc>
          <w:tcPr>
            <w:tcW w:w="4766" w:type="dxa"/>
            <w:tcBorders>
              <w:top w:val="nil"/>
              <w:left w:val="nil"/>
              <w:bottom w:val="single" w:sz="4" w:space="0" w:color="auto"/>
              <w:right w:val="single" w:sz="4" w:space="0" w:color="auto"/>
            </w:tcBorders>
            <w:shd w:val="clear" w:color="auto" w:fill="auto"/>
            <w:vAlign w:val="center"/>
          </w:tcPr>
          <w:p w:rsidR="00105792" w:rsidRPr="009263D7" w:rsidRDefault="00CB4B9E" w:rsidP="00105792">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14）技术服务等其他商业服务</w:t>
            </w:r>
          </w:p>
        </w:tc>
        <w:tc>
          <w:tcPr>
            <w:tcW w:w="4766" w:type="dxa"/>
            <w:tcBorders>
              <w:top w:val="nil"/>
              <w:left w:val="nil"/>
              <w:bottom w:val="single" w:sz="4" w:space="0" w:color="auto"/>
              <w:right w:val="nil"/>
            </w:tcBorders>
            <w:shd w:val="clear" w:color="auto" w:fill="auto"/>
            <w:vAlign w:val="center"/>
          </w:tcPr>
          <w:p w:rsidR="00105792" w:rsidRPr="009263D7" w:rsidRDefault="00CB4B9E" w:rsidP="008607CB">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建筑（建筑设计、装潢设计服务）、工程（机械设计、机械研制和使用等）、经营租赁、货物或服务交易佣金服务。但金融工具的经纪费应纳入“金融服务”统计；运输代理佣金等应纳入“运输”统计；保险佣金应纳入“保险和养老金服务”统计。</w:t>
            </w:r>
          </w:p>
        </w:tc>
      </w:tr>
      <w:tr w:rsidR="00105792" w:rsidRPr="009263D7">
        <w:trPr>
          <w:trHeight w:val="285"/>
        </w:trPr>
        <w:tc>
          <w:tcPr>
            <w:tcW w:w="9532" w:type="dxa"/>
            <w:gridSpan w:val="2"/>
            <w:tcBorders>
              <w:top w:val="single" w:sz="8" w:space="0" w:color="auto"/>
              <w:left w:val="nil"/>
              <w:bottom w:val="nil"/>
              <w:right w:val="nil"/>
            </w:tcBorders>
            <w:shd w:val="clear" w:color="auto" w:fill="auto"/>
            <w:vAlign w:val="center"/>
          </w:tcPr>
          <w:p w:rsidR="00105792" w:rsidRPr="009263D7" w:rsidRDefault="00CB4B9E" w:rsidP="00B7549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 </w:t>
            </w:r>
          </w:p>
          <w:p w:rsidR="00105792" w:rsidRPr="009263D7" w:rsidRDefault="00CB4B9E" w:rsidP="00614034">
            <w:pPr>
              <w:widowControl/>
              <w:jc w:val="left"/>
              <w:rPr>
                <w:rFonts w:ascii="宋体" w:hAnsi="宋体"/>
                <w:color w:val="000000" w:themeColor="text1"/>
                <w:szCs w:val="21"/>
              </w:rPr>
            </w:pPr>
            <w:r w:rsidRPr="00CB4B9E">
              <w:rPr>
                <w:rFonts w:ascii="宋体" w:hAnsi="宋体" w:hint="eastAsia"/>
                <w:color w:val="000000" w:themeColor="text1"/>
                <w:szCs w:val="21"/>
              </w:rPr>
              <w:t>代表处和筹备组费用统计内容：</w:t>
            </w:r>
          </w:p>
          <w:tbl>
            <w:tblPr>
              <w:tblW w:w="9542" w:type="dxa"/>
              <w:tblLayout w:type="fixed"/>
              <w:tblLook w:val="04A0"/>
            </w:tblPr>
            <w:tblGrid>
              <w:gridCol w:w="4771"/>
              <w:gridCol w:w="4771"/>
            </w:tblGrid>
            <w:tr w:rsidR="00105792" w:rsidRPr="009263D7">
              <w:trPr>
                <w:trHeight w:val="285"/>
              </w:trPr>
              <w:tc>
                <w:tcPr>
                  <w:tcW w:w="4771" w:type="dxa"/>
                  <w:tcBorders>
                    <w:top w:val="single" w:sz="8" w:space="0" w:color="auto"/>
                    <w:left w:val="nil"/>
                    <w:bottom w:val="single" w:sz="4" w:space="0" w:color="auto"/>
                    <w:right w:val="single" w:sz="4" w:space="0" w:color="auto"/>
                  </w:tcBorders>
                  <w:shd w:val="clear" w:color="auto" w:fill="auto"/>
                  <w:noWrap/>
                  <w:vAlign w:val="center"/>
                </w:tcPr>
                <w:p w:rsidR="00105792" w:rsidRPr="009263D7" w:rsidRDefault="00CB4B9E" w:rsidP="00A76206">
                  <w:pPr>
                    <w:widowControl/>
                    <w:adjustRightInd w:val="0"/>
                    <w:snapToGrid w:val="0"/>
                    <w:ind w:leftChars="-97" w:left="-204" w:firstLineChars="113" w:firstLine="204"/>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项</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目</w:t>
                  </w:r>
                </w:p>
              </w:tc>
              <w:tc>
                <w:tcPr>
                  <w:tcW w:w="4771" w:type="dxa"/>
                  <w:tcBorders>
                    <w:top w:val="single" w:sz="8" w:space="0" w:color="auto"/>
                    <w:left w:val="nil"/>
                    <w:bottom w:val="single" w:sz="4" w:space="0" w:color="auto"/>
                    <w:right w:val="nil"/>
                  </w:tcBorders>
                  <w:shd w:val="clear" w:color="auto" w:fill="auto"/>
                  <w:noWrap/>
                  <w:vAlign w:val="center"/>
                </w:tcPr>
                <w:p w:rsidR="00105792" w:rsidRPr="009263D7" w:rsidRDefault="00CB4B9E" w:rsidP="00A76206">
                  <w:pPr>
                    <w:widowControl/>
                    <w:adjustRightInd w:val="0"/>
                    <w:snapToGrid w:val="0"/>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含义</w:t>
                  </w:r>
                </w:p>
              </w:tc>
            </w:tr>
            <w:tr w:rsidR="00105792" w:rsidRPr="009263D7">
              <w:trPr>
                <w:trHeight w:val="285"/>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667FDE">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1．代表处经费</w:t>
                  </w:r>
                </w:p>
              </w:tc>
              <w:tc>
                <w:tcPr>
                  <w:tcW w:w="4771" w:type="dxa"/>
                  <w:tcBorders>
                    <w:top w:val="nil"/>
                    <w:left w:val="nil"/>
                    <w:bottom w:val="single" w:sz="4" w:space="0" w:color="auto"/>
                    <w:right w:val="nil"/>
                  </w:tcBorders>
                  <w:shd w:val="clear" w:color="auto" w:fill="auto"/>
                  <w:vAlign w:val="center"/>
                </w:tcPr>
                <w:p w:rsidR="00105792" w:rsidRPr="009263D7" w:rsidRDefault="00CB4B9E" w:rsidP="00667FDE">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仅在支出方。在境外设立的非营业性质的代表处、办事处的所有花费。</w:t>
                  </w:r>
                </w:p>
              </w:tc>
            </w:tr>
            <w:tr w:rsidR="00105792" w:rsidRPr="009263D7">
              <w:trPr>
                <w:trHeight w:val="720"/>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6B01DA">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2．筹备组费用</w:t>
                  </w:r>
                </w:p>
              </w:tc>
              <w:tc>
                <w:tcPr>
                  <w:tcW w:w="4771" w:type="dxa"/>
                  <w:tcBorders>
                    <w:top w:val="nil"/>
                    <w:left w:val="nil"/>
                    <w:bottom w:val="single" w:sz="4" w:space="0" w:color="auto"/>
                    <w:right w:val="nil"/>
                  </w:tcBorders>
                  <w:shd w:val="clear" w:color="auto" w:fill="auto"/>
                  <w:vAlign w:val="center"/>
                </w:tcPr>
                <w:p w:rsidR="00105792" w:rsidRPr="009263D7" w:rsidRDefault="00CB4B9E" w:rsidP="00667FDE">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仅在支出方。在境外正式设立机构前的筹备费用。</w:t>
                  </w:r>
                </w:p>
              </w:tc>
            </w:tr>
          </w:tbl>
          <w:p w:rsidR="00105792" w:rsidRPr="009263D7" w:rsidRDefault="00105792" w:rsidP="00B75491">
            <w:pPr>
              <w:widowControl/>
              <w:jc w:val="left"/>
              <w:rPr>
                <w:rFonts w:ascii="宋体" w:hAnsi="宋体" w:cs="宋体"/>
                <w:color w:val="000000" w:themeColor="text1"/>
                <w:kern w:val="0"/>
                <w:sz w:val="18"/>
                <w:szCs w:val="18"/>
              </w:rPr>
            </w:pPr>
          </w:p>
          <w:p w:rsidR="00105792" w:rsidRPr="009263D7" w:rsidRDefault="00CB4B9E" w:rsidP="00B75491">
            <w:pPr>
              <w:widowControl/>
              <w:jc w:val="left"/>
              <w:rPr>
                <w:rFonts w:ascii="宋体" w:hAnsi="宋体"/>
                <w:color w:val="000000" w:themeColor="text1"/>
                <w:szCs w:val="21"/>
              </w:rPr>
            </w:pPr>
            <w:r w:rsidRPr="00CB4B9E">
              <w:rPr>
                <w:rFonts w:ascii="宋体" w:hAnsi="宋体" w:hint="eastAsia"/>
                <w:color w:val="000000" w:themeColor="text1"/>
                <w:szCs w:val="21"/>
              </w:rPr>
              <w:lastRenderedPageBreak/>
              <w:t>雇员报酬统计内容：</w:t>
            </w:r>
          </w:p>
          <w:tbl>
            <w:tblPr>
              <w:tblW w:w="9542" w:type="dxa"/>
              <w:tblLayout w:type="fixed"/>
              <w:tblLook w:val="04A0"/>
            </w:tblPr>
            <w:tblGrid>
              <w:gridCol w:w="4771"/>
              <w:gridCol w:w="4771"/>
            </w:tblGrid>
            <w:tr w:rsidR="00105792" w:rsidRPr="009263D7">
              <w:trPr>
                <w:trHeight w:val="285"/>
              </w:trPr>
              <w:tc>
                <w:tcPr>
                  <w:tcW w:w="4771" w:type="dxa"/>
                  <w:tcBorders>
                    <w:top w:val="single" w:sz="8" w:space="0" w:color="auto"/>
                    <w:left w:val="nil"/>
                    <w:bottom w:val="single" w:sz="4" w:space="0" w:color="auto"/>
                    <w:right w:val="single" w:sz="4" w:space="0" w:color="auto"/>
                  </w:tcBorders>
                  <w:shd w:val="clear" w:color="auto" w:fill="auto"/>
                  <w:noWrap/>
                  <w:vAlign w:val="center"/>
                </w:tcPr>
                <w:p w:rsidR="00105792" w:rsidRPr="009263D7" w:rsidRDefault="00CB4B9E" w:rsidP="00B75491">
                  <w:pPr>
                    <w:widowControl/>
                    <w:adjustRightInd w:val="0"/>
                    <w:snapToGrid w:val="0"/>
                    <w:ind w:leftChars="-97" w:left="-204" w:firstLineChars="113" w:firstLine="204"/>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项</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目</w:t>
                  </w:r>
                </w:p>
              </w:tc>
              <w:tc>
                <w:tcPr>
                  <w:tcW w:w="4771" w:type="dxa"/>
                  <w:tcBorders>
                    <w:top w:val="single" w:sz="8" w:space="0" w:color="auto"/>
                    <w:left w:val="nil"/>
                    <w:bottom w:val="single" w:sz="4" w:space="0" w:color="auto"/>
                    <w:right w:val="nil"/>
                  </w:tcBorders>
                  <w:shd w:val="clear" w:color="auto" w:fill="auto"/>
                  <w:noWrap/>
                  <w:vAlign w:val="center"/>
                </w:tcPr>
                <w:p w:rsidR="00105792" w:rsidRPr="009263D7" w:rsidRDefault="00CB4B9E" w:rsidP="00B75491">
                  <w:pPr>
                    <w:widowControl/>
                    <w:adjustRightInd w:val="0"/>
                    <w:snapToGrid w:val="0"/>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含义</w:t>
                  </w:r>
                </w:p>
              </w:tc>
            </w:tr>
            <w:tr w:rsidR="00105792" w:rsidRPr="009263D7">
              <w:trPr>
                <w:trHeight w:val="285"/>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B75491">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1.支付非居民雇员报酬</w:t>
                  </w:r>
                </w:p>
              </w:tc>
              <w:tc>
                <w:tcPr>
                  <w:tcW w:w="4771" w:type="dxa"/>
                  <w:tcBorders>
                    <w:top w:val="nil"/>
                    <w:left w:val="nil"/>
                    <w:bottom w:val="single" w:sz="4" w:space="0" w:color="auto"/>
                    <w:right w:val="nil"/>
                  </w:tcBorders>
                  <w:shd w:val="clear" w:color="auto" w:fill="auto"/>
                  <w:vAlign w:val="center"/>
                </w:tcPr>
                <w:p w:rsidR="00105792" w:rsidRPr="009263D7" w:rsidRDefault="00CB4B9E" w:rsidP="00667FDE">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仅在支出方。指支付给非居民雇员的报酬，包括现金形式的工资和薪金、实物形式的工资和薪金（含雇员股票期权（</w:t>
                  </w:r>
                  <w:r w:rsidRPr="00CB4B9E">
                    <w:rPr>
                      <w:rFonts w:ascii="宋体" w:hAnsi="宋体" w:cs="宋体"/>
                      <w:color w:val="000000" w:themeColor="text1"/>
                      <w:kern w:val="0"/>
                      <w:sz w:val="18"/>
                      <w:szCs w:val="18"/>
                    </w:rPr>
                    <w:t>ESO））以及</w:t>
                  </w:r>
                  <w:r w:rsidRPr="00CB4B9E">
                    <w:rPr>
                      <w:rFonts w:ascii="宋体" w:hAnsi="宋体" w:cs="宋体" w:hint="eastAsia"/>
                      <w:color w:val="000000" w:themeColor="text1"/>
                      <w:kern w:val="0"/>
                      <w:sz w:val="18"/>
                      <w:szCs w:val="18"/>
                    </w:rPr>
                    <w:t>雇员的社保缴款。</w:t>
                  </w:r>
                </w:p>
              </w:tc>
            </w:tr>
            <w:tr w:rsidR="00105792" w:rsidRPr="009263D7">
              <w:trPr>
                <w:trHeight w:val="720"/>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8607CB">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1）（其中项）</w:t>
                  </w:r>
                  <w:r w:rsidRPr="00CB4B9E">
                    <w:rPr>
                      <w:rFonts w:ascii="宋体" w:hAnsi="宋体" w:cs="宋体" w:hint="eastAsia"/>
                      <w:color w:val="000000" w:themeColor="text1"/>
                      <w:kern w:val="0"/>
                      <w:sz w:val="18"/>
                      <w:szCs w:val="18"/>
                    </w:rPr>
                    <w:t>（计入本期费用的）非居民雇员股票期权支出</w:t>
                  </w:r>
                </w:p>
              </w:tc>
              <w:tc>
                <w:tcPr>
                  <w:tcW w:w="4771" w:type="dxa"/>
                  <w:tcBorders>
                    <w:top w:val="nil"/>
                    <w:left w:val="nil"/>
                    <w:bottom w:val="single" w:sz="4" w:space="0" w:color="auto"/>
                    <w:right w:val="nil"/>
                  </w:tcBorders>
                  <w:shd w:val="clear" w:color="auto" w:fill="auto"/>
                  <w:vAlign w:val="center"/>
                </w:tcPr>
                <w:p w:rsidR="00105792" w:rsidRPr="009263D7" w:rsidRDefault="00CB4B9E" w:rsidP="00B75491">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仅在支出方。雇员股票期权是支付实物形式工资和薪金的一种方式。</w:t>
                  </w:r>
                </w:p>
              </w:tc>
            </w:tr>
          </w:tbl>
          <w:p w:rsidR="00105792" w:rsidRPr="009263D7" w:rsidRDefault="00105792" w:rsidP="00B75491">
            <w:pPr>
              <w:widowControl/>
              <w:jc w:val="left"/>
              <w:rPr>
                <w:rFonts w:ascii="宋体" w:hAnsi="宋体"/>
                <w:color w:val="000000" w:themeColor="text1"/>
                <w:szCs w:val="21"/>
              </w:rPr>
            </w:pPr>
          </w:p>
          <w:p w:rsidR="00105792" w:rsidRPr="009263D7" w:rsidRDefault="00CB4B9E" w:rsidP="00B75491">
            <w:pPr>
              <w:widowControl/>
              <w:jc w:val="left"/>
              <w:rPr>
                <w:color w:val="000000" w:themeColor="text1"/>
              </w:rPr>
            </w:pPr>
            <w:r w:rsidRPr="00CB4B9E">
              <w:rPr>
                <w:rFonts w:ascii="宋体" w:hAnsi="宋体" w:hint="eastAsia"/>
                <w:color w:val="000000" w:themeColor="text1"/>
                <w:szCs w:val="21"/>
              </w:rPr>
              <w:t>转移</w:t>
            </w:r>
            <w:r w:rsidRPr="00CB4B9E">
              <w:rPr>
                <w:rFonts w:hint="eastAsia"/>
                <w:color w:val="000000" w:themeColor="text1"/>
              </w:rPr>
              <w:t>统计内容：</w:t>
            </w:r>
            <w:r w:rsidRPr="00CB4B9E">
              <w:rPr>
                <w:color w:val="000000" w:themeColor="text1"/>
              </w:rPr>
              <w:t xml:space="preserve"> </w:t>
            </w:r>
          </w:p>
          <w:tbl>
            <w:tblPr>
              <w:tblW w:w="9542" w:type="dxa"/>
              <w:tblLayout w:type="fixed"/>
              <w:tblLook w:val="04A0"/>
            </w:tblPr>
            <w:tblGrid>
              <w:gridCol w:w="4771"/>
              <w:gridCol w:w="4771"/>
            </w:tblGrid>
            <w:tr w:rsidR="00105792" w:rsidRPr="009263D7">
              <w:trPr>
                <w:trHeight w:val="285"/>
              </w:trPr>
              <w:tc>
                <w:tcPr>
                  <w:tcW w:w="4771" w:type="dxa"/>
                  <w:tcBorders>
                    <w:top w:val="single" w:sz="8" w:space="0" w:color="auto"/>
                    <w:left w:val="nil"/>
                    <w:bottom w:val="single" w:sz="4" w:space="0" w:color="auto"/>
                    <w:right w:val="single" w:sz="4" w:space="0" w:color="auto"/>
                  </w:tcBorders>
                  <w:shd w:val="clear" w:color="auto" w:fill="auto"/>
                  <w:noWrap/>
                  <w:vAlign w:val="center"/>
                </w:tcPr>
                <w:p w:rsidR="00105792" w:rsidRPr="009263D7" w:rsidRDefault="00CB4B9E" w:rsidP="00B75491">
                  <w:pPr>
                    <w:widowControl/>
                    <w:adjustRightInd w:val="0"/>
                    <w:snapToGrid w:val="0"/>
                    <w:ind w:leftChars="-97" w:left="-204" w:firstLineChars="113" w:firstLine="204"/>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项</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目</w:t>
                  </w:r>
                </w:p>
              </w:tc>
              <w:tc>
                <w:tcPr>
                  <w:tcW w:w="4771" w:type="dxa"/>
                  <w:tcBorders>
                    <w:top w:val="single" w:sz="8" w:space="0" w:color="auto"/>
                    <w:left w:val="nil"/>
                    <w:bottom w:val="single" w:sz="4" w:space="0" w:color="auto"/>
                    <w:right w:val="nil"/>
                  </w:tcBorders>
                  <w:shd w:val="clear" w:color="auto" w:fill="auto"/>
                  <w:noWrap/>
                  <w:vAlign w:val="center"/>
                </w:tcPr>
                <w:p w:rsidR="00105792" w:rsidRPr="009263D7" w:rsidRDefault="00CB4B9E" w:rsidP="00B75491">
                  <w:pPr>
                    <w:widowControl/>
                    <w:adjustRightInd w:val="0"/>
                    <w:snapToGrid w:val="0"/>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含义</w:t>
                  </w:r>
                </w:p>
              </w:tc>
            </w:tr>
            <w:tr w:rsidR="00105792" w:rsidRPr="009263D7">
              <w:trPr>
                <w:trHeight w:val="285"/>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B75491">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二次收入（经常转移）</w:t>
                  </w:r>
                </w:p>
              </w:tc>
              <w:tc>
                <w:tcPr>
                  <w:tcW w:w="4771" w:type="dxa"/>
                  <w:tcBorders>
                    <w:top w:val="nil"/>
                    <w:left w:val="nil"/>
                    <w:bottom w:val="single" w:sz="4" w:space="0" w:color="auto"/>
                    <w:right w:val="nil"/>
                  </w:tcBorders>
                  <w:shd w:val="clear" w:color="auto" w:fill="auto"/>
                  <w:vAlign w:val="center"/>
                </w:tcPr>
                <w:p w:rsidR="00105792" w:rsidRPr="009263D7" w:rsidRDefault="00CB4B9E" w:rsidP="00B75491">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支出、收入方均可能发生。资本转移以外的所有其他类型转移。主要包括：接受</w:t>
                  </w:r>
                  <w:r w:rsidRPr="00CB4B9E">
                    <w:rPr>
                      <w:rFonts w:ascii="宋体" w:hAnsi="宋体" w:cs="宋体"/>
                      <w:color w:val="000000" w:themeColor="text1"/>
                      <w:kern w:val="0"/>
                      <w:sz w:val="18"/>
                      <w:szCs w:val="18"/>
                    </w:rPr>
                    <w:t>/提供与固定资产无关的捐赠和援助、保险赔偿、经常性税收、罚款、向国际组织缴纳的会费等。</w:t>
                  </w:r>
                </w:p>
              </w:tc>
            </w:tr>
            <w:tr w:rsidR="00105792" w:rsidRPr="009263D7">
              <w:trPr>
                <w:trHeight w:val="720"/>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667FDE">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保险赔付</w:t>
                  </w:r>
                </w:p>
              </w:tc>
              <w:tc>
                <w:tcPr>
                  <w:tcW w:w="4771" w:type="dxa"/>
                  <w:tcBorders>
                    <w:top w:val="nil"/>
                    <w:left w:val="nil"/>
                    <w:bottom w:val="single" w:sz="4" w:space="0" w:color="auto"/>
                    <w:right w:val="nil"/>
                  </w:tcBorders>
                  <w:shd w:val="clear" w:color="auto" w:fill="auto"/>
                  <w:vAlign w:val="center"/>
                </w:tcPr>
                <w:p w:rsidR="00105792" w:rsidRPr="009263D7" w:rsidRDefault="00CB4B9E" w:rsidP="006353F0">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指居民与非居民之间的保险赔付金额。一般情况下仅限于保险机构以外的其他机构填报，但在特殊情况下可用于保险机构，如保险公司为员工境外购买人身意外险，或保险公司对外支付保险代理费等。</w:t>
                  </w:r>
                </w:p>
              </w:tc>
            </w:tr>
            <w:tr w:rsidR="00105792" w:rsidRPr="009263D7">
              <w:trPr>
                <w:trHeight w:val="720"/>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B47379">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2）其他经常转移</w:t>
                  </w:r>
                </w:p>
              </w:tc>
              <w:tc>
                <w:tcPr>
                  <w:tcW w:w="4771" w:type="dxa"/>
                  <w:tcBorders>
                    <w:top w:val="nil"/>
                    <w:left w:val="nil"/>
                    <w:bottom w:val="single" w:sz="4" w:space="0" w:color="auto"/>
                    <w:right w:val="nil"/>
                  </w:tcBorders>
                  <w:shd w:val="clear" w:color="auto" w:fill="auto"/>
                  <w:vAlign w:val="center"/>
                </w:tcPr>
                <w:p w:rsidR="00105792" w:rsidRPr="009263D7" w:rsidRDefault="00CB4B9E" w:rsidP="006353F0">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指除保险赔偿外，居民与非居民之间经常性无偿捐赠、救济、援助等金额。</w:t>
                  </w:r>
                </w:p>
              </w:tc>
            </w:tr>
            <w:tr w:rsidR="00105792" w:rsidRPr="009263D7">
              <w:trPr>
                <w:trHeight w:val="720"/>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B75491">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2.资本账户</w:t>
                  </w:r>
                </w:p>
              </w:tc>
              <w:tc>
                <w:tcPr>
                  <w:tcW w:w="4771" w:type="dxa"/>
                  <w:tcBorders>
                    <w:top w:val="nil"/>
                    <w:left w:val="nil"/>
                    <w:bottom w:val="single" w:sz="4" w:space="0" w:color="auto"/>
                    <w:right w:val="nil"/>
                  </w:tcBorders>
                  <w:shd w:val="clear" w:color="auto" w:fill="auto"/>
                  <w:vAlign w:val="center"/>
                </w:tcPr>
                <w:p w:rsidR="00105792" w:rsidRPr="009263D7" w:rsidRDefault="00CB4B9E" w:rsidP="00B75491">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支出、收入方均可能发生。资本账户包括资本转移和非生产非金融资产转让。</w:t>
                  </w:r>
                </w:p>
                <w:p w:rsidR="00105792" w:rsidRPr="009263D7" w:rsidRDefault="00CB4B9E" w:rsidP="00B75491">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资本转移指涉及固定资产所有权的变更或债权人减免负债，且未得到任何回报的实物转移。现金转移如与固定资产的转移联系在一起（如捐款用于境外投资建房）也视为资本转移。</w:t>
                  </w:r>
                </w:p>
                <w:p w:rsidR="00105792" w:rsidRPr="009263D7" w:rsidRDefault="00CB4B9E" w:rsidP="00B75491">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非生产非金融资产转让指品牌、商标、商誉、契约、租约和许可所有权等的转让。</w:t>
                  </w:r>
                </w:p>
              </w:tc>
            </w:tr>
            <w:tr w:rsidR="00105792" w:rsidRPr="009263D7">
              <w:trPr>
                <w:trHeight w:val="285"/>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B75491">
                  <w:pPr>
                    <w:widowControl/>
                    <w:adjustRightInd w:val="0"/>
                    <w:snapToGrid w:val="0"/>
                    <w:ind w:left="-1"/>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w:t>
                  </w:r>
                  <w:r w:rsidRPr="00CB4B9E">
                    <w:rPr>
                      <w:rFonts w:ascii="宋体" w:hAnsi="宋体" w:cs="宋体"/>
                      <w:color w:val="000000" w:themeColor="text1"/>
                      <w:kern w:val="0"/>
                      <w:sz w:val="18"/>
                      <w:szCs w:val="18"/>
                    </w:rPr>
                    <w:t>1）（其中项）债务减免</w:t>
                  </w:r>
                </w:p>
              </w:tc>
              <w:tc>
                <w:tcPr>
                  <w:tcW w:w="4771" w:type="dxa"/>
                  <w:tcBorders>
                    <w:top w:val="nil"/>
                    <w:left w:val="nil"/>
                    <w:bottom w:val="single" w:sz="4" w:space="0" w:color="auto"/>
                    <w:right w:val="nil"/>
                  </w:tcBorders>
                  <w:shd w:val="clear" w:color="auto" w:fill="auto"/>
                  <w:vAlign w:val="center"/>
                </w:tcPr>
                <w:p w:rsidR="00105792" w:rsidRPr="009263D7" w:rsidRDefault="00CB4B9E" w:rsidP="00B75491">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支出、收入方均可能发生。债务减免是指债权人与债务人通过合同协议方式自愿撤销部分或全部债务的行为。债权人单方面确认无法收回的帐款不计入债务减免。</w:t>
                  </w:r>
                </w:p>
              </w:tc>
            </w:tr>
          </w:tbl>
          <w:p w:rsidR="00105792" w:rsidRPr="009263D7" w:rsidRDefault="00105792" w:rsidP="00B75491">
            <w:pPr>
              <w:autoSpaceDE w:val="0"/>
              <w:autoSpaceDN w:val="0"/>
              <w:adjustRightInd w:val="0"/>
              <w:spacing w:line="360" w:lineRule="auto"/>
              <w:ind w:firstLine="270"/>
              <w:jc w:val="left"/>
              <w:rPr>
                <w:rFonts w:ascii="宋体" w:hAnsi="宋体" w:cs="宋体"/>
                <w:color w:val="000000" w:themeColor="text1"/>
                <w:kern w:val="0"/>
                <w:sz w:val="18"/>
                <w:szCs w:val="18"/>
              </w:rPr>
            </w:pPr>
          </w:p>
        </w:tc>
      </w:tr>
    </w:tbl>
    <w:p w:rsidR="00105792" w:rsidRPr="009263D7" w:rsidRDefault="00105792" w:rsidP="008C59FE">
      <w:pPr>
        <w:autoSpaceDE w:val="0"/>
        <w:autoSpaceDN w:val="0"/>
        <w:adjustRightInd w:val="0"/>
        <w:spacing w:line="360" w:lineRule="auto"/>
        <w:ind w:firstLine="405"/>
        <w:jc w:val="left"/>
        <w:rPr>
          <w:rFonts w:ascii="黑体" w:eastAsia="黑体" w:hAnsi="宋体"/>
          <w:color w:val="000000" w:themeColor="text1"/>
          <w:szCs w:val="21"/>
        </w:rPr>
      </w:pPr>
    </w:p>
    <w:p w:rsidR="00105792" w:rsidRPr="009263D7" w:rsidRDefault="00CB4B9E" w:rsidP="00105792">
      <w:pPr>
        <w:widowControl/>
        <w:jc w:val="left"/>
        <w:rPr>
          <w:color w:val="000000" w:themeColor="text1"/>
        </w:rPr>
      </w:pPr>
      <w:r w:rsidRPr="00CB4B9E">
        <w:rPr>
          <w:rFonts w:ascii="宋体" w:hAnsi="宋体" w:hint="eastAsia"/>
          <w:color w:val="000000" w:themeColor="text1"/>
          <w:szCs w:val="21"/>
        </w:rPr>
        <w:t>代扣代缴税</w:t>
      </w:r>
      <w:r w:rsidRPr="00CB4B9E">
        <w:rPr>
          <w:rFonts w:hint="eastAsia"/>
          <w:color w:val="000000" w:themeColor="text1"/>
        </w:rPr>
        <w:t>统计内容：</w:t>
      </w:r>
      <w:r w:rsidRPr="00CB4B9E">
        <w:rPr>
          <w:color w:val="000000" w:themeColor="text1"/>
        </w:rPr>
        <w:t xml:space="preserve"> </w:t>
      </w:r>
    </w:p>
    <w:tbl>
      <w:tblPr>
        <w:tblW w:w="9542" w:type="dxa"/>
        <w:tblLayout w:type="fixed"/>
        <w:tblLook w:val="04A0"/>
      </w:tblPr>
      <w:tblGrid>
        <w:gridCol w:w="4771"/>
        <w:gridCol w:w="4771"/>
      </w:tblGrid>
      <w:tr w:rsidR="00105792" w:rsidRPr="009263D7">
        <w:trPr>
          <w:trHeight w:val="285"/>
        </w:trPr>
        <w:tc>
          <w:tcPr>
            <w:tcW w:w="4771" w:type="dxa"/>
            <w:tcBorders>
              <w:top w:val="single" w:sz="8" w:space="0" w:color="auto"/>
              <w:left w:val="nil"/>
              <w:bottom w:val="single" w:sz="4" w:space="0" w:color="auto"/>
              <w:right w:val="single" w:sz="4" w:space="0" w:color="auto"/>
            </w:tcBorders>
            <w:shd w:val="clear" w:color="auto" w:fill="auto"/>
            <w:noWrap/>
            <w:vAlign w:val="center"/>
          </w:tcPr>
          <w:p w:rsidR="00105792" w:rsidRPr="009263D7" w:rsidRDefault="00CB4B9E" w:rsidP="00912E90">
            <w:pPr>
              <w:widowControl/>
              <w:adjustRightInd w:val="0"/>
              <w:snapToGrid w:val="0"/>
              <w:ind w:leftChars="-97" w:left="-204" w:firstLineChars="113" w:firstLine="204"/>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项</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目</w:t>
            </w:r>
          </w:p>
        </w:tc>
        <w:tc>
          <w:tcPr>
            <w:tcW w:w="4771" w:type="dxa"/>
            <w:tcBorders>
              <w:top w:val="single" w:sz="8" w:space="0" w:color="auto"/>
              <w:left w:val="nil"/>
              <w:bottom w:val="single" w:sz="4" w:space="0" w:color="auto"/>
              <w:right w:val="nil"/>
            </w:tcBorders>
            <w:shd w:val="clear" w:color="auto" w:fill="auto"/>
            <w:noWrap/>
            <w:vAlign w:val="center"/>
          </w:tcPr>
          <w:p w:rsidR="00105792" w:rsidRPr="009263D7" w:rsidRDefault="00CB4B9E" w:rsidP="00912E90">
            <w:pPr>
              <w:widowControl/>
              <w:adjustRightInd w:val="0"/>
              <w:snapToGrid w:val="0"/>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含义</w:t>
            </w:r>
          </w:p>
        </w:tc>
      </w:tr>
      <w:tr w:rsidR="00105792" w:rsidRPr="009263D7">
        <w:trPr>
          <w:trHeight w:val="720"/>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912E90">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w:t>
            </w:r>
            <w:r w:rsidRPr="00CB4B9E">
              <w:rPr>
                <w:rFonts w:ascii="宋体" w:hAnsi="宋体" w:cs="宋体" w:hint="eastAsia"/>
                <w:color w:val="000000" w:themeColor="text1"/>
                <w:kern w:val="0"/>
                <w:sz w:val="18"/>
                <w:szCs w:val="18"/>
              </w:rPr>
              <w:t>代扣代缴税（我国税收收入）</w:t>
            </w:r>
          </w:p>
        </w:tc>
        <w:tc>
          <w:tcPr>
            <w:tcW w:w="4771" w:type="dxa"/>
            <w:tcBorders>
              <w:top w:val="nil"/>
              <w:left w:val="nil"/>
              <w:bottom w:val="single" w:sz="4" w:space="0" w:color="auto"/>
              <w:right w:val="nil"/>
            </w:tcBorders>
            <w:shd w:val="clear" w:color="auto" w:fill="auto"/>
            <w:vAlign w:val="center"/>
          </w:tcPr>
          <w:p w:rsidR="00105792" w:rsidRPr="009263D7" w:rsidRDefault="00CB4B9E" w:rsidP="00912E9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是指接受境外提供的各项服务支出时，按我国法律法规规定代为扣缴的税收，即境外因向境内提供了服务，其获取的收入应按规定向我国纳税。</w:t>
            </w:r>
          </w:p>
          <w:p w:rsidR="00105792" w:rsidRPr="009263D7" w:rsidRDefault="00CB4B9E" w:rsidP="003C725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填报本项时，应确保“服务支出”中包含了代扣缴税款（尽管服务费的支出通常是以税后净额的形式对外支付的），以真实完整反映接受境外服务的支出。代为扣缴税款为我国的税收收入。</w:t>
            </w:r>
          </w:p>
        </w:tc>
      </w:tr>
      <w:tr w:rsidR="00105792" w:rsidRPr="009263D7">
        <w:trPr>
          <w:trHeight w:val="720"/>
        </w:trPr>
        <w:tc>
          <w:tcPr>
            <w:tcW w:w="4771" w:type="dxa"/>
            <w:tcBorders>
              <w:top w:val="nil"/>
              <w:left w:val="nil"/>
              <w:bottom w:val="single" w:sz="4" w:space="0" w:color="auto"/>
              <w:right w:val="single" w:sz="4" w:space="0" w:color="auto"/>
            </w:tcBorders>
            <w:shd w:val="clear" w:color="auto" w:fill="auto"/>
            <w:vAlign w:val="center"/>
          </w:tcPr>
          <w:p w:rsidR="00105792" w:rsidRPr="009263D7" w:rsidRDefault="00CB4B9E" w:rsidP="009C76B5">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w:t>
            </w:r>
            <w:r w:rsidRPr="00CB4B9E">
              <w:rPr>
                <w:rFonts w:ascii="宋体" w:hAnsi="宋体" w:cs="宋体" w:hint="eastAsia"/>
                <w:color w:val="000000" w:themeColor="text1"/>
                <w:kern w:val="0"/>
                <w:sz w:val="18"/>
                <w:szCs w:val="18"/>
              </w:rPr>
              <w:t>支付境外代扣代缴税（对他国税收支出）</w:t>
            </w:r>
          </w:p>
        </w:tc>
        <w:tc>
          <w:tcPr>
            <w:tcW w:w="4771" w:type="dxa"/>
            <w:tcBorders>
              <w:top w:val="nil"/>
              <w:left w:val="nil"/>
              <w:bottom w:val="single" w:sz="4" w:space="0" w:color="auto"/>
              <w:right w:val="nil"/>
            </w:tcBorders>
            <w:shd w:val="clear" w:color="auto" w:fill="auto"/>
            <w:vAlign w:val="center"/>
          </w:tcPr>
          <w:p w:rsidR="00105792" w:rsidRPr="009263D7" w:rsidRDefault="00CB4B9E" w:rsidP="003C725C">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是指向境外提供各项服务时，按对应国法律法规规定由境外机构代为扣缴的税收支出，即境内因向境外提供了服务，所获取的收入应按规定向他国（地区）纳税。</w:t>
            </w:r>
          </w:p>
        </w:tc>
      </w:tr>
    </w:tbl>
    <w:p w:rsidR="00105792" w:rsidRPr="009263D7" w:rsidRDefault="00105792" w:rsidP="008C59FE">
      <w:pPr>
        <w:autoSpaceDE w:val="0"/>
        <w:autoSpaceDN w:val="0"/>
        <w:adjustRightInd w:val="0"/>
        <w:spacing w:line="360" w:lineRule="auto"/>
        <w:ind w:firstLine="405"/>
        <w:jc w:val="left"/>
        <w:rPr>
          <w:rFonts w:ascii="黑体" w:eastAsia="黑体" w:hAnsi="宋体"/>
          <w:color w:val="000000" w:themeColor="text1"/>
          <w:szCs w:val="21"/>
        </w:rPr>
      </w:pPr>
    </w:p>
    <w:p w:rsidR="008C59FE" w:rsidRPr="009263D7" w:rsidRDefault="00CB4B9E" w:rsidP="008C59FE">
      <w:pPr>
        <w:autoSpaceDE w:val="0"/>
        <w:autoSpaceDN w:val="0"/>
        <w:adjustRightInd w:val="0"/>
        <w:spacing w:line="360" w:lineRule="auto"/>
        <w:ind w:firstLine="405"/>
        <w:jc w:val="left"/>
        <w:rPr>
          <w:rFonts w:ascii="黑体" w:eastAsia="黑体" w:hAnsi="宋体"/>
          <w:color w:val="000000" w:themeColor="text1"/>
          <w:szCs w:val="21"/>
        </w:rPr>
      </w:pPr>
      <w:r w:rsidRPr="00CB4B9E">
        <w:rPr>
          <w:rFonts w:ascii="黑体" w:eastAsia="黑体" w:hAnsi="宋体"/>
          <w:color w:val="000000" w:themeColor="text1"/>
          <w:szCs w:val="21"/>
        </w:rPr>
        <w:t>2．相关</w:t>
      </w:r>
      <w:r w:rsidRPr="00CB4B9E">
        <w:rPr>
          <w:rFonts w:ascii="黑体" w:eastAsia="黑体" w:hAnsi="宋体" w:hint="eastAsia"/>
          <w:color w:val="000000" w:themeColor="text1"/>
          <w:szCs w:val="21"/>
        </w:rPr>
        <w:t>填报说明：</w:t>
      </w:r>
    </w:p>
    <w:p w:rsidR="008C59FE" w:rsidRPr="009263D7" w:rsidRDefault="00CB4B9E" w:rsidP="008C59FE">
      <w:pPr>
        <w:autoSpaceDE w:val="0"/>
        <w:autoSpaceDN w:val="0"/>
        <w:adjustRightInd w:val="0"/>
        <w:spacing w:line="360" w:lineRule="auto"/>
        <w:ind w:firstLine="405"/>
        <w:jc w:val="left"/>
        <w:rPr>
          <w:rFonts w:ascii="宋体" w:hAnsi="宋体"/>
          <w:color w:val="000000" w:themeColor="text1"/>
          <w:szCs w:val="21"/>
        </w:rPr>
      </w:pPr>
      <w:r w:rsidRPr="00CB4B9E">
        <w:rPr>
          <w:rFonts w:ascii="宋体" w:hAnsi="宋体" w:hint="eastAsia"/>
          <w:color w:val="000000" w:themeColor="text1"/>
          <w:szCs w:val="21"/>
        </w:rPr>
        <w:t>“交易对方国家</w:t>
      </w:r>
      <w:r w:rsidRPr="00CB4B9E">
        <w:rPr>
          <w:rFonts w:ascii="宋体" w:hAnsi="宋体"/>
          <w:color w:val="000000" w:themeColor="text1"/>
          <w:szCs w:val="21"/>
        </w:rPr>
        <w:t>/地区”是指本笔国际收支交易的交易对方的</w:t>
      </w:r>
      <w:r w:rsidRPr="00CB4B9E">
        <w:rPr>
          <w:rFonts w:ascii="宋体" w:hAnsi="宋体" w:hint="eastAsia"/>
          <w:color w:val="000000" w:themeColor="text1"/>
          <w:szCs w:val="21"/>
        </w:rPr>
        <w:t>注册地或常驻（住）国家</w:t>
      </w:r>
      <w:r w:rsidRPr="00CB4B9E">
        <w:rPr>
          <w:rFonts w:ascii="宋体" w:hAnsi="宋体"/>
          <w:color w:val="000000" w:themeColor="text1"/>
          <w:szCs w:val="21"/>
        </w:rPr>
        <w:t>/地区，而非汇入/汇出地的国家/地区。</w:t>
      </w:r>
    </w:p>
    <w:p w:rsidR="008C59FE" w:rsidRPr="009263D7" w:rsidRDefault="00CB4B9E" w:rsidP="008C59FE">
      <w:pPr>
        <w:autoSpaceDE w:val="0"/>
        <w:autoSpaceDN w:val="0"/>
        <w:adjustRightInd w:val="0"/>
        <w:spacing w:line="360" w:lineRule="auto"/>
        <w:ind w:firstLine="405"/>
        <w:jc w:val="left"/>
        <w:rPr>
          <w:rFonts w:ascii="宋体" w:hAnsi="宋体"/>
          <w:color w:val="000000" w:themeColor="text1"/>
          <w:szCs w:val="21"/>
        </w:rPr>
      </w:pPr>
      <w:r w:rsidRPr="00CB4B9E">
        <w:rPr>
          <w:rFonts w:ascii="宋体" w:hAnsi="宋体" w:hint="eastAsia"/>
          <w:color w:val="000000" w:themeColor="text1"/>
          <w:szCs w:val="21"/>
        </w:rPr>
        <w:lastRenderedPageBreak/>
        <w:t>以下指标均为当期交易的流量数据。</w:t>
      </w:r>
    </w:p>
    <w:p w:rsidR="008C59FE" w:rsidRPr="009263D7" w:rsidRDefault="00CB4B9E" w:rsidP="00555A36">
      <w:pPr>
        <w:widowControl/>
        <w:tabs>
          <w:tab w:val="num" w:pos="720"/>
          <w:tab w:val="left" w:pos="1080"/>
        </w:tabs>
        <w:spacing w:line="360" w:lineRule="auto"/>
        <w:ind w:firstLineChars="200" w:firstLine="420"/>
        <w:rPr>
          <w:rFonts w:ascii="黑体" w:eastAsia="黑体" w:hAnsi="宋体"/>
          <w:color w:val="000000" w:themeColor="text1"/>
          <w:szCs w:val="21"/>
        </w:rPr>
      </w:pPr>
      <w:r w:rsidRPr="00CB4B9E">
        <w:rPr>
          <w:rFonts w:ascii="黑体" w:eastAsia="黑体" w:hAnsi="宋体"/>
          <w:color w:val="000000" w:themeColor="text1"/>
          <w:szCs w:val="21"/>
        </w:rPr>
        <w:t>1000.来自非居民的收入：</w:t>
      </w:r>
      <w:r w:rsidRPr="00CB4B9E">
        <w:rPr>
          <w:rFonts w:ascii="宋体" w:hAnsi="宋体" w:hint="eastAsia"/>
          <w:color w:val="000000" w:themeColor="text1"/>
        </w:rPr>
        <w:t>是货物收入（</w:t>
      </w:r>
      <w:r w:rsidRPr="00CB4B9E">
        <w:rPr>
          <w:rFonts w:ascii="宋体" w:hAnsi="宋体"/>
          <w:color w:val="000000" w:themeColor="text1"/>
        </w:rPr>
        <w:t>1100</w:t>
      </w:r>
      <w:r w:rsidRPr="00CB4B9E">
        <w:rPr>
          <w:rFonts w:ascii="宋体" w:hAnsi="宋体" w:hint="eastAsia"/>
          <w:color w:val="000000" w:themeColor="text1"/>
        </w:rPr>
        <w:t>）、服务收入（</w:t>
      </w:r>
      <w:r w:rsidRPr="00CB4B9E">
        <w:rPr>
          <w:rFonts w:ascii="宋体" w:hAnsi="宋体"/>
          <w:color w:val="000000" w:themeColor="text1"/>
        </w:rPr>
        <w:t>1200</w:t>
      </w:r>
      <w:r w:rsidRPr="00CB4B9E">
        <w:rPr>
          <w:rFonts w:ascii="宋体" w:hAnsi="宋体" w:hint="eastAsia"/>
          <w:color w:val="000000" w:themeColor="text1"/>
        </w:rPr>
        <w:t>）、二次收入（经常转移）收入（</w:t>
      </w:r>
      <w:r w:rsidRPr="00CB4B9E">
        <w:rPr>
          <w:rFonts w:ascii="宋体" w:hAnsi="宋体"/>
          <w:color w:val="000000" w:themeColor="text1"/>
        </w:rPr>
        <w:t>1600</w:t>
      </w:r>
      <w:r w:rsidRPr="00CB4B9E">
        <w:rPr>
          <w:rFonts w:ascii="宋体" w:hAnsi="宋体" w:hint="eastAsia"/>
          <w:color w:val="000000" w:themeColor="text1"/>
        </w:rPr>
        <w:t>）及资本账户收入（</w:t>
      </w:r>
      <w:r w:rsidRPr="00CB4B9E">
        <w:rPr>
          <w:rFonts w:ascii="宋体" w:hAnsi="宋体"/>
          <w:color w:val="000000" w:themeColor="text1"/>
        </w:rPr>
        <w:t>1700</w:t>
      </w:r>
      <w:r w:rsidRPr="00CB4B9E">
        <w:rPr>
          <w:rFonts w:ascii="宋体" w:hAnsi="宋体" w:hint="eastAsia"/>
          <w:color w:val="000000" w:themeColor="text1"/>
        </w:rPr>
        <w:t>）的合计项</w:t>
      </w:r>
      <w:r w:rsidRPr="00CB4B9E">
        <w:rPr>
          <w:rFonts w:ascii="宋体" w:hAnsi="宋体" w:hint="eastAsia"/>
          <w:color w:val="000000" w:themeColor="text1"/>
          <w:szCs w:val="21"/>
        </w:rPr>
        <w:t>。</w:t>
      </w:r>
    </w:p>
    <w:p w:rsidR="008C59FE" w:rsidRPr="009263D7" w:rsidRDefault="00CB4B9E" w:rsidP="008C59FE">
      <w:pPr>
        <w:spacing w:line="360" w:lineRule="auto"/>
        <w:jc w:val="left"/>
        <w:rPr>
          <w:rFonts w:ascii="宋体" w:hAnsi="宋体"/>
          <w:color w:val="000000" w:themeColor="text1"/>
        </w:rPr>
      </w:pPr>
      <w:r w:rsidRPr="00CB4B9E">
        <w:rPr>
          <w:rFonts w:ascii="黑体" w:eastAsia="黑体" w:hAnsi="宋体"/>
          <w:color w:val="000000" w:themeColor="text1"/>
          <w:szCs w:val="21"/>
        </w:rPr>
        <w:t xml:space="preserve">    1100.</w:t>
      </w:r>
      <w:r w:rsidRPr="00CB4B9E">
        <w:rPr>
          <w:rFonts w:ascii="黑体" w:eastAsia="黑体" w:hint="eastAsia"/>
          <w:color w:val="000000" w:themeColor="text1"/>
        </w:rPr>
        <w:t>货物收入：</w:t>
      </w:r>
      <w:r w:rsidRPr="00CB4B9E">
        <w:rPr>
          <w:rFonts w:ascii="宋体" w:hAnsi="宋体" w:hint="eastAsia"/>
          <w:color w:val="000000" w:themeColor="text1"/>
        </w:rPr>
        <w:t>出口货物的收入。</w:t>
      </w:r>
    </w:p>
    <w:p w:rsidR="008C59FE" w:rsidRPr="009263D7" w:rsidRDefault="00CB4B9E" w:rsidP="008C59FE">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1101.其中：非货币黄金收入：</w:t>
      </w:r>
      <w:r w:rsidRPr="00CB4B9E">
        <w:rPr>
          <w:rFonts w:ascii="宋体" w:hAnsi="宋体" w:hint="eastAsia"/>
          <w:color w:val="000000" w:themeColor="text1"/>
        </w:rPr>
        <w:t>出口非货币黄金的收入。</w:t>
      </w:r>
    </w:p>
    <w:p w:rsidR="008C59FE" w:rsidRPr="009263D7" w:rsidRDefault="00CB4B9E" w:rsidP="008C59FE">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1200</w:t>
      </w:r>
      <w:r w:rsidRPr="00CB4B9E">
        <w:rPr>
          <w:rFonts w:ascii="黑体" w:eastAsia="黑体"/>
          <w:color w:val="000000" w:themeColor="text1"/>
        </w:rPr>
        <w:t>.</w:t>
      </w:r>
      <w:r w:rsidRPr="00CB4B9E">
        <w:rPr>
          <w:rFonts w:ascii="黑体" w:eastAsia="黑体" w:hAnsi="宋体" w:hint="eastAsia"/>
          <w:color w:val="000000" w:themeColor="text1"/>
        </w:rPr>
        <w:t>服务收入：</w:t>
      </w:r>
      <w:r w:rsidRPr="00CB4B9E">
        <w:rPr>
          <w:rFonts w:ascii="宋体" w:hAnsi="宋体" w:hint="eastAsia"/>
          <w:color w:val="000000" w:themeColor="text1"/>
        </w:rPr>
        <w:t>指向非居民提供各项服务的总收入，为</w:t>
      </w:r>
      <w:r w:rsidRPr="00CB4B9E">
        <w:rPr>
          <w:rFonts w:ascii="宋体" w:hAnsi="宋体"/>
          <w:color w:val="000000" w:themeColor="text1"/>
        </w:rPr>
        <w:t>1201-1214</w:t>
      </w:r>
      <w:r w:rsidRPr="00CB4B9E">
        <w:rPr>
          <w:rFonts w:ascii="宋体" w:hAnsi="宋体" w:hint="eastAsia"/>
          <w:color w:val="000000" w:themeColor="text1"/>
        </w:rPr>
        <w:t>各项金额合计。</w:t>
      </w:r>
    </w:p>
    <w:p w:rsidR="00105792" w:rsidRPr="009263D7" w:rsidRDefault="00CB4B9E" w:rsidP="008066A2">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1201．加工服务收入：</w:t>
      </w:r>
      <w:r w:rsidRPr="00CB4B9E">
        <w:rPr>
          <w:rFonts w:ascii="宋体" w:hAnsi="宋体" w:hint="eastAsia"/>
          <w:color w:val="000000" w:themeColor="text1"/>
        </w:rPr>
        <w:t>指为非居民拥有的实物提供制造服务而获得的加工费收入。本机构不拥有该实物的所有权，仅提供加工、装配、贴标签和包装等服务。</w:t>
      </w:r>
    </w:p>
    <w:p w:rsidR="00105792" w:rsidRPr="009263D7" w:rsidRDefault="00CB4B9E" w:rsidP="008066A2">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1202.别处未涵盖的维护和维修服务收入：</w:t>
      </w:r>
      <w:r w:rsidRPr="00CB4B9E">
        <w:rPr>
          <w:rFonts w:ascii="宋体" w:hAnsi="宋体" w:hint="eastAsia"/>
          <w:color w:val="000000" w:themeColor="text1"/>
        </w:rPr>
        <w:t>指为非居民拥有的实物提供维护和维修服务而获得的收入。</w:t>
      </w:r>
    </w:p>
    <w:p w:rsidR="008C59FE" w:rsidRPr="009263D7" w:rsidRDefault="00CB4B9E" w:rsidP="008066A2">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1203.</w:t>
      </w:r>
      <w:r w:rsidRPr="00CB4B9E">
        <w:rPr>
          <w:rFonts w:ascii="黑体" w:eastAsia="黑体" w:hAnsi="宋体" w:hint="eastAsia"/>
          <w:color w:val="000000" w:themeColor="text1"/>
        </w:rPr>
        <w:t>运输收入：</w:t>
      </w:r>
      <w:r w:rsidRPr="00CB4B9E">
        <w:rPr>
          <w:rFonts w:ascii="宋体" w:hAnsi="宋体" w:hint="eastAsia"/>
          <w:color w:val="000000" w:themeColor="text1"/>
        </w:rPr>
        <w:t>指向非居民提供国际运输、邮政快递等服务而收取的费用。</w:t>
      </w:r>
      <w:r w:rsidRPr="00CB4B9E">
        <w:rPr>
          <w:rFonts w:ascii="宋体" w:hAnsi="宋体" w:hint="eastAsia"/>
          <w:color w:val="000000" w:themeColor="text1"/>
          <w:szCs w:val="21"/>
        </w:rPr>
        <w:t>未发生相关业务的金融机构此项应填报为零。</w:t>
      </w:r>
    </w:p>
    <w:p w:rsidR="008C59FE" w:rsidRPr="009263D7" w:rsidRDefault="00CB4B9E" w:rsidP="008066A2">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rPr>
        <w:t>1204.</w:t>
      </w:r>
      <w:r w:rsidRPr="00CB4B9E">
        <w:rPr>
          <w:rFonts w:ascii="黑体" w:eastAsia="黑体" w:hAnsi="宋体" w:hint="eastAsia"/>
          <w:color w:val="000000" w:themeColor="text1"/>
        </w:rPr>
        <w:t>公务及商务旅行收入：</w:t>
      </w:r>
      <w:r w:rsidRPr="00CB4B9E">
        <w:rPr>
          <w:rFonts w:ascii="黑体" w:eastAsia="黑体" w:hAnsi="宋体"/>
          <w:color w:val="000000" w:themeColor="text1"/>
        </w:rPr>
        <w:t xml:space="preserve"> </w:t>
      </w:r>
      <w:r w:rsidRPr="00CB4B9E">
        <w:rPr>
          <w:rFonts w:ascii="宋体" w:hAnsi="宋体" w:hint="eastAsia"/>
          <w:color w:val="000000" w:themeColor="text1"/>
          <w:szCs w:val="21"/>
        </w:rPr>
        <w:t>指因在境内向非居民提供住宿、餐饮、购物服务而获得的收入。未发生相关业务的金融机构此项应填报为零。</w:t>
      </w:r>
    </w:p>
    <w:p w:rsidR="00081C2E" w:rsidRPr="009263D7" w:rsidRDefault="00CB4B9E" w:rsidP="00AB090B">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1205.</w:t>
      </w:r>
      <w:r w:rsidRPr="00CB4B9E">
        <w:rPr>
          <w:rFonts w:ascii="黑体" w:eastAsia="黑体" w:hAnsi="宋体" w:hint="eastAsia"/>
          <w:color w:val="000000" w:themeColor="text1"/>
        </w:rPr>
        <w:t>建设收入：</w:t>
      </w:r>
      <w:r w:rsidRPr="00CB4B9E">
        <w:rPr>
          <w:rFonts w:ascii="宋体" w:hAnsi="宋体" w:hint="eastAsia"/>
          <w:color w:val="000000" w:themeColor="text1"/>
          <w:szCs w:val="21"/>
        </w:rPr>
        <w:t>指向非居民提供建设服务而收取的费用。</w:t>
      </w:r>
    </w:p>
    <w:p w:rsidR="00081C2E" w:rsidRPr="009263D7" w:rsidRDefault="00CB4B9E" w:rsidP="008C59FE">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1206.保险和养老金服务</w:t>
      </w:r>
      <w:r w:rsidRPr="00CB4B9E">
        <w:rPr>
          <w:rFonts w:ascii="黑体" w:eastAsia="黑体" w:hAnsi="宋体" w:hint="eastAsia"/>
          <w:color w:val="000000" w:themeColor="text1"/>
        </w:rPr>
        <w:t>收入：</w:t>
      </w:r>
      <w:r w:rsidRPr="00CB4B9E">
        <w:rPr>
          <w:rFonts w:ascii="宋体" w:hAnsi="宋体" w:hint="eastAsia"/>
          <w:color w:val="000000" w:themeColor="text1"/>
          <w:szCs w:val="21"/>
        </w:rPr>
        <w:t>指因提供人寿保险和年金、非人寿保险、再保险、标准化担保服务，以及保险、养老金计划和标准化担保计划的辅助服务所涉及的费用等收入。</w:t>
      </w:r>
      <w:r w:rsidR="00F81A9F" w:rsidRPr="00F81A9F">
        <w:rPr>
          <w:rFonts w:ascii="宋体" w:hAnsi="宋体" w:hint="eastAsia"/>
          <w:color w:val="000000" w:themeColor="text1"/>
          <w:szCs w:val="21"/>
        </w:rPr>
        <w:t>境内保险机构向投保人收取的保费和支付的赔偿等相关信息纳入I表统计</w:t>
      </w:r>
      <w:r w:rsidR="00F81A9F">
        <w:rPr>
          <w:rFonts w:ascii="宋体" w:hAnsi="宋体" w:hint="eastAsia"/>
          <w:color w:val="000000" w:themeColor="text1"/>
          <w:szCs w:val="21"/>
        </w:rPr>
        <w:t>，</w:t>
      </w:r>
      <w:r w:rsidRPr="00CB4B9E">
        <w:rPr>
          <w:rFonts w:ascii="宋体" w:hAnsi="宋体" w:hint="eastAsia"/>
          <w:color w:val="000000" w:themeColor="text1"/>
          <w:szCs w:val="21"/>
        </w:rPr>
        <w:t>请勿填入此表。</w:t>
      </w:r>
    </w:p>
    <w:p w:rsidR="00081C2E" w:rsidRPr="009263D7" w:rsidRDefault="00CB4B9E" w:rsidP="008C59FE">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1207.金融服务</w:t>
      </w:r>
      <w:r w:rsidRPr="00CB4B9E">
        <w:rPr>
          <w:rFonts w:ascii="黑体" w:eastAsia="黑体" w:hAnsi="宋体" w:hint="eastAsia"/>
          <w:color w:val="000000" w:themeColor="text1"/>
        </w:rPr>
        <w:t>收入：</w:t>
      </w:r>
      <w:r w:rsidRPr="00CB4B9E">
        <w:rPr>
          <w:rFonts w:ascii="宋体" w:hAnsi="宋体" w:hint="eastAsia"/>
          <w:color w:val="000000" w:themeColor="text1"/>
          <w:szCs w:val="21"/>
        </w:rPr>
        <w:t>指向非居民提供金融中介和辅助服务而收取的费用，包括但不限于向非居民收取的中间业务、结算和清算、代理、托管等手续费和佣金以及外汇买卖价差收入，但向非居民提供法律、会计、管理咨询、公共关系、广告、市场研究和民意调查等服务而收取的费用应纳入“</w:t>
      </w:r>
      <w:r w:rsidRPr="00CB4B9E">
        <w:rPr>
          <w:rFonts w:ascii="宋体" w:hAnsi="宋体"/>
          <w:color w:val="000000" w:themeColor="text1"/>
          <w:szCs w:val="21"/>
        </w:rPr>
        <w:t>1211</w:t>
      </w:r>
      <w:r w:rsidRPr="00CB4B9E">
        <w:rPr>
          <w:rFonts w:ascii="宋体" w:hAnsi="宋体" w:hint="eastAsia"/>
          <w:color w:val="000000" w:themeColor="text1"/>
          <w:szCs w:val="21"/>
        </w:rPr>
        <w:t>专业和管理咨询服务收入”统计。</w:t>
      </w:r>
    </w:p>
    <w:p w:rsidR="00081C2E" w:rsidRPr="009263D7" w:rsidRDefault="00CB4B9E" w:rsidP="008C59FE">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1208.知识产权使用费</w:t>
      </w:r>
      <w:r w:rsidRPr="00CB4B9E">
        <w:rPr>
          <w:rFonts w:ascii="黑体" w:eastAsia="黑体" w:hAnsi="宋体" w:hint="eastAsia"/>
          <w:color w:val="000000" w:themeColor="text1"/>
        </w:rPr>
        <w:t>收入：</w:t>
      </w:r>
      <w:r w:rsidRPr="00CB4B9E">
        <w:rPr>
          <w:rFonts w:ascii="宋体" w:hAnsi="宋体" w:hint="eastAsia"/>
          <w:color w:val="000000" w:themeColor="text1"/>
          <w:szCs w:val="21"/>
        </w:rPr>
        <w:t>指因非居民使用本机构所有的知识产权而收取的费用，以及复制传播此类产品（如书本和手稿、计算机软件、电影和音像制品）所涉及的许可费。知识产权包括专利权、商标权、版权、特许权等。</w:t>
      </w:r>
    </w:p>
    <w:p w:rsidR="00081C2E" w:rsidRPr="009263D7" w:rsidRDefault="00CB4B9E" w:rsidP="008C59FE">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1209.电信、计算机和信息服务</w:t>
      </w:r>
      <w:r w:rsidRPr="00CB4B9E">
        <w:rPr>
          <w:rFonts w:ascii="黑体" w:eastAsia="黑体" w:hAnsi="宋体" w:hint="eastAsia"/>
          <w:color w:val="000000" w:themeColor="text1"/>
        </w:rPr>
        <w:t>收入：</w:t>
      </w:r>
      <w:r w:rsidRPr="00CB4B9E">
        <w:rPr>
          <w:rFonts w:ascii="宋体" w:hAnsi="宋体" w:hint="eastAsia"/>
          <w:color w:val="000000" w:themeColor="text1"/>
          <w:szCs w:val="21"/>
        </w:rPr>
        <w:t>指因非居民使用本机构提供的电信服务、计算机服务和信息服务而收取的费用。</w:t>
      </w:r>
    </w:p>
    <w:p w:rsidR="00081C2E" w:rsidRPr="009263D7" w:rsidRDefault="00CB4B9E" w:rsidP="008C59FE">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1210.研究和开发服务</w:t>
      </w:r>
      <w:r w:rsidRPr="00CB4B9E">
        <w:rPr>
          <w:rFonts w:ascii="黑体" w:eastAsia="黑体" w:hAnsi="宋体" w:hint="eastAsia"/>
          <w:color w:val="000000" w:themeColor="text1"/>
        </w:rPr>
        <w:t>收入：</w:t>
      </w:r>
      <w:r w:rsidRPr="00CB4B9E">
        <w:rPr>
          <w:rFonts w:ascii="宋体" w:hAnsi="宋体" w:hint="eastAsia"/>
          <w:color w:val="000000" w:themeColor="text1"/>
          <w:szCs w:val="21"/>
        </w:rPr>
        <w:t>指向非居民提供研究和开发服务而收取的费用。</w:t>
      </w:r>
    </w:p>
    <w:p w:rsidR="00081C2E" w:rsidRPr="009263D7" w:rsidRDefault="00CB4B9E" w:rsidP="008C59FE">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1211.专业和管理咨询服务</w:t>
      </w:r>
      <w:r w:rsidRPr="00CB4B9E">
        <w:rPr>
          <w:rFonts w:ascii="黑体" w:eastAsia="黑体" w:hAnsi="宋体" w:hint="eastAsia"/>
          <w:color w:val="000000" w:themeColor="text1"/>
        </w:rPr>
        <w:t>收入：</w:t>
      </w:r>
      <w:r w:rsidRPr="00CB4B9E">
        <w:rPr>
          <w:rFonts w:ascii="宋体" w:hAnsi="宋体" w:hint="eastAsia"/>
          <w:color w:val="000000" w:themeColor="text1"/>
          <w:szCs w:val="21"/>
        </w:rPr>
        <w:t>指向非居民提供法律服务、会计服务、管理咨询、公共关系服务、广告、市场研究和民意调查服务而收取的费用。</w:t>
      </w:r>
    </w:p>
    <w:p w:rsidR="00105792" w:rsidRPr="009263D7" w:rsidRDefault="00CB4B9E" w:rsidP="00105792">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lastRenderedPageBreak/>
        <w:t>1212.</w:t>
      </w:r>
      <w:r w:rsidRPr="00CB4B9E">
        <w:rPr>
          <w:rFonts w:ascii="黑体" w:eastAsia="黑体" w:hAnsi="宋体" w:hint="eastAsia"/>
          <w:color w:val="000000" w:themeColor="text1"/>
        </w:rPr>
        <w:t>远程教育、医疗和培训收入：</w:t>
      </w:r>
      <w:r w:rsidRPr="00CB4B9E">
        <w:rPr>
          <w:rFonts w:ascii="宋体" w:hAnsi="宋体" w:hint="eastAsia"/>
          <w:color w:val="000000" w:themeColor="text1"/>
          <w:szCs w:val="21"/>
        </w:rPr>
        <w:t>指因在境内（含远程）以及出境向非居民提供教育、医疗和培训服务而收取的费用。</w:t>
      </w:r>
    </w:p>
    <w:p w:rsidR="00105792" w:rsidRPr="009263D7" w:rsidRDefault="00CB4B9E" w:rsidP="00105792">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1214.技术服务等其他商业服务收入：</w:t>
      </w:r>
      <w:r w:rsidRPr="00CB4B9E">
        <w:rPr>
          <w:rFonts w:ascii="宋体" w:hAnsi="宋体" w:hint="eastAsia"/>
          <w:color w:val="000000" w:themeColor="text1"/>
          <w:szCs w:val="21"/>
        </w:rPr>
        <w:t>指因提供建筑设计、装潢设计、工程（机械设计、机械研制和使用等）、经营租赁、货物或服务交易而收取的费用或佣金。但金融工具的经纪费应纳入“金融服务”统计；运输代理佣金等应纳入“运输”统计；保险佣金应纳入“保险和养老金服务”统计。</w:t>
      </w:r>
    </w:p>
    <w:p w:rsidR="008C59FE" w:rsidRPr="009263D7" w:rsidRDefault="00CB4B9E" w:rsidP="008C59FE">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1600.</w:t>
      </w:r>
      <w:r w:rsidRPr="00CB4B9E">
        <w:rPr>
          <w:rFonts w:ascii="黑体" w:eastAsia="黑体" w:hAnsi="宋体" w:hint="eastAsia"/>
          <w:color w:val="000000" w:themeColor="text1"/>
        </w:rPr>
        <w:t>二次收入（经常转移）收入：</w:t>
      </w:r>
      <w:r w:rsidRPr="00CB4B9E">
        <w:rPr>
          <w:rFonts w:ascii="宋体" w:hAnsi="宋体" w:hint="eastAsia"/>
          <w:color w:val="000000" w:themeColor="text1"/>
          <w:szCs w:val="21"/>
        </w:rPr>
        <w:t>指非居民向填报机构提供经常性的无偿捐赠、救济、援助，以现金或实物形式均可，以及保险赔付收入。实物按实际价值折算。</w:t>
      </w:r>
    </w:p>
    <w:p w:rsidR="00DD3198" w:rsidRPr="009263D7" w:rsidRDefault="00CB4B9E" w:rsidP="008C59FE">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1601．保险赔付</w:t>
      </w:r>
      <w:r w:rsidRPr="00CB4B9E">
        <w:rPr>
          <w:rFonts w:ascii="黑体" w:eastAsia="黑体" w:hAnsi="宋体" w:hint="eastAsia"/>
          <w:color w:val="000000" w:themeColor="text1"/>
        </w:rPr>
        <w:t>收入：</w:t>
      </w:r>
      <w:r w:rsidRPr="00CB4B9E">
        <w:rPr>
          <w:rFonts w:ascii="宋体" w:hAnsi="宋体" w:hint="eastAsia"/>
          <w:color w:val="000000" w:themeColor="text1"/>
          <w:szCs w:val="21"/>
        </w:rPr>
        <w:t>指来自非居民的保险赔付收入。仅限于保险机构以外的其他机构填报。</w:t>
      </w:r>
      <w:r w:rsidRPr="00CB4B9E">
        <w:rPr>
          <w:rFonts w:hint="eastAsia"/>
          <w:color w:val="000000" w:themeColor="text1"/>
        </w:rPr>
        <w:t>境内保险机构再保险项下相关信息纳入</w:t>
      </w:r>
      <w:r w:rsidRPr="00CB4B9E">
        <w:rPr>
          <w:color w:val="000000" w:themeColor="text1"/>
        </w:rPr>
        <w:t>I</w:t>
      </w:r>
      <w:r w:rsidRPr="00CB4B9E">
        <w:rPr>
          <w:rFonts w:hint="eastAsia"/>
          <w:color w:val="000000" w:themeColor="text1"/>
        </w:rPr>
        <w:t>表统计。</w:t>
      </w:r>
    </w:p>
    <w:p w:rsidR="00DD3198" w:rsidRPr="009263D7" w:rsidRDefault="00CB4B9E" w:rsidP="008C59FE">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1602. 其他</w:t>
      </w:r>
      <w:r w:rsidRPr="00CB4B9E">
        <w:rPr>
          <w:rFonts w:ascii="黑体" w:eastAsia="黑体" w:hAnsi="宋体" w:hint="eastAsia"/>
          <w:color w:val="000000" w:themeColor="text1"/>
        </w:rPr>
        <w:t>二次收入（经常转移）收入：</w:t>
      </w:r>
      <w:r w:rsidRPr="00CB4B9E">
        <w:rPr>
          <w:rFonts w:ascii="宋体" w:hAnsi="宋体" w:hint="eastAsia"/>
          <w:color w:val="000000" w:themeColor="text1"/>
          <w:szCs w:val="21"/>
        </w:rPr>
        <w:t>指非居民向填报机构提供经常性的无偿捐赠、救济、援助。</w:t>
      </w:r>
    </w:p>
    <w:p w:rsidR="008C59FE" w:rsidRPr="009263D7" w:rsidRDefault="00CB4B9E" w:rsidP="008C59FE">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1700.资本账户收入：</w:t>
      </w:r>
      <w:r w:rsidRPr="00CB4B9E">
        <w:rPr>
          <w:rFonts w:ascii="宋体" w:hAnsi="宋体" w:hint="eastAsia"/>
          <w:color w:val="000000" w:themeColor="text1"/>
          <w:szCs w:val="21"/>
        </w:rPr>
        <w:t>指本机构从非居民处获得与固定资产有关的捐赠的价值，以及处置</w:t>
      </w:r>
      <w:r w:rsidRPr="00CB4B9E">
        <w:rPr>
          <w:rFonts w:ascii="宋体" w:hAnsi="宋体"/>
          <w:color w:val="000000" w:themeColor="text1"/>
          <w:szCs w:val="21"/>
        </w:rPr>
        <w:t>非生产非金融资产的</w:t>
      </w:r>
      <w:r w:rsidRPr="00CB4B9E">
        <w:rPr>
          <w:rFonts w:ascii="宋体" w:hAnsi="宋体" w:hint="eastAsia"/>
          <w:color w:val="000000" w:themeColor="text1"/>
          <w:szCs w:val="21"/>
        </w:rPr>
        <w:t>收入。</w:t>
      </w:r>
      <w:r w:rsidRPr="00CB4B9E">
        <w:rPr>
          <w:rFonts w:ascii="宋体" w:hAnsi="宋体"/>
          <w:color w:val="000000" w:themeColor="text1"/>
          <w:szCs w:val="21"/>
        </w:rPr>
        <w:t>比较常见的资本转移有债务减免、桥梁和工程援建以及投资捐赠等</w:t>
      </w:r>
      <w:r w:rsidRPr="00CB4B9E">
        <w:rPr>
          <w:rFonts w:eastAsia="仿宋_GB2312" w:hint="eastAsia"/>
          <w:bCs/>
          <w:color w:val="000000" w:themeColor="text1"/>
          <w:sz w:val="24"/>
        </w:rPr>
        <w:t>。</w:t>
      </w:r>
    </w:p>
    <w:p w:rsidR="008C59FE" w:rsidRPr="009263D7" w:rsidRDefault="00CB4B9E" w:rsidP="008C59FE">
      <w:pPr>
        <w:widowControl/>
        <w:tabs>
          <w:tab w:val="num" w:pos="720"/>
          <w:tab w:val="left" w:pos="1080"/>
        </w:tabs>
        <w:spacing w:line="360" w:lineRule="auto"/>
        <w:ind w:firstLineChars="200" w:firstLine="420"/>
        <w:rPr>
          <w:rFonts w:ascii="宋体" w:hAnsi="宋体"/>
          <w:color w:val="000000" w:themeColor="text1"/>
        </w:rPr>
      </w:pPr>
      <w:r w:rsidRPr="00CB4B9E">
        <w:rPr>
          <w:rFonts w:ascii="黑体" w:eastAsia="黑体" w:hAnsi="宋体"/>
          <w:color w:val="000000" w:themeColor="text1"/>
        </w:rPr>
        <w:t>1701.其中：债务减免：</w:t>
      </w:r>
      <w:r w:rsidRPr="00CB4B9E">
        <w:rPr>
          <w:rFonts w:ascii="宋体" w:hAnsi="宋体" w:hint="eastAsia"/>
          <w:color w:val="000000" w:themeColor="text1"/>
        </w:rPr>
        <w:t>是指非居民债权人通过合同协议方式自愿撤销本机构部分或全部债务的行为。</w:t>
      </w:r>
    </w:p>
    <w:p w:rsidR="008C59FE" w:rsidRPr="009263D7" w:rsidRDefault="00CB4B9E" w:rsidP="008C59FE">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2000.对非居民的支出：</w:t>
      </w:r>
      <w:r w:rsidRPr="00CB4B9E">
        <w:rPr>
          <w:rFonts w:ascii="宋体" w:hAnsi="宋体" w:hint="eastAsia"/>
          <w:color w:val="000000" w:themeColor="text1"/>
          <w:szCs w:val="21"/>
        </w:rPr>
        <w:t>是货物支出（</w:t>
      </w:r>
      <w:r w:rsidRPr="00CB4B9E">
        <w:rPr>
          <w:rFonts w:ascii="宋体" w:hAnsi="宋体"/>
          <w:color w:val="000000" w:themeColor="text1"/>
          <w:szCs w:val="21"/>
        </w:rPr>
        <w:t>2100</w:t>
      </w:r>
      <w:r w:rsidRPr="00CB4B9E">
        <w:rPr>
          <w:rFonts w:ascii="宋体" w:hAnsi="宋体" w:hint="eastAsia"/>
          <w:color w:val="000000" w:themeColor="text1"/>
          <w:szCs w:val="21"/>
        </w:rPr>
        <w:t>）、服务支出（</w:t>
      </w:r>
      <w:r w:rsidRPr="00CB4B9E">
        <w:rPr>
          <w:rFonts w:ascii="宋体" w:hAnsi="宋体"/>
          <w:color w:val="000000" w:themeColor="text1"/>
          <w:szCs w:val="21"/>
        </w:rPr>
        <w:t>2200</w:t>
      </w:r>
      <w:r w:rsidRPr="00CB4B9E">
        <w:rPr>
          <w:rFonts w:ascii="宋体" w:hAnsi="宋体" w:hint="eastAsia"/>
          <w:color w:val="000000" w:themeColor="text1"/>
          <w:szCs w:val="21"/>
        </w:rPr>
        <w:t>）、代表处经费（</w:t>
      </w:r>
      <w:r w:rsidRPr="00CB4B9E">
        <w:rPr>
          <w:rFonts w:ascii="宋体" w:hAnsi="宋体"/>
          <w:color w:val="000000" w:themeColor="text1"/>
          <w:szCs w:val="21"/>
        </w:rPr>
        <w:t>2300）、筹备组费用（2400）、</w:t>
      </w:r>
      <w:r w:rsidRPr="00CB4B9E">
        <w:rPr>
          <w:rFonts w:ascii="宋体" w:hAnsi="宋体" w:hint="eastAsia"/>
          <w:color w:val="000000" w:themeColor="text1"/>
          <w:szCs w:val="21"/>
        </w:rPr>
        <w:t>支付非居民雇员报酬（</w:t>
      </w:r>
      <w:r w:rsidRPr="00CB4B9E">
        <w:rPr>
          <w:rFonts w:ascii="宋体" w:hAnsi="宋体"/>
          <w:color w:val="000000" w:themeColor="text1"/>
          <w:szCs w:val="21"/>
        </w:rPr>
        <w:t>2500</w:t>
      </w:r>
      <w:r w:rsidRPr="00CB4B9E">
        <w:rPr>
          <w:rFonts w:ascii="宋体" w:hAnsi="宋体" w:hint="eastAsia"/>
          <w:color w:val="000000" w:themeColor="text1"/>
          <w:szCs w:val="21"/>
        </w:rPr>
        <w:t>）、二次收入（经常转移）支出（</w:t>
      </w:r>
      <w:r w:rsidRPr="00CB4B9E">
        <w:rPr>
          <w:rFonts w:ascii="宋体" w:hAnsi="宋体"/>
          <w:color w:val="000000" w:themeColor="text1"/>
          <w:szCs w:val="21"/>
        </w:rPr>
        <w:t>2600</w:t>
      </w:r>
      <w:r w:rsidRPr="00CB4B9E">
        <w:rPr>
          <w:rFonts w:ascii="宋体" w:hAnsi="宋体" w:hint="eastAsia"/>
          <w:color w:val="000000" w:themeColor="text1"/>
          <w:szCs w:val="21"/>
        </w:rPr>
        <w:t>）和资本账户支出（</w:t>
      </w:r>
      <w:r w:rsidRPr="00CB4B9E">
        <w:rPr>
          <w:rFonts w:ascii="宋体" w:hAnsi="宋体"/>
          <w:color w:val="000000" w:themeColor="text1"/>
          <w:szCs w:val="21"/>
        </w:rPr>
        <w:t>2700</w:t>
      </w:r>
      <w:r w:rsidRPr="00CB4B9E">
        <w:rPr>
          <w:rFonts w:ascii="宋体" w:hAnsi="宋体" w:hint="eastAsia"/>
          <w:color w:val="000000" w:themeColor="text1"/>
          <w:szCs w:val="21"/>
        </w:rPr>
        <w:t>）的合计数。</w:t>
      </w:r>
    </w:p>
    <w:p w:rsidR="008C59FE" w:rsidRPr="009263D7" w:rsidRDefault="00CB4B9E" w:rsidP="008C59FE">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2100.货物支出：</w:t>
      </w:r>
      <w:r w:rsidRPr="00CB4B9E">
        <w:rPr>
          <w:rFonts w:ascii="宋体" w:hAnsi="宋体" w:hint="eastAsia"/>
          <w:color w:val="000000" w:themeColor="text1"/>
          <w:szCs w:val="21"/>
        </w:rPr>
        <w:t>进口货物的支出。</w:t>
      </w:r>
    </w:p>
    <w:p w:rsidR="008C59FE" w:rsidRPr="009263D7" w:rsidRDefault="00CB4B9E" w:rsidP="008C59FE">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2101.</w:t>
      </w:r>
      <w:r w:rsidRPr="00CB4B9E">
        <w:rPr>
          <w:rFonts w:ascii="黑体" w:eastAsia="黑体" w:hAnsi="宋体" w:hint="eastAsia"/>
          <w:color w:val="000000" w:themeColor="text1"/>
        </w:rPr>
        <w:t>其中：非货币黄金支出：</w:t>
      </w:r>
      <w:r w:rsidRPr="00CB4B9E">
        <w:rPr>
          <w:rFonts w:ascii="宋体" w:hAnsi="宋体" w:hint="eastAsia"/>
          <w:color w:val="000000" w:themeColor="text1"/>
          <w:szCs w:val="21"/>
        </w:rPr>
        <w:t>进口非货币黄金的支出。</w:t>
      </w:r>
    </w:p>
    <w:p w:rsidR="00FC47A2" w:rsidRPr="009263D7" w:rsidRDefault="00CB4B9E" w:rsidP="008C59FE">
      <w:pPr>
        <w:widowControl/>
        <w:tabs>
          <w:tab w:val="num" w:pos="720"/>
          <w:tab w:val="left" w:pos="1080"/>
        </w:tabs>
        <w:spacing w:line="360" w:lineRule="auto"/>
        <w:ind w:firstLineChars="200" w:firstLine="420"/>
        <w:rPr>
          <w:rFonts w:ascii="宋体" w:hAnsi="宋体"/>
          <w:color w:val="000000" w:themeColor="text1"/>
        </w:rPr>
      </w:pPr>
      <w:r w:rsidRPr="00CB4B9E">
        <w:rPr>
          <w:rFonts w:ascii="黑体" w:eastAsia="黑体" w:hAnsi="宋体"/>
          <w:color w:val="000000" w:themeColor="text1"/>
        </w:rPr>
        <w:t>2200.服务支出：</w:t>
      </w:r>
      <w:r w:rsidRPr="00CB4B9E">
        <w:rPr>
          <w:rFonts w:ascii="宋体" w:hAnsi="宋体" w:hint="eastAsia"/>
          <w:color w:val="000000" w:themeColor="text1"/>
        </w:rPr>
        <w:t>指接受非居民提供各项服务的总支出，为</w:t>
      </w:r>
      <w:r w:rsidRPr="00CB4B9E">
        <w:rPr>
          <w:rFonts w:ascii="宋体" w:hAnsi="宋体"/>
          <w:color w:val="000000" w:themeColor="text1"/>
        </w:rPr>
        <w:t>2201-2214</w:t>
      </w:r>
      <w:r w:rsidRPr="00CB4B9E">
        <w:rPr>
          <w:rFonts w:ascii="宋体" w:hAnsi="宋体" w:hint="eastAsia"/>
          <w:color w:val="000000" w:themeColor="text1"/>
        </w:rPr>
        <w:t>各项金额合计。</w:t>
      </w:r>
    </w:p>
    <w:p w:rsidR="00FC47A2" w:rsidRPr="009263D7" w:rsidRDefault="00CB4B9E" w:rsidP="00FC47A2">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rPr>
        <w:t>2201．加工服务</w:t>
      </w:r>
      <w:r w:rsidRPr="00CB4B9E">
        <w:rPr>
          <w:rFonts w:ascii="黑体" w:eastAsia="黑体" w:hAnsi="宋体" w:hint="eastAsia"/>
          <w:color w:val="000000" w:themeColor="text1"/>
        </w:rPr>
        <w:t>支出：</w:t>
      </w:r>
      <w:r w:rsidRPr="00CB4B9E">
        <w:rPr>
          <w:rFonts w:ascii="宋体" w:hAnsi="宋体" w:hint="eastAsia"/>
          <w:color w:val="000000" w:themeColor="text1"/>
        </w:rPr>
        <w:t>指填报机构将本机构拥有的实物交付给非居民开展制造服务而支付的加工费。非居民不拥有相关实物的所有权，仅提供加工、装配、贴标签和包装等服务。</w:t>
      </w:r>
    </w:p>
    <w:p w:rsidR="008C59FE" w:rsidRPr="009263D7" w:rsidRDefault="00CB4B9E" w:rsidP="00FC47A2">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rPr>
        <w:t>2202.</w:t>
      </w:r>
      <w:r w:rsidRPr="00CB4B9E">
        <w:rPr>
          <w:rFonts w:ascii="黑体" w:eastAsia="黑体" w:hAnsi="宋体" w:hint="eastAsia"/>
          <w:color w:val="000000" w:themeColor="text1"/>
        </w:rPr>
        <w:t>别处未涵盖的维护和维修服务支出：</w:t>
      </w:r>
      <w:r w:rsidRPr="00CB4B9E">
        <w:rPr>
          <w:rFonts w:ascii="宋体" w:hAnsi="宋体" w:hint="eastAsia"/>
          <w:color w:val="000000" w:themeColor="text1"/>
        </w:rPr>
        <w:t>指填报机构使用非居民对本机构拥有的实物提供维护和维修服务而支付的费用。</w:t>
      </w:r>
    </w:p>
    <w:p w:rsidR="00FB33D6" w:rsidRPr="009263D7" w:rsidRDefault="00CB4B9E" w:rsidP="00FB33D6">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2203.运输支出：</w:t>
      </w:r>
      <w:r w:rsidRPr="00CB4B9E">
        <w:rPr>
          <w:rFonts w:ascii="宋体" w:hAnsi="宋体" w:hint="eastAsia"/>
          <w:color w:val="000000" w:themeColor="text1"/>
        </w:rPr>
        <w:t>指因使用非居民提供的国际运输、邮政快递等服务而支付的费用。</w:t>
      </w:r>
    </w:p>
    <w:p w:rsidR="00FB33D6" w:rsidRPr="009263D7" w:rsidRDefault="00CB4B9E" w:rsidP="00FB33D6">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rPr>
        <w:t>2204.公务及商务旅行支出：</w:t>
      </w:r>
      <w:r w:rsidRPr="00CB4B9E">
        <w:rPr>
          <w:rFonts w:ascii="宋体" w:hAnsi="宋体" w:hint="eastAsia"/>
          <w:color w:val="000000" w:themeColor="text1"/>
        </w:rPr>
        <w:t>指为公务及商务目的旅行的个人，在境外（旅行地）的个人物品和服务的花费，如在旅行地的交通、餐饮、住宿等花费。但公务及商务旅行人员使用非居民承运的国际运输花费，应纳入运输项目统计。</w:t>
      </w:r>
    </w:p>
    <w:p w:rsidR="00FB33D6" w:rsidRPr="009263D7" w:rsidRDefault="00CB4B9E" w:rsidP="00FB33D6">
      <w:pPr>
        <w:spacing w:line="360" w:lineRule="auto"/>
        <w:ind w:firstLineChars="200" w:firstLine="420"/>
        <w:jc w:val="left"/>
        <w:rPr>
          <w:rFonts w:ascii="黑体" w:eastAsia="黑体" w:hAnsi="宋体"/>
          <w:color w:val="000000" w:themeColor="text1"/>
        </w:rPr>
      </w:pPr>
      <w:r w:rsidRPr="00CB4B9E">
        <w:rPr>
          <w:rFonts w:ascii="黑体" w:eastAsia="黑体" w:hAnsi="宋体"/>
          <w:color w:val="000000" w:themeColor="text1"/>
        </w:rPr>
        <w:t>2205.</w:t>
      </w:r>
      <w:r w:rsidRPr="00CB4B9E">
        <w:rPr>
          <w:rFonts w:ascii="黑体" w:eastAsia="黑体" w:hAnsi="宋体" w:hint="eastAsia"/>
          <w:color w:val="000000" w:themeColor="text1"/>
        </w:rPr>
        <w:t>建设支出：</w:t>
      </w:r>
      <w:r w:rsidRPr="00CB4B9E">
        <w:rPr>
          <w:rFonts w:ascii="宋体" w:hAnsi="宋体" w:hint="eastAsia"/>
          <w:color w:val="000000" w:themeColor="text1"/>
        </w:rPr>
        <w:t>指因使用非居民建设服务而支付的费用。</w:t>
      </w:r>
    </w:p>
    <w:p w:rsidR="00FB33D6" w:rsidRPr="009263D7" w:rsidRDefault="00CB4B9E" w:rsidP="00FB33D6">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lastRenderedPageBreak/>
        <w:t>2206.保险和养老金服务支出：</w:t>
      </w:r>
      <w:r w:rsidRPr="00CB4B9E">
        <w:rPr>
          <w:rFonts w:ascii="宋体" w:hAnsi="宋体" w:hint="eastAsia"/>
          <w:color w:val="000000" w:themeColor="text1"/>
          <w:szCs w:val="21"/>
        </w:rPr>
        <w:t>指因使用非居民的人寿保险和年金、非人寿保险、再保险、标准化担保服务，以及保险、养老金计划和标准化担保计划的辅助服务而支付的费用。</w:t>
      </w:r>
      <w:r w:rsidR="00F81A9F" w:rsidRPr="00F81A9F">
        <w:rPr>
          <w:rFonts w:ascii="宋体" w:hAnsi="宋体" w:hint="eastAsia"/>
          <w:color w:val="000000" w:themeColor="text1"/>
          <w:szCs w:val="21"/>
        </w:rPr>
        <w:t>境内保险机构向投保人收取的保费和支付的赔偿等相关信息纳入I表统计</w:t>
      </w:r>
      <w:r w:rsidR="00F81A9F">
        <w:rPr>
          <w:rFonts w:ascii="宋体" w:hAnsi="宋体" w:hint="eastAsia"/>
          <w:color w:val="000000" w:themeColor="text1"/>
          <w:szCs w:val="21"/>
        </w:rPr>
        <w:t>，</w:t>
      </w:r>
      <w:r w:rsidR="00F81A9F" w:rsidRPr="00A06CFC">
        <w:rPr>
          <w:rFonts w:ascii="宋体" w:hAnsi="宋体" w:hint="eastAsia"/>
          <w:color w:val="000000" w:themeColor="text1"/>
          <w:szCs w:val="21"/>
        </w:rPr>
        <w:t>请勿填入此表</w:t>
      </w:r>
      <w:r w:rsidRPr="00CB4B9E">
        <w:rPr>
          <w:rFonts w:ascii="宋体" w:hAnsi="宋体"/>
          <w:color w:val="000000" w:themeColor="text1"/>
          <w:szCs w:val="21"/>
        </w:rPr>
        <w:t>。</w:t>
      </w:r>
    </w:p>
    <w:p w:rsidR="00FB33D6" w:rsidRPr="009263D7" w:rsidRDefault="00CB4B9E" w:rsidP="00FB33D6">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2207.金融服务支出：</w:t>
      </w:r>
      <w:r w:rsidRPr="00CB4B9E">
        <w:rPr>
          <w:rFonts w:ascii="宋体" w:hAnsi="宋体" w:hint="eastAsia"/>
          <w:color w:val="000000" w:themeColor="text1"/>
          <w:szCs w:val="21"/>
        </w:rPr>
        <w:t>指因接受金融中介和辅助服务而支付的费用，包括但不限于向非居民支付的中间业务、结算和清算、代理、托管等服务支付的手续费和佣金，但使用非居民提供的法律、会计、管理咨询、公共关系、广告、市场研究和民意调查等服务而支付的费用应纳入“</w:t>
      </w:r>
      <w:r w:rsidRPr="00CB4B9E">
        <w:rPr>
          <w:rFonts w:ascii="宋体" w:hAnsi="宋体"/>
          <w:color w:val="000000" w:themeColor="text1"/>
          <w:szCs w:val="21"/>
        </w:rPr>
        <w:t>2211</w:t>
      </w:r>
      <w:r w:rsidRPr="00CB4B9E">
        <w:rPr>
          <w:rFonts w:ascii="宋体" w:hAnsi="宋体" w:hint="eastAsia"/>
          <w:color w:val="000000" w:themeColor="text1"/>
          <w:szCs w:val="21"/>
        </w:rPr>
        <w:t>专业和管理咨询服务支出”统计。</w:t>
      </w:r>
    </w:p>
    <w:p w:rsidR="00FB33D6" w:rsidRPr="009263D7" w:rsidRDefault="00CB4B9E" w:rsidP="00FB33D6">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2208.知识产权使用费</w:t>
      </w:r>
      <w:r w:rsidRPr="00CB4B9E">
        <w:rPr>
          <w:rFonts w:ascii="黑体" w:eastAsia="黑体" w:hAnsi="宋体" w:hint="eastAsia"/>
          <w:color w:val="000000" w:themeColor="text1"/>
        </w:rPr>
        <w:t>支出：</w:t>
      </w:r>
      <w:r w:rsidRPr="00CB4B9E">
        <w:rPr>
          <w:rFonts w:ascii="宋体" w:hAnsi="宋体" w:hint="eastAsia"/>
          <w:color w:val="000000" w:themeColor="text1"/>
          <w:szCs w:val="21"/>
        </w:rPr>
        <w:t>指因使用非居民所拥有的知识产权，以及复制传播此类产品（如书本和手稿、计算机软件、电影和音像制品）所支付的费用或许可费。知识产权包括专利权、商标权、版权、特许权等。</w:t>
      </w:r>
    </w:p>
    <w:p w:rsidR="00FB33D6" w:rsidRPr="009263D7" w:rsidRDefault="00CB4B9E" w:rsidP="00FB33D6">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2209.电信、计算机和信息服务</w:t>
      </w:r>
      <w:r w:rsidRPr="00CB4B9E">
        <w:rPr>
          <w:rFonts w:ascii="黑体" w:eastAsia="黑体" w:hAnsi="宋体" w:hint="eastAsia"/>
          <w:color w:val="000000" w:themeColor="text1"/>
        </w:rPr>
        <w:t>支出：</w:t>
      </w:r>
      <w:r w:rsidRPr="00CB4B9E">
        <w:rPr>
          <w:rFonts w:ascii="宋体" w:hAnsi="宋体" w:hint="eastAsia"/>
          <w:color w:val="000000" w:themeColor="text1"/>
          <w:szCs w:val="21"/>
        </w:rPr>
        <w:t>指因使用非居民提供的电信服务、计算机服务和信息服务而支付的费用。</w:t>
      </w:r>
    </w:p>
    <w:p w:rsidR="00FB33D6" w:rsidRPr="009263D7" w:rsidRDefault="00CB4B9E" w:rsidP="00FB33D6">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2210.研究和开发服务</w:t>
      </w:r>
      <w:r w:rsidRPr="00CB4B9E">
        <w:rPr>
          <w:rFonts w:ascii="黑体" w:eastAsia="黑体" w:hAnsi="宋体" w:hint="eastAsia"/>
          <w:color w:val="000000" w:themeColor="text1"/>
        </w:rPr>
        <w:t>支出：</w:t>
      </w:r>
      <w:r w:rsidRPr="00CB4B9E">
        <w:rPr>
          <w:rFonts w:ascii="宋体" w:hAnsi="宋体" w:hint="eastAsia"/>
          <w:color w:val="000000" w:themeColor="text1"/>
          <w:szCs w:val="21"/>
        </w:rPr>
        <w:t>指因使用非居民提供的研究和开发服务而支付的费用。</w:t>
      </w:r>
    </w:p>
    <w:p w:rsidR="00FB33D6" w:rsidRPr="009263D7" w:rsidRDefault="00CB4B9E" w:rsidP="00FB33D6">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2211.专业和管理咨询服务</w:t>
      </w:r>
      <w:r w:rsidRPr="00CB4B9E">
        <w:rPr>
          <w:rFonts w:ascii="黑体" w:eastAsia="黑体" w:hAnsi="宋体" w:hint="eastAsia"/>
          <w:color w:val="000000" w:themeColor="text1"/>
        </w:rPr>
        <w:t>支出：</w:t>
      </w:r>
      <w:r w:rsidRPr="00CB4B9E">
        <w:rPr>
          <w:rFonts w:ascii="宋体" w:hAnsi="宋体" w:hint="eastAsia"/>
          <w:color w:val="000000" w:themeColor="text1"/>
          <w:szCs w:val="21"/>
        </w:rPr>
        <w:t>指因使用非居民提供的法律服务、会计服务、管理咨询、公共关系服务、广告、市场研究和民意调查服务而支付的费用。</w:t>
      </w:r>
    </w:p>
    <w:p w:rsidR="00FB33D6" w:rsidRPr="009263D7" w:rsidRDefault="00CB4B9E" w:rsidP="00FB33D6">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2212.远程教育、医疗和培训</w:t>
      </w:r>
      <w:r w:rsidRPr="00CB4B9E">
        <w:rPr>
          <w:rFonts w:ascii="黑体" w:eastAsia="黑体" w:hAnsi="宋体" w:hint="eastAsia"/>
          <w:color w:val="000000" w:themeColor="text1"/>
        </w:rPr>
        <w:t>支出：</w:t>
      </w:r>
      <w:r w:rsidRPr="00CB4B9E">
        <w:rPr>
          <w:rFonts w:ascii="宋体" w:hAnsi="宋体" w:hint="eastAsia"/>
          <w:color w:val="000000" w:themeColor="text1"/>
          <w:szCs w:val="21"/>
        </w:rPr>
        <w:t>指在境内（含远程）接受非居民提供的教育、医疗和培训服务而支付的费用。</w:t>
      </w:r>
    </w:p>
    <w:p w:rsidR="00F32473" w:rsidRPr="009263D7" w:rsidRDefault="00CB4B9E" w:rsidP="00480063">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2213.签证费等政府服务</w:t>
      </w:r>
      <w:r w:rsidRPr="00CB4B9E">
        <w:rPr>
          <w:rFonts w:ascii="黑体" w:eastAsia="黑体" w:hAnsi="宋体" w:hint="eastAsia"/>
          <w:color w:val="000000" w:themeColor="text1"/>
        </w:rPr>
        <w:t>支出：</w:t>
      </w:r>
      <w:r w:rsidRPr="00CB4B9E">
        <w:rPr>
          <w:rFonts w:ascii="宋体" w:hAnsi="宋体" w:hint="eastAsia"/>
          <w:color w:val="000000" w:themeColor="text1"/>
          <w:szCs w:val="21"/>
        </w:rPr>
        <w:t>指因使用非居民使领馆和政府等提供的签证或其他服务而支付的费用。</w:t>
      </w:r>
    </w:p>
    <w:p w:rsidR="00DD6F68" w:rsidRPr="009263D7" w:rsidRDefault="00CB4B9E" w:rsidP="00480063">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2214.技术服务等其他商业服务支出：</w:t>
      </w:r>
      <w:r w:rsidRPr="00CB4B9E">
        <w:rPr>
          <w:rFonts w:ascii="宋体" w:hAnsi="宋体" w:hint="eastAsia"/>
          <w:color w:val="000000" w:themeColor="text1"/>
          <w:szCs w:val="21"/>
        </w:rPr>
        <w:t>指因使用非居民的建筑设计、装潢设计、工程（机械设计、机械研制和使用等）、经营租赁、货物或服务交易而支付的费用或佣金。但金融工具的经纪费应纳入“金融服务”统计；运输代理佣金等应纳入“运输”统计；保险佣金应纳入“保险和养老金服务”统计。</w:t>
      </w:r>
    </w:p>
    <w:p w:rsidR="00480063" w:rsidRPr="009263D7" w:rsidRDefault="00CB4B9E" w:rsidP="00480063">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2300.代表处经费：</w:t>
      </w:r>
      <w:r w:rsidRPr="00CB4B9E">
        <w:rPr>
          <w:rFonts w:ascii="宋体" w:hAnsi="宋体" w:hint="eastAsia"/>
          <w:color w:val="000000" w:themeColor="text1"/>
          <w:szCs w:val="21"/>
        </w:rPr>
        <w:t>指本机构拨付境外代表处、办事处的各项费用合计。</w:t>
      </w:r>
    </w:p>
    <w:p w:rsidR="00480063" w:rsidRPr="009263D7" w:rsidRDefault="00CB4B9E" w:rsidP="00480063">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2400.筹备组费用：</w:t>
      </w:r>
      <w:r w:rsidRPr="00CB4B9E">
        <w:rPr>
          <w:rFonts w:ascii="宋体" w:hAnsi="宋体" w:hint="eastAsia"/>
          <w:color w:val="000000" w:themeColor="text1"/>
          <w:szCs w:val="21"/>
        </w:rPr>
        <w:t>在境外正式设立机构前的筹备费用支出。</w:t>
      </w:r>
    </w:p>
    <w:p w:rsidR="000871B6" w:rsidRPr="009263D7" w:rsidRDefault="00CB4B9E" w:rsidP="000871B6">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2500.支付非居民雇员报酬：</w:t>
      </w:r>
      <w:r w:rsidRPr="00CB4B9E">
        <w:rPr>
          <w:rFonts w:ascii="宋体" w:hAnsi="宋体" w:cs="宋体" w:hint="eastAsia"/>
          <w:color w:val="000000" w:themeColor="text1"/>
          <w:kern w:val="0"/>
          <w:szCs w:val="21"/>
        </w:rPr>
        <w:t>填报机构向其</w:t>
      </w:r>
      <w:r w:rsidRPr="00CB4B9E">
        <w:rPr>
          <w:rFonts w:ascii="宋体" w:hAnsi="宋体" w:hint="eastAsia"/>
          <w:color w:val="000000" w:themeColor="text1"/>
          <w:szCs w:val="21"/>
        </w:rPr>
        <w:t>非居民雇员支付的工资和酬金。包括现金和实物形式的工资、薪金，也包括雇员交纳的社保缴款。</w:t>
      </w:r>
    </w:p>
    <w:p w:rsidR="000B0351" w:rsidRPr="009263D7" w:rsidRDefault="00CB4B9E" w:rsidP="000871B6">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szCs w:val="21"/>
        </w:rPr>
        <w:t>2501.</w:t>
      </w:r>
      <w:r w:rsidRPr="00CB4B9E">
        <w:rPr>
          <w:rFonts w:ascii="黑体" w:eastAsia="黑体" w:hAnsi="宋体" w:hint="eastAsia"/>
          <w:color w:val="000000" w:themeColor="text1"/>
          <w:szCs w:val="21"/>
        </w:rPr>
        <w:t>其中：非居民</w:t>
      </w:r>
      <w:r w:rsidRPr="00CB4B9E">
        <w:rPr>
          <w:rFonts w:ascii="黑体" w:eastAsia="黑体" w:hAnsi="宋体" w:hint="eastAsia"/>
          <w:color w:val="000000" w:themeColor="text1"/>
        </w:rPr>
        <w:t>雇员股票期权费用：</w:t>
      </w:r>
      <w:r w:rsidRPr="00CB4B9E">
        <w:rPr>
          <w:rFonts w:ascii="宋体" w:hAnsi="宋体" w:hint="eastAsia"/>
          <w:color w:val="000000" w:themeColor="text1"/>
          <w:szCs w:val="21"/>
        </w:rPr>
        <w:t>填报机构向非居民雇员支付的雇员股票期权。</w:t>
      </w:r>
    </w:p>
    <w:p w:rsidR="00480063" w:rsidRPr="009263D7" w:rsidRDefault="00CB4B9E" w:rsidP="00480063">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2600.</w:t>
      </w:r>
      <w:r w:rsidRPr="00CB4B9E">
        <w:rPr>
          <w:rFonts w:ascii="黑体" w:eastAsia="黑体" w:hAnsi="宋体" w:hint="eastAsia"/>
          <w:color w:val="000000" w:themeColor="text1"/>
        </w:rPr>
        <w:t>二次收入（经常转移）支出：</w:t>
      </w:r>
      <w:r w:rsidRPr="00CB4B9E">
        <w:rPr>
          <w:rFonts w:ascii="宋体" w:hAnsi="宋体" w:hint="eastAsia"/>
          <w:color w:val="000000" w:themeColor="text1"/>
          <w:szCs w:val="21"/>
        </w:rPr>
        <w:t>指非居民向填报机构提供经常性的无偿捐赠、救济、援助，以现金或实物形式均可。实物按实际价值折算。</w:t>
      </w:r>
    </w:p>
    <w:p w:rsidR="00480063" w:rsidRPr="009263D7" w:rsidRDefault="00CB4B9E" w:rsidP="00480063">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2601．保险赔付</w:t>
      </w:r>
      <w:r w:rsidRPr="00CB4B9E">
        <w:rPr>
          <w:rFonts w:ascii="黑体" w:eastAsia="黑体" w:hAnsi="宋体" w:hint="eastAsia"/>
          <w:color w:val="000000" w:themeColor="text1"/>
        </w:rPr>
        <w:t>支出：</w:t>
      </w:r>
      <w:r w:rsidRPr="00CB4B9E">
        <w:rPr>
          <w:rFonts w:ascii="宋体" w:hAnsi="宋体" w:hint="eastAsia"/>
          <w:color w:val="000000" w:themeColor="text1"/>
          <w:szCs w:val="21"/>
        </w:rPr>
        <w:t>指向非居民支付的保险赔付。仅限于保险机构以外的其他机构填报。</w:t>
      </w:r>
    </w:p>
    <w:p w:rsidR="00480063" w:rsidRPr="009263D7" w:rsidRDefault="00CB4B9E" w:rsidP="00480063">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lastRenderedPageBreak/>
        <w:t>2602.</w:t>
      </w:r>
      <w:r w:rsidRPr="00CB4B9E">
        <w:rPr>
          <w:rFonts w:ascii="黑体" w:eastAsia="黑体" w:hAnsi="宋体" w:hint="eastAsia"/>
          <w:color w:val="000000" w:themeColor="text1"/>
        </w:rPr>
        <w:t>其他二次收入（经常转移）支出：</w:t>
      </w:r>
      <w:r w:rsidRPr="00CB4B9E">
        <w:rPr>
          <w:rFonts w:ascii="宋体" w:hAnsi="宋体" w:hint="eastAsia"/>
          <w:color w:val="000000" w:themeColor="text1"/>
          <w:szCs w:val="21"/>
        </w:rPr>
        <w:t>指填报机构向非居民机构或个人提供经常性的无偿捐赠、救济、援助。</w:t>
      </w:r>
    </w:p>
    <w:p w:rsidR="00480063" w:rsidRPr="009263D7" w:rsidRDefault="00CB4B9E" w:rsidP="00480063">
      <w:pPr>
        <w:widowControl/>
        <w:tabs>
          <w:tab w:val="num" w:pos="720"/>
          <w:tab w:val="left" w:pos="1080"/>
        </w:tabs>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2700.资本账户</w:t>
      </w:r>
      <w:r w:rsidRPr="00CB4B9E">
        <w:rPr>
          <w:rFonts w:ascii="黑体" w:eastAsia="黑体" w:hAnsi="宋体" w:hint="eastAsia"/>
          <w:color w:val="000000" w:themeColor="text1"/>
        </w:rPr>
        <w:t>支出：</w:t>
      </w:r>
      <w:r w:rsidRPr="00CB4B9E">
        <w:rPr>
          <w:rFonts w:ascii="宋体" w:hAnsi="宋体" w:hint="eastAsia"/>
          <w:color w:val="000000" w:themeColor="text1"/>
          <w:szCs w:val="21"/>
        </w:rPr>
        <w:t>指本机构向非居民提供与固定资产有关的捐赠的价值，以及购买</w:t>
      </w:r>
      <w:r w:rsidRPr="00CB4B9E">
        <w:rPr>
          <w:rFonts w:ascii="宋体" w:hAnsi="宋体"/>
          <w:color w:val="000000" w:themeColor="text1"/>
          <w:szCs w:val="21"/>
        </w:rPr>
        <w:t>非生产非金融资产的</w:t>
      </w:r>
      <w:r w:rsidRPr="00CB4B9E">
        <w:rPr>
          <w:rFonts w:ascii="宋体" w:hAnsi="宋体" w:hint="eastAsia"/>
          <w:color w:val="000000" w:themeColor="text1"/>
          <w:szCs w:val="21"/>
        </w:rPr>
        <w:t>支出。</w:t>
      </w:r>
      <w:r w:rsidRPr="00CB4B9E">
        <w:rPr>
          <w:rFonts w:ascii="宋体" w:hAnsi="宋体"/>
          <w:color w:val="000000" w:themeColor="text1"/>
          <w:szCs w:val="21"/>
        </w:rPr>
        <w:t>比较常见的资本转移有债务减免、桥梁和工程援建以及投资捐赠等</w:t>
      </w:r>
      <w:r w:rsidRPr="00CB4B9E">
        <w:rPr>
          <w:rFonts w:eastAsia="仿宋_GB2312" w:hint="eastAsia"/>
          <w:bCs/>
          <w:color w:val="000000" w:themeColor="text1"/>
          <w:sz w:val="24"/>
        </w:rPr>
        <w:t>。</w:t>
      </w:r>
    </w:p>
    <w:p w:rsidR="00480063" w:rsidRPr="009263D7" w:rsidRDefault="00CB4B9E" w:rsidP="00480063">
      <w:pPr>
        <w:widowControl/>
        <w:tabs>
          <w:tab w:val="num" w:pos="720"/>
          <w:tab w:val="left" w:pos="1080"/>
        </w:tabs>
        <w:spacing w:line="360" w:lineRule="auto"/>
        <w:ind w:firstLineChars="200" w:firstLine="420"/>
        <w:rPr>
          <w:rFonts w:ascii="宋体" w:hAnsi="宋体"/>
          <w:color w:val="000000" w:themeColor="text1"/>
        </w:rPr>
      </w:pPr>
      <w:r w:rsidRPr="00CB4B9E">
        <w:rPr>
          <w:rFonts w:ascii="黑体" w:eastAsia="黑体" w:hAnsi="宋体"/>
          <w:color w:val="000000" w:themeColor="text1"/>
        </w:rPr>
        <w:t>2701.其中：债务减免：</w:t>
      </w:r>
      <w:r w:rsidRPr="00CB4B9E">
        <w:rPr>
          <w:rFonts w:ascii="宋体" w:hAnsi="宋体" w:hint="eastAsia"/>
          <w:color w:val="000000" w:themeColor="text1"/>
        </w:rPr>
        <w:t>是指本机构通过合同协议方式免除非居民债务人部分或全部债务的行为。</w:t>
      </w:r>
    </w:p>
    <w:p w:rsidR="0040008E" w:rsidRPr="009263D7" w:rsidRDefault="00CB4B9E" w:rsidP="00480063">
      <w:pPr>
        <w:widowControl/>
        <w:tabs>
          <w:tab w:val="num" w:pos="720"/>
          <w:tab w:val="left" w:pos="1080"/>
        </w:tabs>
        <w:spacing w:line="360" w:lineRule="auto"/>
        <w:ind w:firstLineChars="200" w:firstLine="420"/>
        <w:rPr>
          <w:rFonts w:ascii="宋体" w:hAnsi="宋体"/>
          <w:color w:val="000000" w:themeColor="text1"/>
        </w:rPr>
      </w:pPr>
      <w:r w:rsidRPr="00CB4B9E">
        <w:rPr>
          <w:rFonts w:ascii="黑体" w:eastAsia="黑体" w:hAnsi="宋体"/>
          <w:color w:val="000000" w:themeColor="text1"/>
        </w:rPr>
        <w:t>3000.代扣代缴税：</w:t>
      </w:r>
      <w:r w:rsidRPr="00CB4B9E">
        <w:rPr>
          <w:rFonts w:ascii="宋体" w:hAnsi="宋体" w:hint="eastAsia"/>
          <w:color w:val="000000" w:themeColor="text1"/>
        </w:rPr>
        <w:t>是指跨境提供各项服务时，按对应国法律法规规定由对应国境内机构代非居民扣缴的税收。</w:t>
      </w:r>
    </w:p>
    <w:p w:rsidR="000F6E2D" w:rsidRPr="009263D7" w:rsidRDefault="00CB4B9E" w:rsidP="00480063">
      <w:pPr>
        <w:widowControl/>
        <w:tabs>
          <w:tab w:val="num" w:pos="720"/>
          <w:tab w:val="left" w:pos="1080"/>
        </w:tabs>
        <w:spacing w:line="360" w:lineRule="auto"/>
        <w:ind w:firstLineChars="200" w:firstLine="420"/>
        <w:rPr>
          <w:rFonts w:ascii="宋体" w:hAnsi="宋体"/>
          <w:color w:val="000000" w:themeColor="text1"/>
        </w:rPr>
      </w:pPr>
      <w:r w:rsidRPr="00CB4B9E">
        <w:rPr>
          <w:rFonts w:ascii="黑体" w:eastAsia="黑体" w:hAnsi="宋体"/>
          <w:color w:val="000000" w:themeColor="text1"/>
        </w:rPr>
        <w:t>3001.代扣代缴税（我国税收收入）</w:t>
      </w:r>
      <w:r w:rsidRPr="00CB4B9E">
        <w:rPr>
          <w:rFonts w:ascii="宋体" w:hAnsi="宋体" w:hint="eastAsia"/>
          <w:color w:val="000000" w:themeColor="text1"/>
          <w:szCs w:val="21"/>
        </w:rPr>
        <w:t>：</w:t>
      </w:r>
      <w:r w:rsidRPr="00CB4B9E">
        <w:rPr>
          <w:rFonts w:ascii="宋体" w:hAnsi="宋体" w:hint="eastAsia"/>
          <w:color w:val="000000" w:themeColor="text1"/>
        </w:rPr>
        <w:t>是指代非居民扣缴的税款。</w:t>
      </w:r>
    </w:p>
    <w:p w:rsidR="00912E90" w:rsidRPr="009263D7" w:rsidRDefault="00CB4B9E" w:rsidP="00480063">
      <w:pPr>
        <w:widowControl/>
        <w:tabs>
          <w:tab w:val="num" w:pos="720"/>
          <w:tab w:val="left" w:pos="1080"/>
        </w:tabs>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3002.支付境外代扣代缴税（对他国税收支出）：</w:t>
      </w:r>
      <w:r w:rsidRPr="00CB4B9E">
        <w:rPr>
          <w:rFonts w:ascii="宋体" w:hAnsi="宋体" w:hint="eastAsia"/>
          <w:color w:val="000000" w:themeColor="text1"/>
          <w:szCs w:val="21"/>
        </w:rPr>
        <w:t>是指与境外发生业务往来</w:t>
      </w:r>
      <w:r w:rsidRPr="00CB4B9E">
        <w:rPr>
          <w:rFonts w:ascii="宋体" w:hAnsi="宋体"/>
          <w:color w:val="000000" w:themeColor="text1"/>
          <w:szCs w:val="21"/>
        </w:rPr>
        <w:t>,</w:t>
      </w:r>
      <w:r w:rsidRPr="00CB4B9E">
        <w:rPr>
          <w:rFonts w:ascii="宋体" w:hAnsi="宋体" w:hint="eastAsia"/>
          <w:color w:val="000000" w:themeColor="text1"/>
          <w:szCs w:val="21"/>
        </w:rPr>
        <w:t>按对应国法律法规规定由境外机构代为扣缴的税收支出，即境内因向境外提供了服务，所获取的收入应按规定向他国（地区）纳税。</w:t>
      </w:r>
    </w:p>
    <w:p w:rsidR="00EC1B5D" w:rsidRPr="009263D7" w:rsidRDefault="00EC1B5D" w:rsidP="00480063">
      <w:pPr>
        <w:widowControl/>
        <w:tabs>
          <w:tab w:val="num" w:pos="720"/>
          <w:tab w:val="left" w:pos="1080"/>
        </w:tabs>
        <w:spacing w:line="360" w:lineRule="auto"/>
        <w:ind w:firstLineChars="200" w:firstLine="420"/>
        <w:rPr>
          <w:rFonts w:ascii="黑体" w:eastAsia="黑体" w:hAnsi="宋体"/>
          <w:color w:val="000000" w:themeColor="text1"/>
        </w:rPr>
      </w:pPr>
    </w:p>
    <w:bookmarkEnd w:id="55"/>
    <w:p w:rsidR="00C95808" w:rsidRPr="009263D7" w:rsidRDefault="00CB4B9E" w:rsidP="00EC1567">
      <w:pPr>
        <w:widowControl/>
        <w:tabs>
          <w:tab w:val="num" w:pos="720"/>
          <w:tab w:val="left" w:pos="1080"/>
        </w:tabs>
        <w:spacing w:line="360" w:lineRule="auto"/>
        <w:ind w:firstLineChars="200" w:firstLine="480"/>
        <w:rPr>
          <w:rFonts w:ascii="黑体" w:eastAsia="黑体"/>
          <w:color w:val="000000" w:themeColor="text1"/>
          <w:sz w:val="24"/>
        </w:rPr>
      </w:pPr>
      <w:r w:rsidRPr="00CB4B9E">
        <w:rPr>
          <w:rFonts w:ascii="黑体" w:eastAsia="黑体" w:hint="eastAsia"/>
          <w:color w:val="000000" w:themeColor="text1"/>
          <w:sz w:val="24"/>
        </w:rPr>
        <w:t>（七）与进出口票据、单证有关业务</w:t>
      </w:r>
    </w:p>
    <w:p w:rsidR="00C95808" w:rsidRPr="009263D7" w:rsidRDefault="00CB4B9E" w:rsidP="00EC1567">
      <w:pPr>
        <w:spacing w:line="360" w:lineRule="auto"/>
        <w:ind w:rightChars="154" w:right="323" w:firstLine="420"/>
        <w:rPr>
          <w:rFonts w:ascii="黑体" w:eastAsia="黑体" w:hAnsi="宋体"/>
          <w:color w:val="000000" w:themeColor="text1"/>
          <w:szCs w:val="21"/>
        </w:rPr>
      </w:pPr>
      <w:r w:rsidRPr="00CB4B9E">
        <w:rPr>
          <w:rFonts w:ascii="黑体" w:eastAsia="黑体" w:hAnsi="宋体"/>
          <w:color w:val="000000" w:themeColor="text1"/>
          <w:szCs w:val="21"/>
        </w:rPr>
        <w:t xml:space="preserve"> 1.</w:t>
      </w:r>
      <w:r w:rsidRPr="00CB4B9E">
        <w:rPr>
          <w:rFonts w:ascii="黑体" w:eastAsia="黑体" w:hAnsi="宋体" w:hint="eastAsia"/>
          <w:color w:val="000000" w:themeColor="text1"/>
          <w:szCs w:val="21"/>
        </w:rPr>
        <w:t>统计内容：</w:t>
      </w:r>
    </w:p>
    <w:p w:rsidR="00C95808" w:rsidRPr="009263D7" w:rsidRDefault="00CB4B9E" w:rsidP="00C95808">
      <w:pPr>
        <w:spacing w:line="360" w:lineRule="auto"/>
        <w:ind w:rightChars="154" w:right="323" w:firstLine="420"/>
        <w:rPr>
          <w:rFonts w:ascii="宋体" w:hAnsi="宋体"/>
          <w:color w:val="000000" w:themeColor="text1"/>
          <w:szCs w:val="21"/>
        </w:rPr>
      </w:pPr>
      <w:r w:rsidRPr="00CB4B9E">
        <w:rPr>
          <w:rFonts w:ascii="宋体" w:hAnsi="宋体" w:hint="eastAsia"/>
          <w:color w:val="000000" w:themeColor="text1"/>
          <w:szCs w:val="21"/>
        </w:rPr>
        <w:t>本表统计买断出口相关票据和单证情况（资产），和对外承担第一性付款义务的相关票据、单证情况（负债）。</w:t>
      </w:r>
    </w:p>
    <w:p w:rsidR="00C95808" w:rsidRPr="009263D7" w:rsidRDefault="00CB4B9E" w:rsidP="00C95808">
      <w:pPr>
        <w:spacing w:line="360" w:lineRule="auto"/>
        <w:ind w:rightChars="154" w:right="323" w:firstLine="422"/>
        <w:rPr>
          <w:rFonts w:ascii="黑体" w:eastAsia="黑体" w:hAnsi="宋体"/>
          <w:color w:val="000000" w:themeColor="text1"/>
          <w:szCs w:val="21"/>
        </w:rPr>
      </w:pPr>
      <w:r w:rsidRPr="00CB4B9E">
        <w:rPr>
          <w:rFonts w:ascii="黑体" w:eastAsia="黑体" w:hAnsi="宋体"/>
          <w:color w:val="000000" w:themeColor="text1"/>
          <w:szCs w:val="21"/>
        </w:rPr>
        <w:t>2.相关填报说明：</w:t>
      </w:r>
    </w:p>
    <w:p w:rsidR="00C95808" w:rsidRPr="009263D7" w:rsidRDefault="00CB4B9E" w:rsidP="00EC1567">
      <w:pPr>
        <w:spacing w:line="360" w:lineRule="auto"/>
        <w:ind w:rightChars="154" w:right="323" w:firstLineChars="200" w:firstLine="480"/>
        <w:rPr>
          <w:rFonts w:ascii="黑体" w:eastAsia="黑体" w:hAnsi="宋体"/>
          <w:color w:val="000000" w:themeColor="text1"/>
          <w:sz w:val="24"/>
        </w:rPr>
      </w:pPr>
      <w:r w:rsidRPr="00CB4B9E">
        <w:rPr>
          <w:rFonts w:ascii="黑体" w:eastAsia="黑体" w:hint="eastAsia"/>
          <w:color w:val="000000" w:themeColor="text1"/>
          <w:sz w:val="24"/>
        </w:rPr>
        <w:t>F01表：</w:t>
      </w:r>
      <w:r w:rsidRPr="00CB4B9E">
        <w:rPr>
          <w:rFonts w:ascii="黑体" w:eastAsia="黑体" w:hAnsi="宋体" w:hint="eastAsia"/>
          <w:color w:val="000000" w:themeColor="text1"/>
          <w:sz w:val="24"/>
        </w:rPr>
        <w:t>买断出口票据、单证业务</w:t>
      </w:r>
    </w:p>
    <w:tbl>
      <w:tblPr>
        <w:tblW w:w="5000" w:type="pct"/>
        <w:tblLook w:val="04A0"/>
      </w:tblPr>
      <w:tblGrid>
        <w:gridCol w:w="4938"/>
        <w:gridCol w:w="4691"/>
      </w:tblGrid>
      <w:tr w:rsidR="00C95808" w:rsidRPr="009263D7">
        <w:trPr>
          <w:trHeight w:val="285"/>
        </w:trPr>
        <w:tc>
          <w:tcPr>
            <w:tcW w:w="2564" w:type="pct"/>
            <w:tcBorders>
              <w:top w:val="single" w:sz="8" w:space="0" w:color="auto"/>
              <w:left w:val="nil"/>
              <w:bottom w:val="single" w:sz="4" w:space="0" w:color="auto"/>
              <w:right w:val="single" w:sz="4" w:space="0" w:color="auto"/>
            </w:tcBorders>
            <w:shd w:val="clear" w:color="auto" w:fill="auto"/>
            <w:noWrap/>
            <w:vAlign w:val="center"/>
          </w:tcPr>
          <w:p w:rsidR="00C95808"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2436" w:type="pct"/>
            <w:tcBorders>
              <w:top w:val="single" w:sz="8" w:space="0" w:color="auto"/>
              <w:left w:val="nil"/>
              <w:bottom w:val="single" w:sz="4" w:space="0" w:color="auto"/>
              <w:right w:val="nil"/>
            </w:tcBorders>
            <w:shd w:val="clear" w:color="auto" w:fill="auto"/>
            <w:noWrap/>
            <w:vAlign w:val="center"/>
          </w:tcPr>
          <w:p w:rsidR="00C95808"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65751A" w:rsidRPr="009263D7">
        <w:trPr>
          <w:trHeight w:val="1032"/>
        </w:trPr>
        <w:tc>
          <w:tcPr>
            <w:tcW w:w="2564" w:type="pct"/>
            <w:tcBorders>
              <w:top w:val="nil"/>
              <w:left w:val="nil"/>
              <w:bottom w:val="single" w:sz="4" w:space="0" w:color="auto"/>
              <w:right w:val="single" w:sz="4" w:space="0" w:color="auto"/>
            </w:tcBorders>
            <w:shd w:val="clear" w:color="auto" w:fill="auto"/>
            <w:vAlign w:val="center"/>
          </w:tcPr>
          <w:p w:rsidR="0065751A"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1.本机构买断境外机构承兑的出口票据或单据，如福费</w:t>
            </w:r>
            <w:r w:rsidRPr="00CB4B9E">
              <w:rPr>
                <w:rFonts w:ascii="宋体" w:hAnsi="宋体" w:cs="宋体" w:hint="eastAsia"/>
                <w:color w:val="000000" w:themeColor="text1"/>
                <w:kern w:val="0"/>
                <w:sz w:val="18"/>
                <w:szCs w:val="18"/>
              </w:rPr>
              <w:t>廷、买断性质的保理以及其他买断性质的贸易融资活动。包括即期和远期收款权利。</w:t>
            </w:r>
          </w:p>
        </w:tc>
        <w:tc>
          <w:tcPr>
            <w:tcW w:w="2436" w:type="pct"/>
            <w:tcBorders>
              <w:top w:val="nil"/>
              <w:left w:val="nil"/>
              <w:bottom w:val="single" w:sz="4" w:space="0" w:color="auto"/>
              <w:right w:val="nil"/>
            </w:tcBorders>
            <w:shd w:val="clear" w:color="auto" w:fill="auto"/>
            <w:vAlign w:val="center"/>
          </w:tcPr>
          <w:p w:rsidR="0065751A"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1.本机构购买、转让或贴现境内机构承兑的汇票。</w:t>
            </w:r>
          </w:p>
          <w:p w:rsidR="0065751A" w:rsidRPr="009263D7" w:rsidRDefault="00CB4B9E" w:rsidP="008E2D8C">
            <w:pPr>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20"/>
                <w:szCs w:val="20"/>
              </w:rPr>
              <w:t xml:space="preserve">　</w:t>
            </w:r>
          </w:p>
        </w:tc>
      </w:tr>
    </w:tbl>
    <w:p w:rsidR="00C95808" w:rsidRPr="009263D7" w:rsidRDefault="00CB4B9E" w:rsidP="00C95808">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F0101.相关业务类型：</w:t>
      </w:r>
      <w:r w:rsidRPr="00CB4B9E">
        <w:rPr>
          <w:rFonts w:ascii="宋体" w:hAnsi="宋体" w:hint="eastAsia"/>
          <w:color w:val="000000" w:themeColor="text1"/>
        </w:rPr>
        <w:t>按以下三种情况填列：①福费廷；②买断性质的保理；③其他买断贸易融资行为。</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F0102.是否附有银行承兑汇票：</w:t>
      </w:r>
      <w:r w:rsidRPr="00CB4B9E">
        <w:rPr>
          <w:rFonts w:ascii="宋体" w:hAnsi="宋体" w:hint="eastAsia"/>
          <w:color w:val="000000" w:themeColor="text1"/>
          <w:szCs w:val="21"/>
        </w:rPr>
        <w:t>请按以下两种情况</w:t>
      </w:r>
      <w:r w:rsidRPr="00CB4B9E">
        <w:rPr>
          <w:rFonts w:ascii="宋体" w:hAnsi="宋体" w:hint="eastAsia"/>
          <w:color w:val="000000" w:themeColor="text1"/>
        </w:rPr>
        <w:t>填列：①是；②否。</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F0103.境外付款人所属国家/地区：</w:t>
      </w:r>
      <w:r w:rsidRPr="00CB4B9E">
        <w:rPr>
          <w:rFonts w:ascii="宋体" w:hAnsi="宋体" w:hint="eastAsia"/>
          <w:color w:val="000000" w:themeColor="text1"/>
        </w:rPr>
        <w:t>填报本机构所买断出口收款票据或单证的第一性付款人注册地国家</w:t>
      </w:r>
      <w:r w:rsidRPr="00CB4B9E">
        <w:rPr>
          <w:rFonts w:ascii="宋体" w:hAnsi="宋体"/>
          <w:color w:val="000000" w:themeColor="text1"/>
        </w:rPr>
        <w:t>/地区</w:t>
      </w:r>
      <w:r w:rsidRPr="00CB4B9E">
        <w:rPr>
          <w:rFonts w:ascii="宋体" w:hAnsi="宋体" w:hint="eastAsia"/>
          <w:color w:val="000000" w:themeColor="text1"/>
        </w:rPr>
        <w:t>代码。</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F0104.境外付款人所属部门：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请按境外付款人的主营业务归类。</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F0105.境外付款人与本机构的关系：</w:t>
      </w:r>
      <w:r w:rsidRPr="00CB4B9E">
        <w:rPr>
          <w:rFonts w:ascii="宋体" w:hAnsi="宋体" w:hint="eastAsia"/>
          <w:color w:val="000000" w:themeColor="text1"/>
        </w:rPr>
        <w:t>请按以下四种情况填列：①付款人是本机构的境外直接投资者，即持有本机构表决权≥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；②付款人是本机构的境外直接投资企业，即本机构持有表决权在</w:t>
      </w:r>
      <w:r w:rsidRPr="00CB4B9E">
        <w:rPr>
          <w:rFonts w:ascii="宋体" w:hAnsi="宋体"/>
          <w:color w:val="000000" w:themeColor="text1"/>
        </w:rPr>
        <w:t>10%及以上</w:t>
      </w:r>
      <w:r w:rsidRPr="00CB4B9E">
        <w:rPr>
          <w:rFonts w:ascii="宋体" w:hAnsi="宋体"/>
          <w:color w:val="000000" w:themeColor="text1"/>
        </w:rPr>
        <w:lastRenderedPageBreak/>
        <w:t>的</w:t>
      </w:r>
      <w:r w:rsidRPr="00CB4B9E">
        <w:rPr>
          <w:rFonts w:ascii="宋体" w:hAnsi="宋体" w:hint="eastAsia"/>
          <w:color w:val="000000" w:themeColor="text1"/>
        </w:rPr>
        <w:t>境外分支机构、子机构、联营机构或合营机构；③付款人是本机构的境外联属机构，即双方有共同母公司，但相互持有表决权＜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或相互不持有表决权；④付款人与本机构无关联关系。</w:t>
      </w:r>
    </w:p>
    <w:p w:rsidR="00C95808"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F0106.原始期限：</w:t>
      </w:r>
      <w:r w:rsidRPr="00CB4B9E">
        <w:rPr>
          <w:rFonts w:ascii="宋体" w:hAnsi="宋体" w:hint="eastAsia"/>
          <w:color w:val="000000" w:themeColor="text1"/>
        </w:rPr>
        <w:t>指从境外付款人付款责任确认至约定最终付款的期限，请按以下两种情况填列：①一年及以下</w:t>
      </w:r>
      <w:r w:rsidRPr="00CB4B9E">
        <w:rPr>
          <w:rFonts w:ascii="宋体" w:hAnsi="宋体" w:hint="eastAsia"/>
          <w:color w:val="000000" w:themeColor="text1"/>
          <w:szCs w:val="21"/>
        </w:rPr>
        <w:t>；</w:t>
      </w:r>
      <w:r w:rsidRPr="00CB4B9E">
        <w:rPr>
          <w:rFonts w:ascii="宋体" w:hAnsi="宋体" w:hint="eastAsia"/>
          <w:color w:val="000000" w:themeColor="text1"/>
        </w:rPr>
        <w:t>②一年以上</w:t>
      </w:r>
      <w:r w:rsidRPr="00CB4B9E">
        <w:rPr>
          <w:rFonts w:ascii="宋体" w:hAnsi="宋体" w:hint="eastAsia"/>
          <w:color w:val="000000" w:themeColor="text1"/>
          <w:szCs w:val="21"/>
        </w:rPr>
        <w:t>。其中，不定期或未约定最终付款期限的，请填报为</w:t>
      </w:r>
      <w:r w:rsidRPr="00CB4B9E">
        <w:rPr>
          <w:rFonts w:ascii="宋体" w:hAnsi="宋体" w:hint="eastAsia"/>
          <w:color w:val="000000" w:themeColor="text1"/>
        </w:rPr>
        <w:t>①。</w:t>
      </w:r>
      <w:r w:rsidRPr="00CB4B9E">
        <w:rPr>
          <w:rFonts w:ascii="宋体" w:hAnsi="宋体" w:hint="eastAsia"/>
          <w:color w:val="000000" w:themeColor="text1"/>
          <w:szCs w:val="21"/>
        </w:rPr>
        <w:t>如发生对方付款拖欠或展期的，应按照双方重新确定的期限计算。如双方无安排，应按原期限归类。</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F0107.</w:t>
      </w:r>
      <w:r w:rsidRPr="00CB4B9E">
        <w:rPr>
          <w:rFonts w:ascii="黑体" w:eastAsia="黑体" w:hAnsi="宋体" w:hint="eastAsia"/>
          <w:color w:val="000000" w:themeColor="text1"/>
          <w:szCs w:val="21"/>
        </w:rPr>
        <w:t>原始币种</w:t>
      </w:r>
      <w:r w:rsidRPr="00CB4B9E">
        <w:rPr>
          <w:rFonts w:ascii="黑体" w:eastAsia="黑体" w:hAnsi="宋体" w:hint="eastAsia"/>
          <w:color w:val="000000" w:themeColor="text1"/>
        </w:rPr>
        <w:t>：</w:t>
      </w:r>
      <w:r w:rsidRPr="00CB4B9E">
        <w:rPr>
          <w:rFonts w:ascii="宋体" w:hAnsi="宋体" w:hint="eastAsia"/>
          <w:color w:val="000000" w:themeColor="text1"/>
          <w:szCs w:val="21"/>
        </w:rPr>
        <w:t>指相关业务所涉及出口收款票据或单证的计价币种，</w:t>
      </w:r>
      <w:r w:rsidRPr="00CB4B9E">
        <w:rPr>
          <w:rFonts w:ascii="宋体" w:hAnsi="宋体" w:hint="eastAsia"/>
          <w:color w:val="000000" w:themeColor="text1"/>
        </w:rPr>
        <w:t>请参照数据采集规范最新版本中的相关代码表填列</w:t>
      </w:r>
      <w:r w:rsidRPr="00CB4B9E">
        <w:rPr>
          <w:rFonts w:ascii="宋体" w:hAnsi="宋体" w:hint="eastAsia"/>
          <w:color w:val="000000" w:themeColor="text1"/>
          <w:szCs w:val="21"/>
        </w:rPr>
        <w:t>。</w:t>
      </w:r>
      <w:r w:rsidRPr="00CB4B9E">
        <w:rPr>
          <w:rFonts w:ascii="Calibri" w:hAnsi="Calibri" w:hint="eastAsia"/>
          <w:bCs/>
          <w:color w:val="000000" w:themeColor="text1"/>
        </w:rPr>
        <w:t>适用于</w:t>
      </w:r>
      <w:r w:rsidRPr="00CB4B9E">
        <w:rPr>
          <w:rFonts w:ascii="宋体" w:hAnsi="宋体"/>
          <w:color w:val="000000" w:themeColor="text1"/>
          <w:szCs w:val="21"/>
        </w:rPr>
        <w:t>F0108-F0112各</w:t>
      </w:r>
      <w:r w:rsidRPr="00CB4B9E">
        <w:rPr>
          <w:rFonts w:ascii="Calibri" w:hAnsi="Calibri" w:hint="eastAsia"/>
          <w:bCs/>
          <w:color w:val="000000" w:themeColor="text1"/>
        </w:rPr>
        <w:t>项。</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F0108.上月末余额</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指上月末所买断出口相关票据或单证的公允价值。如无公允价值，应按其账面（摊余）价值填列。</w:t>
      </w:r>
    </w:p>
    <w:p w:rsidR="00C95808"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F0109.本月末余额</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指本月末所买断出口相关票据或单证的公允价值。如无公允价值，应按其账面（摊余）价值填列。</w:t>
      </w:r>
    </w:p>
    <w:p w:rsidR="007411E1"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F0110.其中：剩余期限在一年及以下</w:t>
      </w:r>
      <w:r w:rsidRPr="00CB4B9E">
        <w:rPr>
          <w:rFonts w:ascii="黑体" w:eastAsia="黑体" w:hAnsi="宋体" w:hint="eastAsia"/>
          <w:color w:val="000000" w:themeColor="text1"/>
        </w:rPr>
        <w:t>：</w:t>
      </w:r>
      <w:r w:rsidRPr="00CB4B9E">
        <w:rPr>
          <w:rFonts w:ascii="宋体" w:hAnsi="宋体" w:hint="eastAsia"/>
          <w:color w:val="000000" w:themeColor="text1"/>
          <w:szCs w:val="21"/>
        </w:rPr>
        <w:t>指自本月末至最终到期的在一年及以下相关票据或单证的公允价值。如无公允价值，应按其账面（摊余）价值填列。</w:t>
      </w:r>
    </w:p>
    <w:p w:rsidR="00075D20"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F0111.本月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反映统计期间由于价格变动等非交易因素引起的出口相关票据或单证价值变动</w:t>
      </w:r>
    </w:p>
    <w:p w:rsidR="00C95808"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F0112.本月净发生额：</w:t>
      </w:r>
      <w:r w:rsidRPr="00CB4B9E">
        <w:rPr>
          <w:rFonts w:ascii="宋体" w:hAnsi="宋体" w:hint="eastAsia"/>
          <w:color w:val="000000" w:themeColor="text1"/>
          <w:szCs w:val="21"/>
        </w:rPr>
        <w:t>指本月内，本机构买卖相关出口收款凭证（如票据或单证）的净值（买入</w:t>
      </w:r>
      <w:r w:rsidRPr="00CB4B9E">
        <w:rPr>
          <w:rFonts w:ascii="宋体" w:hAnsi="宋体"/>
          <w:color w:val="000000" w:themeColor="text1"/>
          <w:szCs w:val="21"/>
        </w:rPr>
        <w:t>-卖出（或到期收款））。正值代表净买入，负值代表净卖出</w:t>
      </w:r>
      <w:r w:rsidRPr="00CB4B9E">
        <w:rPr>
          <w:rFonts w:ascii="宋体" w:hAnsi="宋体" w:hint="eastAsia"/>
          <w:color w:val="000000" w:themeColor="text1"/>
          <w:szCs w:val="21"/>
        </w:rPr>
        <w:t>或到期收款。计算方法为：</w:t>
      </w:r>
      <w:r w:rsidRPr="00CB4B9E">
        <w:rPr>
          <w:rFonts w:ascii="宋体" w:hAnsi="宋体"/>
          <w:color w:val="000000" w:themeColor="text1"/>
          <w:szCs w:val="21"/>
        </w:rPr>
        <w:t>F0112=F0109-F0108-F0111。</w:t>
      </w:r>
    </w:p>
    <w:p w:rsidR="00C95808" w:rsidRPr="009263D7" w:rsidRDefault="00CB4B9E" w:rsidP="00C95808">
      <w:pPr>
        <w:spacing w:line="360" w:lineRule="auto"/>
        <w:ind w:firstLineChars="200" w:firstLine="420"/>
        <w:jc w:val="left"/>
        <w:rPr>
          <w:color w:val="000000" w:themeColor="text1"/>
        </w:rPr>
      </w:pPr>
      <w:r w:rsidRPr="00CB4B9E">
        <w:rPr>
          <w:rFonts w:ascii="黑体" w:eastAsia="黑体" w:hAnsi="宋体"/>
          <w:color w:val="000000" w:themeColor="text1"/>
          <w:szCs w:val="21"/>
        </w:rPr>
        <w:t>F0113.备注：</w:t>
      </w:r>
      <w:r w:rsidRPr="00CB4B9E">
        <w:rPr>
          <w:rFonts w:ascii="宋体" w:hAnsi="宋体" w:hint="eastAsia"/>
          <w:color w:val="000000" w:themeColor="text1"/>
          <w:szCs w:val="21"/>
        </w:rPr>
        <w:t>填报本表时需特别说明的情况。</w:t>
      </w:r>
    </w:p>
    <w:p w:rsidR="00BC1C11" w:rsidRPr="009263D7" w:rsidRDefault="00BC1C11" w:rsidP="00C95808">
      <w:pPr>
        <w:spacing w:line="360" w:lineRule="auto"/>
        <w:ind w:firstLineChars="200" w:firstLine="420"/>
        <w:jc w:val="left"/>
        <w:rPr>
          <w:rFonts w:ascii="黑体" w:eastAsia="黑体" w:hAnsi="宋体"/>
          <w:color w:val="000000" w:themeColor="text1"/>
          <w:szCs w:val="21"/>
        </w:rPr>
      </w:pPr>
    </w:p>
    <w:p w:rsidR="00C95808" w:rsidRPr="009263D7" w:rsidRDefault="00CB4B9E" w:rsidP="00EC1567">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F02表：对外承担第一性付款责任的票据、单证业务</w:t>
      </w:r>
    </w:p>
    <w:tbl>
      <w:tblPr>
        <w:tblW w:w="9440" w:type="dxa"/>
        <w:tblInd w:w="97" w:type="dxa"/>
        <w:tblLook w:val="04A0"/>
      </w:tblPr>
      <w:tblGrid>
        <w:gridCol w:w="4840"/>
        <w:gridCol w:w="4600"/>
      </w:tblGrid>
      <w:tr w:rsidR="00C95808"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C95808"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C95808" w:rsidRPr="009263D7" w:rsidRDefault="00CB4B9E" w:rsidP="008E2D8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C95808" w:rsidRPr="009263D7">
        <w:trPr>
          <w:trHeight w:val="720"/>
        </w:trPr>
        <w:tc>
          <w:tcPr>
            <w:tcW w:w="4840" w:type="dxa"/>
            <w:tcBorders>
              <w:top w:val="nil"/>
              <w:left w:val="nil"/>
              <w:bottom w:val="single" w:sz="4" w:space="0" w:color="auto"/>
              <w:right w:val="single" w:sz="4" w:space="0" w:color="auto"/>
            </w:tcBorders>
            <w:shd w:val="clear" w:color="auto" w:fill="auto"/>
            <w:vAlign w:val="center"/>
          </w:tcPr>
          <w:p w:rsidR="00C95808" w:rsidRPr="009263D7" w:rsidRDefault="00CB4B9E" w:rsidP="00605D3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1.本机构对境外非居民承担第一性付款</w:t>
            </w:r>
            <w:r w:rsidRPr="00CB4B9E">
              <w:rPr>
                <w:rFonts w:ascii="宋体" w:hAnsi="宋体" w:cs="宋体" w:hint="eastAsia"/>
                <w:color w:val="000000" w:themeColor="text1"/>
                <w:kern w:val="0"/>
                <w:sz w:val="18"/>
                <w:szCs w:val="18"/>
              </w:rPr>
              <w:t>责任的信用证、延付保函等的情况。包括即期应付未付和远期（承兑）付款义务。</w:t>
            </w:r>
          </w:p>
        </w:tc>
        <w:tc>
          <w:tcPr>
            <w:tcW w:w="4600" w:type="dxa"/>
            <w:tcBorders>
              <w:top w:val="nil"/>
              <w:left w:val="nil"/>
              <w:bottom w:val="single" w:sz="4" w:space="0" w:color="auto"/>
              <w:right w:val="nil"/>
            </w:tcBorders>
            <w:shd w:val="clear" w:color="auto" w:fill="auto"/>
            <w:vAlign w:val="center"/>
          </w:tcPr>
          <w:p w:rsidR="00C95808" w:rsidRPr="009263D7" w:rsidRDefault="00CB4B9E" w:rsidP="008E2D8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1.本机构承兑境内贸易用票据等。</w:t>
            </w:r>
          </w:p>
        </w:tc>
      </w:tr>
    </w:tbl>
    <w:p w:rsidR="00C95808" w:rsidRPr="009263D7" w:rsidRDefault="00C95808" w:rsidP="00C95808">
      <w:pPr>
        <w:spacing w:line="280" w:lineRule="exact"/>
        <w:ind w:leftChars="-1" w:left="1062" w:hangingChars="591" w:hanging="1064"/>
        <w:rPr>
          <w:rFonts w:ascii="宋体" w:hAnsi="宋体" w:cs="宋体"/>
          <w:color w:val="000000" w:themeColor="text1"/>
          <w:kern w:val="0"/>
          <w:sz w:val="18"/>
          <w:szCs w:val="18"/>
        </w:rPr>
      </w:pPr>
    </w:p>
    <w:p w:rsidR="00C95808" w:rsidRPr="009263D7" w:rsidRDefault="00CB4B9E" w:rsidP="00C95808">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F0201.相关业务类别：</w:t>
      </w:r>
      <w:r w:rsidRPr="00CB4B9E">
        <w:rPr>
          <w:rFonts w:ascii="宋体" w:hAnsi="宋体" w:hint="eastAsia"/>
          <w:color w:val="000000" w:themeColor="text1"/>
        </w:rPr>
        <w:t>按以下三种类别填列：①信用证；②延付保函；③其他。</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F0202.是否附有银行承兑汇票：</w:t>
      </w:r>
      <w:r w:rsidRPr="00CB4B9E">
        <w:rPr>
          <w:rFonts w:ascii="宋体" w:hAnsi="宋体" w:hint="eastAsia"/>
          <w:color w:val="000000" w:themeColor="text1"/>
          <w:szCs w:val="21"/>
        </w:rPr>
        <w:t>请按以下两种情况</w:t>
      </w:r>
      <w:r w:rsidRPr="00CB4B9E">
        <w:rPr>
          <w:rFonts w:ascii="宋体" w:hAnsi="宋体" w:hint="eastAsia"/>
          <w:color w:val="000000" w:themeColor="text1"/>
        </w:rPr>
        <w:t>填列：①是；②否。</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F0203.境外收款人所属国家/地区：</w:t>
      </w:r>
      <w:r w:rsidRPr="00CB4B9E">
        <w:rPr>
          <w:rFonts w:ascii="宋体" w:hAnsi="宋体" w:hint="eastAsia"/>
          <w:color w:val="000000" w:themeColor="text1"/>
        </w:rPr>
        <w:t>填报本机构所承兑信用证、延付保函等的境外收款人注册或经营所在国家</w:t>
      </w:r>
      <w:r w:rsidRPr="00CB4B9E">
        <w:rPr>
          <w:rFonts w:ascii="宋体" w:hAnsi="宋体"/>
          <w:color w:val="000000" w:themeColor="text1"/>
        </w:rPr>
        <w:t>/地区</w:t>
      </w:r>
      <w:r w:rsidRPr="00CB4B9E">
        <w:rPr>
          <w:rFonts w:ascii="宋体" w:hAnsi="宋体" w:hint="eastAsia"/>
          <w:color w:val="000000" w:themeColor="text1"/>
        </w:rPr>
        <w:t>代码。</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F0204.境外收款人所属部门：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请按境外收款人的主营业务归类。</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lastRenderedPageBreak/>
        <w:t>F0205.境外收款人与本机构的关系：</w:t>
      </w:r>
      <w:r w:rsidRPr="00CB4B9E">
        <w:rPr>
          <w:rFonts w:ascii="宋体" w:hAnsi="宋体" w:hint="eastAsia"/>
          <w:color w:val="000000" w:themeColor="text1"/>
        </w:rPr>
        <w:t>请按以下四种情况填列：①收款人是本机构的境外直接投资者，即持有本机构表决权≥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；②收款人是本机构的境外直接投资企业，即本机构持有表决权在</w:t>
      </w:r>
      <w:r w:rsidRPr="00CB4B9E">
        <w:rPr>
          <w:rFonts w:ascii="宋体" w:hAnsi="宋体"/>
          <w:color w:val="000000" w:themeColor="text1"/>
        </w:rPr>
        <w:t>10%及以上的</w:t>
      </w:r>
      <w:r w:rsidRPr="00CB4B9E">
        <w:rPr>
          <w:rFonts w:ascii="宋体" w:hAnsi="宋体" w:hint="eastAsia"/>
          <w:color w:val="000000" w:themeColor="text1"/>
        </w:rPr>
        <w:t>境外分支机构、子机构、联营机构或合营机构；③收款人是本机构的境外联属机构，即双方有共同母公司，但相互持有表决权＜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或相互不持有表决权；④收款人与本机构无关联关系。</w:t>
      </w:r>
    </w:p>
    <w:p w:rsidR="00C95808"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F0206.原始期限：</w:t>
      </w:r>
      <w:r w:rsidRPr="00CB4B9E">
        <w:rPr>
          <w:rFonts w:ascii="宋体" w:hAnsi="宋体" w:hint="eastAsia"/>
          <w:color w:val="000000" w:themeColor="text1"/>
          <w:szCs w:val="21"/>
        </w:rPr>
        <w:t>指从本机构付款责任确认至约定的最终付款的期限，</w:t>
      </w:r>
      <w:r w:rsidRPr="00CB4B9E">
        <w:rPr>
          <w:rFonts w:ascii="宋体" w:hAnsi="宋体" w:hint="eastAsia"/>
          <w:color w:val="000000" w:themeColor="text1"/>
        </w:rPr>
        <w:t>请按以下两种情况填列：①一年及以下</w:t>
      </w:r>
      <w:r w:rsidRPr="00CB4B9E">
        <w:rPr>
          <w:rFonts w:ascii="宋体" w:hAnsi="宋体" w:hint="eastAsia"/>
          <w:color w:val="000000" w:themeColor="text1"/>
          <w:szCs w:val="21"/>
        </w:rPr>
        <w:t>；</w:t>
      </w:r>
      <w:r w:rsidRPr="00CB4B9E">
        <w:rPr>
          <w:rFonts w:ascii="宋体" w:hAnsi="宋体" w:hint="eastAsia"/>
          <w:color w:val="000000" w:themeColor="text1"/>
        </w:rPr>
        <w:t>②一年以上</w:t>
      </w:r>
      <w:r w:rsidRPr="00CB4B9E">
        <w:rPr>
          <w:rFonts w:ascii="宋体" w:hAnsi="宋体" w:hint="eastAsia"/>
          <w:color w:val="000000" w:themeColor="text1"/>
          <w:szCs w:val="21"/>
        </w:rPr>
        <w:t>。其中，不定期或未约定最终付款期限的，应归入</w:t>
      </w:r>
      <w:r w:rsidRPr="00CB4B9E">
        <w:rPr>
          <w:rFonts w:ascii="宋体" w:hAnsi="宋体" w:hint="eastAsia"/>
          <w:color w:val="000000" w:themeColor="text1"/>
        </w:rPr>
        <w:t>①。</w:t>
      </w:r>
      <w:r w:rsidRPr="00CB4B9E">
        <w:rPr>
          <w:rFonts w:ascii="宋体" w:hAnsi="宋体" w:hint="eastAsia"/>
          <w:color w:val="000000" w:themeColor="text1"/>
          <w:szCs w:val="21"/>
        </w:rPr>
        <w:t>如发生付款拖欠或展期的，应按照双方确定的期限计算。如双方无安排，应按原期限归类。</w:t>
      </w:r>
    </w:p>
    <w:p w:rsidR="00C95808" w:rsidRPr="009263D7" w:rsidRDefault="00CB4B9E" w:rsidP="00C95808">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F0207.</w:t>
      </w:r>
      <w:r w:rsidRPr="00CB4B9E">
        <w:rPr>
          <w:rFonts w:ascii="黑体" w:eastAsia="黑体" w:hAnsi="宋体" w:hint="eastAsia"/>
          <w:color w:val="000000" w:themeColor="text1"/>
          <w:szCs w:val="21"/>
        </w:rPr>
        <w:t>原始币种</w:t>
      </w:r>
      <w:r w:rsidRPr="00CB4B9E">
        <w:rPr>
          <w:rFonts w:ascii="黑体" w:eastAsia="黑体" w:hAnsi="宋体" w:hint="eastAsia"/>
          <w:color w:val="000000" w:themeColor="text1"/>
        </w:rPr>
        <w:t>（</w:t>
      </w:r>
      <w:r w:rsidRPr="00CB4B9E">
        <w:rPr>
          <w:rFonts w:ascii="黑体" w:eastAsia="黑体" w:hAnsi="宋体" w:hint="eastAsia"/>
          <w:color w:val="000000" w:themeColor="text1"/>
          <w:szCs w:val="21"/>
        </w:rPr>
        <w:t>按进口相关付款凭证的</w:t>
      </w:r>
      <w:r w:rsidRPr="00CB4B9E">
        <w:rPr>
          <w:rFonts w:ascii="黑体" w:eastAsia="黑体" w:hAnsi="宋体" w:hint="eastAsia"/>
          <w:color w:val="000000" w:themeColor="text1"/>
        </w:rPr>
        <w:t>原始币种）：</w:t>
      </w:r>
      <w:r w:rsidRPr="00CB4B9E">
        <w:rPr>
          <w:rFonts w:ascii="宋体" w:hAnsi="宋体" w:hint="eastAsia"/>
          <w:color w:val="000000" w:themeColor="text1"/>
          <w:szCs w:val="21"/>
        </w:rPr>
        <w:t>指所承兑</w:t>
      </w:r>
      <w:r w:rsidRPr="00CB4B9E">
        <w:rPr>
          <w:rFonts w:ascii="宋体" w:hAnsi="宋体" w:hint="eastAsia"/>
          <w:color w:val="000000" w:themeColor="text1"/>
        </w:rPr>
        <w:t>信用证、延付保函等</w:t>
      </w:r>
      <w:r w:rsidRPr="00CB4B9E">
        <w:rPr>
          <w:rFonts w:ascii="宋体" w:hAnsi="宋体" w:hint="eastAsia"/>
          <w:color w:val="000000" w:themeColor="text1"/>
          <w:szCs w:val="21"/>
        </w:rPr>
        <w:t>的计价币种，</w:t>
      </w:r>
      <w:r w:rsidRPr="00CB4B9E">
        <w:rPr>
          <w:rFonts w:ascii="宋体" w:hAnsi="宋体" w:hint="eastAsia"/>
          <w:color w:val="000000" w:themeColor="text1"/>
        </w:rPr>
        <w:t>请参照数据采集规范最新版本中的相关代码表填列</w:t>
      </w:r>
      <w:r w:rsidRPr="00CB4B9E">
        <w:rPr>
          <w:rFonts w:ascii="宋体" w:hAnsi="宋体" w:hint="eastAsia"/>
          <w:color w:val="000000" w:themeColor="text1"/>
          <w:szCs w:val="21"/>
        </w:rPr>
        <w:t>。</w:t>
      </w:r>
      <w:r w:rsidRPr="00CB4B9E">
        <w:rPr>
          <w:rFonts w:ascii="宋体" w:hAnsi="宋体" w:hint="eastAsia"/>
          <w:color w:val="000000" w:themeColor="text1"/>
        </w:rPr>
        <w:t>适用于</w:t>
      </w:r>
      <w:r w:rsidRPr="00CB4B9E">
        <w:rPr>
          <w:rFonts w:ascii="宋体" w:hAnsi="宋体"/>
          <w:color w:val="000000" w:themeColor="text1"/>
        </w:rPr>
        <w:t>F0208-F0212各项。</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F0208.上月末余额</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w:t>
      </w:r>
      <w:r w:rsidRPr="00CB4B9E">
        <w:rPr>
          <w:rFonts w:ascii="宋体" w:hAnsi="宋体" w:hint="eastAsia"/>
          <w:color w:val="000000" w:themeColor="text1"/>
        </w:rPr>
        <w:t>信用证、银行承兑汇票或延付保函</w:t>
      </w:r>
      <w:r w:rsidRPr="00CB4B9E">
        <w:rPr>
          <w:rFonts w:ascii="宋体" w:hAnsi="宋体" w:hint="eastAsia"/>
          <w:color w:val="000000" w:themeColor="text1"/>
          <w:szCs w:val="21"/>
        </w:rPr>
        <w:t>的公允价值。如无公允价值，应按其账面金额填列。</w:t>
      </w:r>
    </w:p>
    <w:p w:rsidR="00C95808"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F0209.本月末余额</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w:t>
      </w:r>
      <w:r w:rsidRPr="00CB4B9E">
        <w:rPr>
          <w:rFonts w:ascii="宋体" w:hAnsi="宋体" w:hint="eastAsia"/>
          <w:color w:val="000000" w:themeColor="text1"/>
        </w:rPr>
        <w:t>信用证、银行承兑汇票或延付保函</w:t>
      </w:r>
      <w:r w:rsidRPr="00CB4B9E">
        <w:rPr>
          <w:rFonts w:ascii="宋体" w:hAnsi="宋体" w:hint="eastAsia"/>
          <w:color w:val="000000" w:themeColor="text1"/>
          <w:szCs w:val="21"/>
        </w:rPr>
        <w:t>的公允价值。如无公允价值，应按其账面金额填列。</w:t>
      </w:r>
    </w:p>
    <w:p w:rsidR="00687F10"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F0210.</w:t>
      </w:r>
      <w:r w:rsidRPr="00CB4B9E">
        <w:rPr>
          <w:rFonts w:ascii="黑体" w:eastAsia="黑体" w:hAnsi="宋体" w:hint="eastAsia"/>
          <w:color w:val="000000" w:themeColor="text1"/>
          <w:szCs w:val="21"/>
        </w:rPr>
        <w:t>其中：剩余期限一年及以下</w:t>
      </w:r>
      <w:r w:rsidRPr="00CB4B9E">
        <w:rPr>
          <w:rFonts w:ascii="黑体" w:eastAsia="黑体" w:hAnsi="宋体" w:hint="eastAsia"/>
          <w:color w:val="000000" w:themeColor="text1"/>
        </w:rPr>
        <w:t>：</w:t>
      </w:r>
      <w:r w:rsidRPr="00CB4B9E">
        <w:rPr>
          <w:rFonts w:ascii="宋体" w:hAnsi="宋体" w:hint="eastAsia"/>
          <w:color w:val="000000" w:themeColor="text1"/>
          <w:szCs w:val="21"/>
        </w:rPr>
        <w:t>指自本月末至最终到期在一年及以下的</w:t>
      </w:r>
      <w:r w:rsidRPr="00CB4B9E">
        <w:rPr>
          <w:rFonts w:ascii="宋体" w:hAnsi="宋体" w:hint="eastAsia"/>
          <w:color w:val="000000" w:themeColor="text1"/>
        </w:rPr>
        <w:t>信用证、银行承兑汇票或延付保函</w:t>
      </w:r>
      <w:r w:rsidRPr="00CB4B9E">
        <w:rPr>
          <w:rFonts w:ascii="宋体" w:hAnsi="宋体" w:hint="eastAsia"/>
          <w:color w:val="000000" w:themeColor="text1"/>
          <w:szCs w:val="21"/>
        </w:rPr>
        <w:t>的公允价值。如无公允价值，应按其账面金额填列。</w:t>
      </w:r>
    </w:p>
    <w:p w:rsidR="00C95808"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F0211.本月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反映统计期间</w:t>
      </w:r>
      <w:bookmarkStart w:id="56" w:name="OLE_LINK1"/>
      <w:r w:rsidRPr="00CB4B9E">
        <w:rPr>
          <w:rFonts w:ascii="宋体" w:hAnsi="宋体" w:hint="eastAsia"/>
          <w:color w:val="000000" w:themeColor="text1"/>
        </w:rPr>
        <w:t>信用证、银行承兑汇票或延付保函</w:t>
      </w:r>
      <w:bookmarkEnd w:id="56"/>
      <w:r w:rsidRPr="00CB4B9E">
        <w:rPr>
          <w:rFonts w:hint="eastAsia"/>
          <w:color w:val="000000" w:themeColor="text1"/>
        </w:rPr>
        <w:t>因承兑及到期支付以外的撤销等非交易因素引起的价值变动。</w:t>
      </w:r>
    </w:p>
    <w:p w:rsidR="00C95808" w:rsidRPr="009263D7" w:rsidRDefault="00CB4B9E" w:rsidP="00C9580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F0212.本月净发生额</w:t>
      </w:r>
      <w:r w:rsidRPr="00CB4B9E">
        <w:rPr>
          <w:rFonts w:ascii="黑体" w:eastAsia="黑体" w:hAnsi="宋体" w:hint="eastAsia"/>
          <w:color w:val="000000" w:themeColor="text1"/>
        </w:rPr>
        <w:t>：</w:t>
      </w:r>
      <w:r w:rsidRPr="00CB4B9E">
        <w:rPr>
          <w:rFonts w:ascii="宋体" w:hAnsi="宋体"/>
          <w:color w:val="000000" w:themeColor="text1"/>
          <w:szCs w:val="21"/>
        </w:rPr>
        <w:t xml:space="preserve"> 指本月内，本机构</w:t>
      </w:r>
      <w:r w:rsidRPr="00CB4B9E">
        <w:rPr>
          <w:rFonts w:ascii="宋体" w:hAnsi="宋体" w:hint="eastAsia"/>
          <w:color w:val="000000" w:themeColor="text1"/>
        </w:rPr>
        <w:t>信用证、银行承兑汇票或延付保函</w:t>
      </w:r>
      <w:r w:rsidRPr="00CB4B9E">
        <w:rPr>
          <w:rFonts w:ascii="宋体" w:hAnsi="宋体" w:hint="eastAsia"/>
          <w:color w:val="000000" w:themeColor="text1"/>
          <w:szCs w:val="21"/>
        </w:rPr>
        <w:t>的净值变动（承兑</w:t>
      </w:r>
      <w:r w:rsidRPr="00CB4B9E">
        <w:rPr>
          <w:rFonts w:ascii="宋体" w:hAnsi="宋体"/>
          <w:color w:val="000000" w:themeColor="text1"/>
          <w:szCs w:val="21"/>
        </w:rPr>
        <w:t>-到期支付）。正值代表净承兑增加，负值代表净承兑减少</w:t>
      </w:r>
      <w:r w:rsidRPr="00CB4B9E">
        <w:rPr>
          <w:rFonts w:ascii="宋体" w:hAnsi="宋体" w:hint="eastAsia"/>
          <w:color w:val="000000" w:themeColor="text1"/>
          <w:szCs w:val="21"/>
        </w:rPr>
        <w:t>或到期支付。计算方法为：</w:t>
      </w:r>
      <w:r w:rsidRPr="00CB4B9E">
        <w:rPr>
          <w:rFonts w:ascii="宋体" w:hAnsi="宋体"/>
          <w:color w:val="000000" w:themeColor="text1"/>
          <w:szCs w:val="21"/>
        </w:rPr>
        <w:t>F0212=F0209-F0208-F0211</w:t>
      </w:r>
      <w:r w:rsidRPr="00CB4B9E">
        <w:rPr>
          <w:rFonts w:ascii="宋体" w:hAnsi="宋体" w:hint="eastAsia"/>
          <w:color w:val="000000" w:themeColor="text1"/>
          <w:szCs w:val="21"/>
        </w:rPr>
        <w:t>。</w:t>
      </w:r>
    </w:p>
    <w:p w:rsidR="00BC1C11" w:rsidRPr="009263D7" w:rsidRDefault="00CB4B9E" w:rsidP="00C95808">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F0213.备注：</w:t>
      </w:r>
      <w:r w:rsidRPr="00CB4B9E">
        <w:rPr>
          <w:rFonts w:hint="eastAsia"/>
          <w:color w:val="000000" w:themeColor="text1"/>
        </w:rPr>
        <w:t>填报本表时需特别说明的情况。</w:t>
      </w:r>
    </w:p>
    <w:p w:rsidR="00C95808" w:rsidRPr="009263D7" w:rsidRDefault="00C95808" w:rsidP="00C95808">
      <w:pPr>
        <w:rPr>
          <w:color w:val="000000" w:themeColor="text1"/>
        </w:rPr>
      </w:pPr>
    </w:p>
    <w:p w:rsidR="00474CAF" w:rsidRPr="009263D7" w:rsidRDefault="00CB4B9E" w:rsidP="00D92612">
      <w:pPr>
        <w:spacing w:line="360" w:lineRule="auto"/>
        <w:ind w:rightChars="154" w:right="323"/>
        <w:rPr>
          <w:rFonts w:ascii="黑体" w:eastAsia="黑体"/>
          <w:color w:val="000000" w:themeColor="text1"/>
          <w:sz w:val="24"/>
        </w:rPr>
      </w:pPr>
      <w:r w:rsidRPr="00CB4B9E">
        <w:rPr>
          <w:rFonts w:ascii="黑体" w:eastAsia="黑体"/>
          <w:color w:val="000000" w:themeColor="text1"/>
          <w:sz w:val="24"/>
        </w:rPr>
        <w:t xml:space="preserve">    </w:t>
      </w:r>
      <w:r w:rsidRPr="00CB4B9E">
        <w:rPr>
          <w:rFonts w:ascii="黑体" w:eastAsia="黑体" w:hint="eastAsia"/>
          <w:color w:val="000000" w:themeColor="text1"/>
          <w:sz w:val="24"/>
        </w:rPr>
        <w:t>（八）涉外银行卡相关统计</w:t>
      </w:r>
    </w:p>
    <w:p w:rsidR="00474CAF" w:rsidRPr="009263D7" w:rsidRDefault="00CB4B9E" w:rsidP="00D92612">
      <w:pPr>
        <w:spacing w:line="360" w:lineRule="auto"/>
        <w:rPr>
          <w:rFonts w:ascii="宋体" w:hAnsi="宋体"/>
          <w:color w:val="000000" w:themeColor="text1"/>
          <w:szCs w:val="21"/>
        </w:rPr>
      </w:pPr>
      <w:r w:rsidRPr="00CB4B9E">
        <w:rPr>
          <w:rFonts w:ascii="黑体" w:eastAsia="黑体" w:hAnsi="宋体"/>
          <w:color w:val="000000" w:themeColor="text1"/>
          <w:szCs w:val="21"/>
        </w:rPr>
        <w:t xml:space="preserve">    1.</w:t>
      </w:r>
      <w:r w:rsidRPr="00CB4B9E">
        <w:rPr>
          <w:rFonts w:ascii="黑体" w:eastAsia="黑体" w:hAnsi="宋体" w:hint="eastAsia"/>
          <w:color w:val="000000" w:themeColor="text1"/>
          <w:szCs w:val="21"/>
        </w:rPr>
        <w:t>统计内容：</w:t>
      </w:r>
      <w:r w:rsidRPr="00CB4B9E">
        <w:rPr>
          <w:rFonts w:ascii="宋体" w:hAnsi="宋体" w:hint="eastAsia"/>
          <w:color w:val="000000" w:themeColor="text1"/>
          <w:szCs w:val="21"/>
        </w:rPr>
        <w:t>境内银行卡在境外消费或提现情况，以及境外银行卡在境内消费或提现情况。</w:t>
      </w:r>
    </w:p>
    <w:p w:rsidR="00474CAF" w:rsidRPr="009263D7" w:rsidRDefault="00CB4B9E" w:rsidP="00D92612">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境内</w:t>
      </w:r>
      <w:r w:rsidRPr="00CB4B9E">
        <w:rPr>
          <w:rFonts w:ascii="宋体" w:hAnsi="宋体" w:hint="eastAsia"/>
          <w:color w:val="000000" w:themeColor="text1"/>
        </w:rPr>
        <w:t>银行</w:t>
      </w:r>
      <w:r w:rsidRPr="00CB4B9E">
        <w:rPr>
          <w:rFonts w:ascii="宋体" w:hAnsi="宋体" w:hint="eastAsia"/>
          <w:color w:val="000000" w:themeColor="text1"/>
          <w:szCs w:val="21"/>
        </w:rPr>
        <w:t>卡：是指由境内银行发行的各类银行卡，包括贷记卡、准贷记卡和借记卡等。境内银行为中国居民，是指在境内注册成立的银行，包括境外机构或个人在境内设立的银行法人和分支机构，不包括境内机构或个人在境外设立的银行法人和分支机构。</w:t>
      </w:r>
    </w:p>
    <w:p w:rsidR="00474CAF" w:rsidRPr="009263D7" w:rsidRDefault="00CB4B9E" w:rsidP="00D92612">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境外银行卡：是指由境外银行发行的各类银行卡，包括贷记卡、准贷记卡和借记卡等。境外银行为非中国居民，是指在境外注册成立的银行，包括境内机构或个人在境外设立的银行法人和分支机构，不包括境外机构或个人在境内设立的银行法人和分支机构。</w:t>
      </w:r>
    </w:p>
    <w:p w:rsidR="00474CAF" w:rsidRPr="009263D7" w:rsidRDefault="00CB4B9E" w:rsidP="00D92612">
      <w:pPr>
        <w:spacing w:line="360" w:lineRule="auto"/>
        <w:jc w:val="left"/>
        <w:rPr>
          <w:rFonts w:ascii="黑体" w:eastAsia="黑体"/>
          <w:color w:val="000000" w:themeColor="text1"/>
        </w:rPr>
      </w:pPr>
      <w:r w:rsidRPr="00CB4B9E">
        <w:rPr>
          <w:rFonts w:ascii="黑体" w:eastAsia="黑体"/>
          <w:color w:val="000000" w:themeColor="text1"/>
        </w:rPr>
        <w:lastRenderedPageBreak/>
        <w:t xml:space="preserve">    </w:t>
      </w:r>
      <w:r w:rsidRPr="00CB4B9E">
        <w:rPr>
          <w:rFonts w:ascii="黑体" w:eastAsia="黑体" w:hint="eastAsia"/>
          <w:color w:val="000000" w:themeColor="text1"/>
        </w:rPr>
        <w:t>2.相关填报说明：</w:t>
      </w:r>
    </w:p>
    <w:p w:rsidR="00474CAF" w:rsidRPr="009263D7" w:rsidRDefault="00CB4B9E" w:rsidP="00D92612">
      <w:pPr>
        <w:spacing w:line="360" w:lineRule="auto"/>
        <w:rPr>
          <w:rFonts w:ascii="黑体" w:eastAsia="黑体"/>
          <w:color w:val="000000" w:themeColor="text1"/>
          <w:sz w:val="24"/>
        </w:rPr>
      </w:pPr>
      <w:r w:rsidRPr="00CB4B9E">
        <w:rPr>
          <w:rFonts w:ascii="黑体" w:eastAsia="黑体"/>
          <w:color w:val="000000" w:themeColor="text1"/>
          <w:sz w:val="24"/>
        </w:rPr>
        <w:t xml:space="preserve">    </w:t>
      </w:r>
      <w:r w:rsidRPr="00CB4B9E">
        <w:rPr>
          <w:rFonts w:ascii="黑体" w:eastAsia="黑体" w:hint="eastAsia"/>
          <w:color w:val="000000" w:themeColor="text1"/>
          <w:sz w:val="24"/>
        </w:rPr>
        <w:t>G01表：境内银行卡境外消费提现</w:t>
      </w:r>
    </w:p>
    <w:tbl>
      <w:tblPr>
        <w:tblW w:w="9542" w:type="dxa"/>
        <w:tblLayout w:type="fixed"/>
        <w:tblLook w:val="04A0"/>
      </w:tblPr>
      <w:tblGrid>
        <w:gridCol w:w="4771"/>
        <w:gridCol w:w="4771"/>
      </w:tblGrid>
      <w:tr w:rsidR="00F713F0" w:rsidRPr="009263D7" w:rsidTr="004C57A0">
        <w:trPr>
          <w:trHeight w:val="285"/>
        </w:trPr>
        <w:tc>
          <w:tcPr>
            <w:tcW w:w="4771" w:type="dxa"/>
            <w:tcBorders>
              <w:top w:val="single" w:sz="8" w:space="0" w:color="auto"/>
              <w:left w:val="nil"/>
              <w:bottom w:val="single" w:sz="4" w:space="0" w:color="auto"/>
              <w:right w:val="single" w:sz="4" w:space="0" w:color="auto"/>
            </w:tcBorders>
            <w:shd w:val="clear" w:color="auto" w:fill="auto"/>
            <w:noWrap/>
            <w:vAlign w:val="center"/>
          </w:tcPr>
          <w:p w:rsidR="00F713F0" w:rsidRPr="009263D7" w:rsidRDefault="00CB4B9E" w:rsidP="004C57A0">
            <w:pPr>
              <w:widowControl/>
              <w:adjustRightInd w:val="0"/>
              <w:snapToGrid w:val="0"/>
              <w:ind w:leftChars="-97" w:left="-204" w:firstLineChars="113" w:firstLine="227"/>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771" w:type="dxa"/>
            <w:tcBorders>
              <w:top w:val="single" w:sz="8" w:space="0" w:color="auto"/>
              <w:left w:val="nil"/>
              <w:bottom w:val="single" w:sz="4" w:space="0" w:color="auto"/>
              <w:right w:val="nil"/>
            </w:tcBorders>
            <w:shd w:val="clear" w:color="auto" w:fill="auto"/>
            <w:noWrap/>
            <w:vAlign w:val="center"/>
          </w:tcPr>
          <w:p w:rsidR="00F713F0" w:rsidRPr="009263D7" w:rsidRDefault="00CB4B9E" w:rsidP="004C57A0">
            <w:pPr>
              <w:widowControl/>
              <w:adjustRightInd w:val="0"/>
              <w:snapToGrid w:val="0"/>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713F0" w:rsidRPr="009263D7" w:rsidTr="004C57A0">
        <w:trPr>
          <w:trHeight w:val="720"/>
        </w:trPr>
        <w:tc>
          <w:tcPr>
            <w:tcW w:w="4771" w:type="dxa"/>
            <w:tcBorders>
              <w:top w:val="single" w:sz="4" w:space="0" w:color="auto"/>
              <w:left w:val="nil"/>
              <w:bottom w:val="single" w:sz="2" w:space="0" w:color="auto"/>
              <w:right w:val="single" w:sz="4" w:space="0" w:color="auto"/>
            </w:tcBorders>
            <w:shd w:val="clear" w:color="auto" w:fill="auto"/>
            <w:vAlign w:val="center"/>
          </w:tcPr>
          <w:p w:rsidR="00F713F0" w:rsidRPr="009263D7" w:rsidRDefault="00CB4B9E" w:rsidP="004C57A0">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1.境内银行卡在境外刷卡消费和取现情况。</w:t>
            </w:r>
          </w:p>
        </w:tc>
        <w:tc>
          <w:tcPr>
            <w:tcW w:w="4771" w:type="dxa"/>
            <w:tcBorders>
              <w:top w:val="single" w:sz="4" w:space="0" w:color="auto"/>
              <w:left w:val="nil"/>
              <w:bottom w:val="single" w:sz="2" w:space="0" w:color="auto"/>
              <w:right w:val="nil"/>
            </w:tcBorders>
            <w:shd w:val="clear" w:color="auto" w:fill="auto"/>
            <w:vAlign w:val="center"/>
          </w:tcPr>
          <w:p w:rsidR="00F713F0" w:rsidRPr="009263D7" w:rsidRDefault="00CB4B9E" w:rsidP="004C57A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1.境内银行卡在境内刷卡消费和取现情况。</w:t>
            </w:r>
          </w:p>
        </w:tc>
      </w:tr>
      <w:tr w:rsidR="00F713F0" w:rsidRPr="009263D7" w:rsidTr="00F713F0">
        <w:trPr>
          <w:trHeight w:val="1703"/>
        </w:trPr>
        <w:tc>
          <w:tcPr>
            <w:tcW w:w="4771" w:type="dxa"/>
            <w:tcBorders>
              <w:top w:val="single" w:sz="2" w:space="0" w:color="auto"/>
              <w:left w:val="nil"/>
              <w:bottom w:val="single" w:sz="4" w:space="0" w:color="auto"/>
              <w:right w:val="single" w:sz="4" w:space="0" w:color="auto"/>
            </w:tcBorders>
            <w:shd w:val="clear" w:color="auto" w:fill="auto"/>
            <w:vAlign w:val="center"/>
          </w:tcPr>
          <w:p w:rsidR="00F713F0" w:rsidRPr="009263D7" w:rsidRDefault="00CB4B9E" w:rsidP="004C57A0">
            <w:pPr>
              <w:widowControl/>
              <w:adjustRightInd w:val="0"/>
              <w:snapToGrid w:val="0"/>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2.境内银行和银行卡组织应按以下先后顺序确定其数据报送范围：</w:t>
            </w:r>
          </w:p>
          <w:p w:rsidR="00F713F0" w:rsidRPr="009263D7" w:rsidRDefault="00CB4B9E" w:rsidP="004C57A0">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——通过境内银行卡组织（中国银联）</w:t>
            </w:r>
            <w:r w:rsidRPr="00CB4B9E">
              <w:rPr>
                <w:rFonts w:ascii="宋体" w:hAnsi="宋体" w:cs="宋体"/>
                <w:color w:val="000000" w:themeColor="text1"/>
                <w:kern w:val="0"/>
                <w:sz w:val="18"/>
                <w:szCs w:val="18"/>
              </w:rPr>
              <w:t xml:space="preserve"> </w:t>
            </w:r>
            <w:r w:rsidRPr="00CB4B9E">
              <w:rPr>
                <w:rFonts w:ascii="宋体" w:hAnsi="宋体" w:cs="宋体" w:hint="eastAsia"/>
                <w:color w:val="000000" w:themeColor="text1"/>
                <w:kern w:val="0"/>
                <w:sz w:val="18"/>
                <w:szCs w:val="18"/>
              </w:rPr>
              <w:t>清算的资金由中国银联统一填报，境内发卡机构不再重复报送相关数据。</w:t>
            </w:r>
          </w:p>
          <w:p w:rsidR="00F713F0" w:rsidRPr="009263D7" w:rsidRDefault="00CB4B9E" w:rsidP="004C57A0">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——除中国银联以外清算渠道发生的业务，由境内发卡机构自行报送。</w:t>
            </w:r>
          </w:p>
        </w:tc>
        <w:tc>
          <w:tcPr>
            <w:tcW w:w="4771" w:type="dxa"/>
            <w:tcBorders>
              <w:top w:val="single" w:sz="2" w:space="0" w:color="auto"/>
              <w:left w:val="nil"/>
              <w:bottom w:val="single" w:sz="4" w:space="0" w:color="auto"/>
              <w:right w:val="nil"/>
            </w:tcBorders>
            <w:shd w:val="clear" w:color="auto" w:fill="auto"/>
            <w:vAlign w:val="center"/>
          </w:tcPr>
          <w:p w:rsidR="00F713F0" w:rsidRPr="009263D7" w:rsidRDefault="00F713F0" w:rsidP="004C57A0">
            <w:pPr>
              <w:widowControl/>
              <w:jc w:val="left"/>
              <w:rPr>
                <w:rFonts w:ascii="宋体" w:hAnsi="宋体" w:cs="宋体"/>
                <w:color w:val="000000" w:themeColor="text1"/>
                <w:kern w:val="0"/>
                <w:sz w:val="18"/>
                <w:szCs w:val="18"/>
              </w:rPr>
            </w:pPr>
          </w:p>
        </w:tc>
      </w:tr>
    </w:tbl>
    <w:p w:rsidR="00474CAF" w:rsidRPr="009263D7" w:rsidRDefault="00CB4B9E" w:rsidP="00D92612">
      <w:pPr>
        <w:spacing w:line="360" w:lineRule="auto"/>
        <w:ind w:firstLineChars="200" w:firstLine="420"/>
        <w:rPr>
          <w:rFonts w:ascii="宋体" w:hAnsi="宋体"/>
          <w:color w:val="000000" w:themeColor="text1"/>
        </w:rPr>
      </w:pPr>
      <w:r w:rsidRPr="00CB4B9E">
        <w:rPr>
          <w:rFonts w:ascii="黑体" w:eastAsia="黑体" w:hAnsi="宋体"/>
          <w:color w:val="000000" w:themeColor="text1"/>
        </w:rPr>
        <w:t>G0101.发卡机构名称：</w:t>
      </w:r>
      <w:r w:rsidRPr="00CB4B9E">
        <w:rPr>
          <w:rFonts w:ascii="宋体" w:hAnsi="宋体" w:hint="eastAsia"/>
          <w:color w:val="000000" w:themeColor="text1"/>
        </w:rPr>
        <w:t>指相关银行卡（含贷记卡、准贷记卡和借记卡）发行机构名称。仅限中国银联填报使用，境内银行不需填报。</w:t>
      </w:r>
    </w:p>
    <w:p w:rsidR="00474CAF" w:rsidRPr="009263D7" w:rsidRDefault="00CB4B9E" w:rsidP="00D92612">
      <w:pPr>
        <w:spacing w:line="360" w:lineRule="auto"/>
        <w:ind w:firstLineChars="200" w:firstLine="420"/>
        <w:rPr>
          <w:rFonts w:ascii="宋体" w:hAnsi="宋体"/>
          <w:color w:val="000000" w:themeColor="text1"/>
        </w:rPr>
      </w:pPr>
      <w:r w:rsidRPr="00CB4B9E">
        <w:rPr>
          <w:rFonts w:ascii="黑体" w:eastAsia="黑体" w:hAnsi="宋体"/>
          <w:color w:val="000000" w:themeColor="text1"/>
        </w:rPr>
        <w:t>G0102.银行卡清算渠道：</w:t>
      </w:r>
      <w:r w:rsidRPr="00CB4B9E">
        <w:rPr>
          <w:rFonts w:ascii="宋体" w:hAnsi="宋体" w:hint="eastAsia"/>
          <w:color w:val="000000" w:themeColor="text1"/>
        </w:rPr>
        <w:t>是指银行卡所使用的信用卡组织清算渠道或其他清算渠道，请按以下序号填列：①银联；②威士（</w:t>
      </w:r>
      <w:r w:rsidRPr="00CB4B9E">
        <w:rPr>
          <w:rFonts w:ascii="宋体" w:hAnsi="宋体"/>
          <w:color w:val="000000" w:themeColor="text1"/>
        </w:rPr>
        <w:t>Visa）；③万事达（Mastercard）；④美国运通（AMERICAN EXPRESS</w:t>
      </w:r>
      <w:r w:rsidRPr="00CB4B9E">
        <w:rPr>
          <w:rFonts w:ascii="宋体" w:hAnsi="宋体" w:hint="eastAsia"/>
          <w:color w:val="000000" w:themeColor="text1"/>
        </w:rPr>
        <w:t>）；⑤大来（</w:t>
      </w:r>
      <w:r w:rsidRPr="00CB4B9E">
        <w:rPr>
          <w:rFonts w:ascii="宋体" w:hAnsi="宋体"/>
          <w:color w:val="000000" w:themeColor="text1"/>
        </w:rPr>
        <w:t>DINERS CLUB</w:t>
      </w:r>
      <w:r w:rsidRPr="00CB4B9E">
        <w:rPr>
          <w:rFonts w:ascii="宋体" w:hAnsi="宋体" w:hint="eastAsia"/>
          <w:color w:val="000000" w:themeColor="text1"/>
        </w:rPr>
        <w:t>）；⑥吉士美（</w:t>
      </w:r>
      <w:r w:rsidRPr="00CB4B9E">
        <w:rPr>
          <w:rFonts w:ascii="宋体" w:hAnsi="宋体"/>
          <w:color w:val="000000" w:themeColor="text1"/>
        </w:rPr>
        <w:t>JCB）；⑦发卡行自行清算；⑧其他。其中，</w:t>
      </w:r>
      <w:r w:rsidRPr="00CB4B9E">
        <w:rPr>
          <w:rFonts w:ascii="宋体" w:hAnsi="宋体" w:hint="eastAsia"/>
          <w:b/>
          <w:color w:val="000000" w:themeColor="text1"/>
        </w:rPr>
        <w:t>通过①银联渠道清算的资金由中国银联统一填报，境内发卡机构不需填报</w:t>
      </w:r>
      <w:r w:rsidRPr="00CB4B9E">
        <w:rPr>
          <w:rFonts w:ascii="宋体" w:hAnsi="宋体" w:hint="eastAsia"/>
          <w:color w:val="000000" w:themeColor="text1"/>
        </w:rPr>
        <w:t>。境内发卡机构仅需填写除银联以外清算渠道（渠道②</w:t>
      </w:r>
      <w:r w:rsidRPr="00CB4B9E">
        <w:rPr>
          <w:rFonts w:ascii="宋体" w:hAnsi="宋体"/>
          <w:color w:val="000000" w:themeColor="text1"/>
        </w:rPr>
        <w:t>-⑧）的资金。</w:t>
      </w:r>
    </w:p>
    <w:p w:rsidR="00474CAF" w:rsidRPr="009263D7" w:rsidRDefault="00CB4B9E" w:rsidP="00474CAF">
      <w:pPr>
        <w:spacing w:line="360" w:lineRule="auto"/>
        <w:ind w:firstLineChars="200" w:firstLine="420"/>
        <w:rPr>
          <w:rFonts w:ascii="宋体" w:hAnsi="宋体"/>
          <w:color w:val="000000" w:themeColor="text1"/>
        </w:rPr>
      </w:pPr>
      <w:r w:rsidRPr="00CB4B9E">
        <w:rPr>
          <w:rFonts w:ascii="黑体" w:eastAsia="黑体" w:hAnsi="宋体"/>
          <w:color w:val="000000" w:themeColor="text1"/>
        </w:rPr>
        <w:t>G0103.持卡人</w:t>
      </w:r>
      <w:r w:rsidRPr="00CB4B9E">
        <w:rPr>
          <w:rFonts w:ascii="黑体" w:eastAsia="黑体" w:hAnsi="宋体" w:hint="eastAsia"/>
          <w:color w:val="000000" w:themeColor="text1"/>
        </w:rPr>
        <w:t>所属国家</w:t>
      </w:r>
      <w:r w:rsidRPr="00CB4B9E">
        <w:rPr>
          <w:rFonts w:ascii="黑体" w:eastAsia="黑体" w:hAnsi="宋体"/>
          <w:color w:val="000000" w:themeColor="text1"/>
        </w:rPr>
        <w:t>/地区：</w:t>
      </w:r>
      <w:r w:rsidRPr="00CB4B9E">
        <w:rPr>
          <w:rFonts w:ascii="宋体" w:hAnsi="宋体" w:hint="eastAsia"/>
          <w:color w:val="000000" w:themeColor="text1"/>
        </w:rPr>
        <w:t>按持卡人是否为中国居民区分为：①中国居民；②非中国居民。其中，非中国居民包括外国持卡人以及中国香港、澳门、台湾地区的持卡人。附属卡持卡人所属国家</w:t>
      </w:r>
      <w:r w:rsidRPr="00CB4B9E">
        <w:rPr>
          <w:rFonts w:ascii="宋体" w:hAnsi="宋体"/>
          <w:color w:val="000000" w:themeColor="text1"/>
        </w:rPr>
        <w:t>/地区按照主卡持卡人</w:t>
      </w:r>
      <w:r w:rsidRPr="00CB4B9E">
        <w:rPr>
          <w:rFonts w:ascii="宋体" w:hAnsi="宋体" w:hint="eastAsia"/>
          <w:color w:val="000000" w:themeColor="text1"/>
        </w:rPr>
        <w:t>所属国家</w:t>
      </w:r>
      <w:r w:rsidRPr="00CB4B9E">
        <w:rPr>
          <w:rFonts w:ascii="宋体" w:hAnsi="宋体"/>
          <w:color w:val="000000" w:themeColor="text1"/>
        </w:rPr>
        <w:t>/地区</w:t>
      </w:r>
      <w:r w:rsidRPr="00CB4B9E">
        <w:rPr>
          <w:rFonts w:ascii="宋体" w:hAnsi="宋体" w:hint="eastAsia"/>
          <w:color w:val="000000" w:themeColor="text1"/>
        </w:rPr>
        <w:t>确定。对于无法识别国家</w:t>
      </w:r>
      <w:r w:rsidRPr="00CB4B9E">
        <w:rPr>
          <w:rFonts w:ascii="宋体" w:hAnsi="宋体"/>
          <w:color w:val="000000" w:themeColor="text1"/>
        </w:rPr>
        <w:t>/地区的持卡人，统一视为中国居民，国家/地区</w:t>
      </w:r>
      <w:r w:rsidRPr="00CB4B9E">
        <w:rPr>
          <w:rFonts w:ascii="宋体" w:hAnsi="宋体" w:hint="eastAsia"/>
          <w:color w:val="000000" w:themeColor="text1"/>
        </w:rPr>
        <w:t>应归入中国。</w:t>
      </w:r>
    </w:p>
    <w:p w:rsidR="008F1B1B" w:rsidRPr="009263D7" w:rsidRDefault="00CB4B9E">
      <w:pPr>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G0104.交易类型：</w:t>
      </w:r>
      <w:r w:rsidRPr="00CB4B9E">
        <w:rPr>
          <w:rFonts w:ascii="宋体" w:hAnsi="宋体" w:hint="eastAsia"/>
          <w:color w:val="000000" w:themeColor="text1"/>
        </w:rPr>
        <w:t>按照商户类别或境外提现情况选择：①购物；②住宿；③餐饮；④当地交通；⑤教育留学；⑥其他服务；⑦提现；</w:t>
      </w:r>
      <w:r w:rsidRPr="00CB4B9E">
        <w:rPr>
          <w:rFonts w:ascii="宋体" w:hAnsi="宋体"/>
          <w:color w:val="000000" w:themeColor="text1"/>
        </w:rPr>
        <w:t xml:space="preserve"> </w:t>
      </w:r>
      <w:r w:rsidRPr="00CB4B9E">
        <w:rPr>
          <w:rFonts w:ascii="宋体" w:hAnsi="宋体"/>
          <w:color w:val="000000" w:themeColor="text1"/>
        </w:rPr>
        <w:fldChar w:fldCharType="begin"/>
      </w:r>
      <w:r w:rsidRPr="00CB4B9E">
        <w:rPr>
          <w:rFonts w:ascii="宋体" w:hAnsi="宋体"/>
          <w:color w:val="000000" w:themeColor="text1"/>
        </w:rPr>
        <w:instrText xml:space="preserve"> = 8 \* GB3 </w:instrText>
      </w:r>
      <w:r w:rsidRPr="00CB4B9E">
        <w:rPr>
          <w:rFonts w:ascii="宋体" w:hAnsi="宋体"/>
          <w:color w:val="000000" w:themeColor="text1"/>
        </w:rPr>
        <w:fldChar w:fldCharType="separate"/>
      </w:r>
      <w:r w:rsidRPr="00CB4B9E">
        <w:rPr>
          <w:rFonts w:ascii="宋体" w:hAnsi="宋体" w:hint="eastAsia"/>
          <w:noProof/>
          <w:color w:val="000000" w:themeColor="text1"/>
        </w:rPr>
        <w:t>⑧</w:t>
      </w:r>
      <w:r w:rsidRPr="00CB4B9E">
        <w:rPr>
          <w:rFonts w:ascii="宋体" w:hAnsi="宋体"/>
          <w:color w:val="000000" w:themeColor="text1"/>
        </w:rPr>
        <w:fldChar w:fldCharType="end"/>
      </w:r>
      <w:r w:rsidRPr="00CB4B9E">
        <w:rPr>
          <w:rFonts w:ascii="宋体" w:hAnsi="宋体" w:hint="eastAsia"/>
          <w:color w:val="000000" w:themeColor="text1"/>
        </w:rPr>
        <w:t>医疗保健。请参照数据采集规范最新版本中的相关代码表进行归类。如有未涵盖的商户类别码，请根据具体情况进行归类。</w:t>
      </w:r>
    </w:p>
    <w:p w:rsidR="005C1A3C" w:rsidRPr="009263D7" w:rsidRDefault="00CB4B9E" w:rsidP="005C1A3C">
      <w:pPr>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G0104CODE.</w:t>
      </w:r>
      <w:r w:rsidRPr="00CB4B9E">
        <w:rPr>
          <w:rFonts w:ascii="黑体" w:eastAsia="黑体" w:hAnsi="宋体" w:hint="eastAsia"/>
          <w:color w:val="000000" w:themeColor="text1"/>
        </w:rPr>
        <w:t>交易方式：</w:t>
      </w:r>
      <w:r w:rsidRPr="00CB4B9E">
        <w:rPr>
          <w:rFonts w:ascii="宋体" w:hAnsi="宋体" w:hint="eastAsia"/>
          <w:color w:val="000000" w:themeColor="text1"/>
        </w:rPr>
        <w:t>请选择①线下；②线上。其中，“线下”是指通过</w:t>
      </w:r>
      <w:r w:rsidRPr="00CB4B9E">
        <w:rPr>
          <w:rFonts w:ascii="宋体" w:hAnsi="宋体"/>
          <w:color w:val="000000" w:themeColor="text1"/>
        </w:rPr>
        <w:t>POS和ATM机进行的交易；其他均归为“线上”。</w:t>
      </w:r>
    </w:p>
    <w:p w:rsidR="008F1B1B" w:rsidRPr="009263D7" w:rsidRDefault="00CB4B9E">
      <w:pPr>
        <w:spacing w:line="360" w:lineRule="auto"/>
        <w:ind w:firstLineChars="200" w:firstLine="420"/>
        <w:rPr>
          <w:rFonts w:ascii="宋体" w:hAnsi="宋体"/>
          <w:color w:val="000000" w:themeColor="text1"/>
        </w:rPr>
      </w:pPr>
      <w:r w:rsidRPr="00CB4B9E">
        <w:rPr>
          <w:rFonts w:ascii="黑体" w:eastAsia="黑体" w:hAnsi="宋体"/>
          <w:color w:val="000000" w:themeColor="text1"/>
        </w:rPr>
        <w:t>G0105.交易所在地国家/地区：</w:t>
      </w:r>
      <w:r w:rsidRPr="00CB4B9E">
        <w:rPr>
          <w:rFonts w:ascii="宋体" w:hAnsi="宋体" w:hint="eastAsia"/>
          <w:color w:val="000000" w:themeColor="text1"/>
        </w:rPr>
        <w:t>指境外消费所在地或提现所在地。请参照数据采集规范最新版本中的相关代码表填列。</w:t>
      </w:r>
    </w:p>
    <w:p w:rsidR="00474CAF" w:rsidRPr="009263D7" w:rsidRDefault="00CB4B9E" w:rsidP="00474CAF">
      <w:pPr>
        <w:spacing w:line="360" w:lineRule="auto"/>
        <w:ind w:firstLineChars="200" w:firstLine="420"/>
        <w:rPr>
          <w:rFonts w:ascii="宋体" w:hAnsi="宋体"/>
          <w:color w:val="000000" w:themeColor="text1"/>
        </w:rPr>
      </w:pPr>
      <w:r w:rsidRPr="00CB4B9E">
        <w:rPr>
          <w:rFonts w:ascii="黑体" w:eastAsia="黑体" w:hAnsi="宋体"/>
          <w:color w:val="000000" w:themeColor="text1"/>
        </w:rPr>
        <w:t>G0106.交易原币：</w:t>
      </w:r>
      <w:r w:rsidRPr="00CB4B9E">
        <w:rPr>
          <w:rFonts w:ascii="宋体" w:hAnsi="宋体" w:hint="eastAsia"/>
          <w:color w:val="000000" w:themeColor="text1"/>
        </w:rPr>
        <w:t>指持卡人在境外消费或提现的原始币种。请参照数据采集规范最新版本中的相关代码表填列</w:t>
      </w:r>
      <w:r w:rsidRPr="00CB4B9E">
        <w:rPr>
          <w:rFonts w:ascii="宋体" w:hAnsi="宋体" w:hint="eastAsia"/>
          <w:color w:val="000000" w:themeColor="text1"/>
          <w:szCs w:val="21"/>
        </w:rPr>
        <w:t>。</w:t>
      </w:r>
    </w:p>
    <w:p w:rsidR="00474CAF" w:rsidRPr="009263D7" w:rsidRDefault="00CB4B9E" w:rsidP="006165D1">
      <w:pPr>
        <w:spacing w:line="360" w:lineRule="auto"/>
        <w:ind w:firstLineChars="200" w:firstLine="420"/>
        <w:rPr>
          <w:rFonts w:ascii="宋体" w:hAnsi="宋体"/>
          <w:color w:val="000000" w:themeColor="text1"/>
        </w:rPr>
      </w:pPr>
      <w:r w:rsidRPr="00CB4B9E">
        <w:rPr>
          <w:rFonts w:ascii="黑体" w:eastAsia="黑体" w:hAnsi="宋体"/>
          <w:color w:val="000000" w:themeColor="text1"/>
        </w:rPr>
        <w:t>G0107.交易金额：</w:t>
      </w:r>
      <w:r w:rsidRPr="00CB4B9E">
        <w:rPr>
          <w:rFonts w:ascii="宋体" w:hAnsi="宋体" w:hint="eastAsia"/>
          <w:color w:val="000000" w:themeColor="text1"/>
        </w:rPr>
        <w:t>指持卡人在境外消费或提现的金额。如无法获取交易原币金额，可选择清算币种及相应金额填列。</w:t>
      </w:r>
    </w:p>
    <w:p w:rsidR="00474CAF" w:rsidRPr="009263D7" w:rsidRDefault="00474CAF" w:rsidP="006165D1">
      <w:pPr>
        <w:spacing w:line="360" w:lineRule="auto"/>
        <w:ind w:firstLineChars="200" w:firstLine="480"/>
        <w:rPr>
          <w:rFonts w:ascii="黑体" w:eastAsia="黑体"/>
          <w:color w:val="000000" w:themeColor="text1"/>
          <w:sz w:val="24"/>
        </w:rPr>
      </w:pPr>
    </w:p>
    <w:p w:rsidR="00474CAF" w:rsidRPr="009263D7" w:rsidRDefault="00CB4B9E" w:rsidP="006165D1">
      <w:pPr>
        <w:spacing w:line="360" w:lineRule="auto"/>
        <w:ind w:firstLineChars="200" w:firstLine="480"/>
        <w:rPr>
          <w:rFonts w:ascii="黑体" w:eastAsia="黑体"/>
          <w:color w:val="000000" w:themeColor="text1"/>
          <w:sz w:val="24"/>
        </w:rPr>
      </w:pPr>
      <w:r w:rsidRPr="00CB4B9E">
        <w:rPr>
          <w:rFonts w:ascii="黑体" w:eastAsia="黑体" w:hint="eastAsia"/>
          <w:color w:val="000000" w:themeColor="text1"/>
          <w:sz w:val="24"/>
        </w:rPr>
        <w:t>G02表：境外银行卡境内消费提现</w:t>
      </w:r>
    </w:p>
    <w:tbl>
      <w:tblPr>
        <w:tblW w:w="9542" w:type="dxa"/>
        <w:tblLayout w:type="fixed"/>
        <w:tblLook w:val="04A0"/>
      </w:tblPr>
      <w:tblGrid>
        <w:gridCol w:w="4771"/>
        <w:gridCol w:w="4771"/>
      </w:tblGrid>
      <w:tr w:rsidR="00F713F0" w:rsidRPr="009263D7" w:rsidTr="004C57A0">
        <w:trPr>
          <w:trHeight w:val="285"/>
        </w:trPr>
        <w:tc>
          <w:tcPr>
            <w:tcW w:w="4771" w:type="dxa"/>
            <w:tcBorders>
              <w:top w:val="single" w:sz="8" w:space="0" w:color="auto"/>
              <w:left w:val="nil"/>
              <w:bottom w:val="single" w:sz="4" w:space="0" w:color="auto"/>
              <w:right w:val="single" w:sz="4" w:space="0" w:color="auto"/>
            </w:tcBorders>
            <w:shd w:val="clear" w:color="auto" w:fill="auto"/>
            <w:noWrap/>
            <w:vAlign w:val="center"/>
          </w:tcPr>
          <w:p w:rsidR="00F713F0" w:rsidRPr="009263D7" w:rsidRDefault="00CB4B9E" w:rsidP="004C57A0">
            <w:pPr>
              <w:widowControl/>
              <w:adjustRightInd w:val="0"/>
              <w:snapToGrid w:val="0"/>
              <w:ind w:leftChars="-97" w:left="-204" w:firstLineChars="113" w:firstLine="227"/>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771" w:type="dxa"/>
            <w:tcBorders>
              <w:top w:val="single" w:sz="8" w:space="0" w:color="auto"/>
              <w:left w:val="nil"/>
              <w:bottom w:val="single" w:sz="4" w:space="0" w:color="auto"/>
              <w:right w:val="nil"/>
            </w:tcBorders>
            <w:shd w:val="clear" w:color="auto" w:fill="auto"/>
            <w:noWrap/>
            <w:vAlign w:val="center"/>
          </w:tcPr>
          <w:p w:rsidR="00F713F0" w:rsidRPr="009263D7" w:rsidRDefault="00CB4B9E" w:rsidP="004C57A0">
            <w:pPr>
              <w:widowControl/>
              <w:adjustRightInd w:val="0"/>
              <w:snapToGrid w:val="0"/>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F713F0" w:rsidRPr="009263D7" w:rsidTr="004C57A0">
        <w:trPr>
          <w:trHeight w:val="720"/>
        </w:trPr>
        <w:tc>
          <w:tcPr>
            <w:tcW w:w="4771" w:type="dxa"/>
            <w:tcBorders>
              <w:top w:val="single" w:sz="4" w:space="0" w:color="auto"/>
              <w:left w:val="nil"/>
              <w:bottom w:val="single" w:sz="2" w:space="0" w:color="auto"/>
              <w:right w:val="single" w:sz="4" w:space="0" w:color="auto"/>
            </w:tcBorders>
            <w:shd w:val="clear" w:color="auto" w:fill="auto"/>
            <w:vAlign w:val="center"/>
          </w:tcPr>
          <w:p w:rsidR="00F713F0" w:rsidRPr="009263D7" w:rsidRDefault="00CB4B9E" w:rsidP="004C57A0">
            <w:pPr>
              <w:widowControl/>
              <w:adjustRightInd w:val="0"/>
              <w:snapToGrid w:val="0"/>
              <w:ind w:leftChars="-97" w:left="-204" w:firstLineChars="113" w:firstLine="203"/>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1.境外银行卡在境内刷卡消费和取现情况。</w:t>
            </w:r>
          </w:p>
        </w:tc>
        <w:tc>
          <w:tcPr>
            <w:tcW w:w="4771" w:type="dxa"/>
            <w:tcBorders>
              <w:top w:val="single" w:sz="4" w:space="0" w:color="auto"/>
              <w:left w:val="nil"/>
              <w:bottom w:val="single" w:sz="2" w:space="0" w:color="auto"/>
              <w:right w:val="nil"/>
            </w:tcBorders>
            <w:shd w:val="clear" w:color="auto" w:fill="auto"/>
            <w:vAlign w:val="center"/>
          </w:tcPr>
          <w:p w:rsidR="00F713F0" w:rsidRPr="009263D7" w:rsidRDefault="00F713F0" w:rsidP="004C57A0">
            <w:pPr>
              <w:widowControl/>
              <w:jc w:val="left"/>
              <w:rPr>
                <w:rFonts w:ascii="宋体" w:hAnsi="宋体" w:cs="宋体"/>
                <w:color w:val="000000" w:themeColor="text1"/>
                <w:kern w:val="0"/>
                <w:sz w:val="18"/>
                <w:szCs w:val="18"/>
              </w:rPr>
            </w:pPr>
          </w:p>
        </w:tc>
      </w:tr>
      <w:tr w:rsidR="00F713F0" w:rsidRPr="009263D7" w:rsidTr="00F713F0">
        <w:trPr>
          <w:trHeight w:val="1790"/>
        </w:trPr>
        <w:tc>
          <w:tcPr>
            <w:tcW w:w="4771" w:type="dxa"/>
            <w:tcBorders>
              <w:top w:val="single" w:sz="2" w:space="0" w:color="auto"/>
              <w:left w:val="nil"/>
              <w:bottom w:val="single" w:sz="4" w:space="0" w:color="auto"/>
              <w:right w:val="single" w:sz="4" w:space="0" w:color="auto"/>
            </w:tcBorders>
            <w:shd w:val="clear" w:color="auto" w:fill="auto"/>
            <w:vAlign w:val="center"/>
          </w:tcPr>
          <w:p w:rsidR="00F713F0" w:rsidRPr="009263D7" w:rsidRDefault="00CB4B9E" w:rsidP="004C57A0">
            <w:pPr>
              <w:widowControl/>
              <w:adjustRightInd w:val="0"/>
              <w:snapToGrid w:val="0"/>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2.境内收单机构和银行卡组织</w:t>
            </w:r>
            <w:r w:rsidRPr="00CB4B9E">
              <w:rPr>
                <w:rFonts w:ascii="宋体" w:hAnsi="宋体" w:cs="宋体" w:hint="eastAsia"/>
                <w:color w:val="000000" w:themeColor="text1"/>
                <w:kern w:val="0"/>
                <w:sz w:val="18"/>
                <w:szCs w:val="18"/>
              </w:rPr>
              <w:t>（中国银联）应按以下先后顺序确定其数据报送范围：</w:t>
            </w:r>
          </w:p>
          <w:p w:rsidR="00F713F0" w:rsidRPr="009263D7" w:rsidRDefault="00CB4B9E" w:rsidP="004C57A0">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——通过中国银联渠道清算以及由其代境内银行收单的资金由中国银联统一填报，境内其他收单机构不再重复报送相关数据。</w:t>
            </w:r>
          </w:p>
          <w:p w:rsidR="00F713F0" w:rsidRPr="009263D7" w:rsidRDefault="00CB4B9E" w:rsidP="004C57A0">
            <w:pPr>
              <w:widowControl/>
              <w:adjustRightInd w:val="0"/>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——除中国银联清算或收单外的其他清算渠道发生的业务，由境内收单机构自行报送。</w:t>
            </w:r>
          </w:p>
        </w:tc>
        <w:tc>
          <w:tcPr>
            <w:tcW w:w="4771" w:type="dxa"/>
            <w:tcBorders>
              <w:top w:val="single" w:sz="2" w:space="0" w:color="auto"/>
              <w:left w:val="nil"/>
              <w:bottom w:val="single" w:sz="4" w:space="0" w:color="auto"/>
              <w:right w:val="nil"/>
            </w:tcBorders>
            <w:shd w:val="clear" w:color="auto" w:fill="auto"/>
            <w:vAlign w:val="center"/>
          </w:tcPr>
          <w:p w:rsidR="00F713F0" w:rsidRPr="009263D7" w:rsidRDefault="00F713F0" w:rsidP="004C57A0">
            <w:pPr>
              <w:widowControl/>
              <w:jc w:val="left"/>
              <w:rPr>
                <w:rFonts w:ascii="宋体" w:hAnsi="宋体" w:cs="宋体"/>
                <w:color w:val="000000" w:themeColor="text1"/>
                <w:kern w:val="0"/>
                <w:sz w:val="18"/>
                <w:szCs w:val="18"/>
              </w:rPr>
            </w:pPr>
          </w:p>
        </w:tc>
      </w:tr>
    </w:tbl>
    <w:p w:rsidR="00474CAF" w:rsidRPr="009263D7" w:rsidRDefault="00CB4B9E" w:rsidP="006165D1">
      <w:pPr>
        <w:spacing w:line="360" w:lineRule="auto"/>
        <w:ind w:firstLineChars="200" w:firstLine="420"/>
        <w:rPr>
          <w:rFonts w:ascii="宋体" w:hAnsi="宋体"/>
          <w:color w:val="000000" w:themeColor="text1"/>
        </w:rPr>
      </w:pPr>
      <w:r w:rsidRPr="00CB4B9E">
        <w:rPr>
          <w:rFonts w:ascii="黑体" w:eastAsia="黑体" w:hAnsi="宋体" w:cs="宋体"/>
          <w:color w:val="000000" w:themeColor="text1"/>
          <w:kern w:val="0"/>
          <w:szCs w:val="21"/>
        </w:rPr>
        <w:t>G0201.银行卡清算渠道：</w:t>
      </w:r>
      <w:r w:rsidRPr="00CB4B9E">
        <w:rPr>
          <w:rFonts w:ascii="宋体" w:hAnsi="宋体" w:cs="宋体" w:hint="eastAsia"/>
          <w:color w:val="000000" w:themeColor="text1"/>
          <w:kern w:val="0"/>
          <w:szCs w:val="21"/>
        </w:rPr>
        <w:t>是指银行</w:t>
      </w:r>
      <w:r w:rsidRPr="00CB4B9E">
        <w:rPr>
          <w:rFonts w:ascii="宋体" w:hint="eastAsia"/>
          <w:color w:val="000000" w:themeColor="text1"/>
          <w:szCs w:val="21"/>
        </w:rPr>
        <w:t>卡</w:t>
      </w:r>
      <w:r w:rsidRPr="00CB4B9E">
        <w:rPr>
          <w:rFonts w:ascii="宋体" w:hAnsi="宋体" w:hint="eastAsia"/>
          <w:color w:val="000000" w:themeColor="text1"/>
          <w:szCs w:val="21"/>
        </w:rPr>
        <w:t>所使用的卡组织清算渠道或其他清算渠道，请按以下序号填列：</w:t>
      </w:r>
      <w:r w:rsidRPr="00CB4B9E">
        <w:rPr>
          <w:rFonts w:ascii="宋体" w:hAnsi="宋体" w:hint="eastAsia"/>
          <w:color w:val="000000" w:themeColor="text1"/>
        </w:rPr>
        <w:t>①银联；②威士（</w:t>
      </w:r>
      <w:r w:rsidRPr="00CB4B9E">
        <w:rPr>
          <w:rFonts w:ascii="宋体" w:hAnsi="宋体"/>
          <w:color w:val="000000" w:themeColor="text1"/>
        </w:rPr>
        <w:t>Visa）；③万事达（Mastercard）；④美国运通（AMERICAN EXPRESS</w:t>
      </w:r>
      <w:r w:rsidRPr="00CB4B9E">
        <w:rPr>
          <w:rFonts w:ascii="宋体" w:hAnsi="宋体" w:hint="eastAsia"/>
          <w:color w:val="000000" w:themeColor="text1"/>
        </w:rPr>
        <w:t>）；⑤大来（</w:t>
      </w:r>
      <w:r w:rsidRPr="00CB4B9E">
        <w:rPr>
          <w:rFonts w:ascii="宋体" w:hAnsi="宋体"/>
          <w:color w:val="000000" w:themeColor="text1"/>
        </w:rPr>
        <w:t>DINERS CLUB</w:t>
      </w:r>
      <w:r w:rsidRPr="00CB4B9E">
        <w:rPr>
          <w:rFonts w:ascii="宋体" w:hAnsi="宋体" w:hint="eastAsia"/>
          <w:color w:val="000000" w:themeColor="text1"/>
        </w:rPr>
        <w:t>）；⑥吉士美（</w:t>
      </w:r>
      <w:r w:rsidRPr="00CB4B9E">
        <w:rPr>
          <w:rFonts w:ascii="宋体" w:hAnsi="宋体"/>
          <w:color w:val="000000" w:themeColor="text1"/>
        </w:rPr>
        <w:t>JCB）；⑦本行清算；⑧其他。其中，通过①银联渠道清算以及由其代境内银行收单的资金</w:t>
      </w:r>
      <w:r w:rsidRPr="00CB4B9E">
        <w:rPr>
          <w:rFonts w:ascii="宋体" w:hAnsi="宋体" w:hint="eastAsia"/>
          <w:color w:val="000000" w:themeColor="text1"/>
        </w:rPr>
        <w:t>由中国银联统一填报，境内其他收单机构不需填报。境内其他收单机构仅需填写除银联清算或收单以外的其他渠道的数据。</w:t>
      </w:r>
    </w:p>
    <w:p w:rsidR="00474CAF" w:rsidRPr="009263D7" w:rsidRDefault="00CB4B9E" w:rsidP="006165D1">
      <w:pPr>
        <w:spacing w:line="360" w:lineRule="auto"/>
        <w:ind w:firstLineChars="200" w:firstLine="420"/>
        <w:rPr>
          <w:rFonts w:ascii="宋体" w:hAnsi="宋体"/>
          <w:color w:val="000000" w:themeColor="text1"/>
        </w:rPr>
      </w:pPr>
      <w:r w:rsidRPr="00CB4B9E">
        <w:rPr>
          <w:rFonts w:ascii="黑体" w:eastAsia="黑体" w:hAnsi="宋体"/>
          <w:color w:val="000000" w:themeColor="text1"/>
        </w:rPr>
        <w:t>G0202.交易类型：</w:t>
      </w:r>
      <w:r w:rsidRPr="00CB4B9E">
        <w:rPr>
          <w:rFonts w:ascii="宋体" w:hAnsi="宋体" w:hint="eastAsia"/>
          <w:color w:val="000000" w:themeColor="text1"/>
        </w:rPr>
        <w:t>按照商户类别或境内提现情况选择：①购物；②住宿；③餐饮；④当地交通；⑤教育留学；⑥其他服务；⑦提现；</w:t>
      </w:r>
      <w:r w:rsidRPr="00CB4B9E">
        <w:rPr>
          <w:rFonts w:ascii="宋体" w:hAnsi="宋体"/>
          <w:color w:val="000000" w:themeColor="text1"/>
        </w:rPr>
        <w:t xml:space="preserve"> </w:t>
      </w:r>
      <w:r w:rsidRPr="00CB4B9E">
        <w:rPr>
          <w:rFonts w:ascii="宋体" w:hAnsi="宋体"/>
          <w:color w:val="000000" w:themeColor="text1"/>
        </w:rPr>
        <w:fldChar w:fldCharType="begin"/>
      </w:r>
      <w:r w:rsidRPr="00CB4B9E">
        <w:rPr>
          <w:rFonts w:ascii="宋体" w:hAnsi="宋体"/>
          <w:color w:val="000000" w:themeColor="text1"/>
        </w:rPr>
        <w:instrText xml:space="preserve"> = 8 \* GB3 </w:instrText>
      </w:r>
      <w:r w:rsidRPr="00CB4B9E">
        <w:rPr>
          <w:rFonts w:ascii="宋体" w:hAnsi="宋体"/>
          <w:color w:val="000000" w:themeColor="text1"/>
        </w:rPr>
        <w:fldChar w:fldCharType="separate"/>
      </w:r>
      <w:r w:rsidRPr="00CB4B9E">
        <w:rPr>
          <w:rFonts w:ascii="宋体" w:hAnsi="宋体" w:hint="eastAsia"/>
          <w:noProof/>
          <w:color w:val="000000" w:themeColor="text1"/>
        </w:rPr>
        <w:t>⑧</w:t>
      </w:r>
      <w:r w:rsidRPr="00CB4B9E">
        <w:rPr>
          <w:rFonts w:ascii="宋体" w:hAnsi="宋体"/>
          <w:color w:val="000000" w:themeColor="text1"/>
        </w:rPr>
        <w:fldChar w:fldCharType="end"/>
      </w:r>
      <w:r w:rsidRPr="00CB4B9E">
        <w:rPr>
          <w:rFonts w:ascii="宋体" w:hAnsi="宋体" w:hint="eastAsia"/>
          <w:color w:val="000000" w:themeColor="text1"/>
        </w:rPr>
        <w:t>医疗保健。请参照数据采集规范最新版本中的相关代码表进行归类。如有未涵盖的商户类别码，请根据具体情况进行归类。</w:t>
      </w:r>
    </w:p>
    <w:p w:rsidR="00303788" w:rsidRPr="009263D7" w:rsidRDefault="00CB4B9E" w:rsidP="00303788">
      <w:pPr>
        <w:spacing w:line="360" w:lineRule="auto"/>
        <w:ind w:firstLineChars="200" w:firstLine="420"/>
        <w:rPr>
          <w:rFonts w:ascii="黑体" w:eastAsia="黑体" w:hAnsi="宋体"/>
          <w:color w:val="000000" w:themeColor="text1"/>
        </w:rPr>
      </w:pPr>
      <w:bookmarkStart w:id="57" w:name="OLE_LINK5"/>
      <w:r w:rsidRPr="00CB4B9E">
        <w:rPr>
          <w:rFonts w:ascii="黑体" w:eastAsia="黑体" w:hAnsi="宋体"/>
          <w:color w:val="000000" w:themeColor="text1"/>
        </w:rPr>
        <w:t>G0202CODE</w:t>
      </w:r>
      <w:bookmarkEnd w:id="57"/>
      <w:r w:rsidRPr="00CB4B9E">
        <w:rPr>
          <w:rFonts w:ascii="黑体" w:eastAsia="黑体" w:hAnsi="宋体"/>
          <w:color w:val="000000" w:themeColor="text1"/>
        </w:rPr>
        <w:t>.交易</w:t>
      </w:r>
      <w:r w:rsidRPr="00CB4B9E">
        <w:rPr>
          <w:rFonts w:ascii="黑体" w:eastAsia="黑体" w:hAnsi="宋体" w:hint="eastAsia"/>
          <w:color w:val="000000" w:themeColor="text1"/>
        </w:rPr>
        <w:t>方式</w:t>
      </w:r>
      <w:r w:rsidRPr="00CB4B9E">
        <w:rPr>
          <w:rFonts w:ascii="黑体" w:eastAsia="黑体" w:hAnsi="宋体"/>
          <w:color w:val="000000" w:themeColor="text1"/>
        </w:rPr>
        <w:t>：</w:t>
      </w:r>
      <w:r w:rsidRPr="00CB4B9E">
        <w:rPr>
          <w:rFonts w:ascii="宋体" w:hAnsi="宋体" w:hint="eastAsia"/>
          <w:color w:val="000000" w:themeColor="text1"/>
        </w:rPr>
        <w:t>请选择①线下；②线上。其中，“线下”是指通过</w:t>
      </w:r>
      <w:r w:rsidRPr="00CB4B9E">
        <w:rPr>
          <w:rFonts w:ascii="宋体" w:hAnsi="宋体"/>
          <w:color w:val="000000" w:themeColor="text1"/>
        </w:rPr>
        <w:t>POS和ATM机进行的交易；其他均归为“线上”。</w:t>
      </w:r>
    </w:p>
    <w:p w:rsidR="00474CAF" w:rsidRPr="009263D7" w:rsidRDefault="00CB4B9E" w:rsidP="006165D1">
      <w:pPr>
        <w:spacing w:line="360" w:lineRule="auto"/>
        <w:ind w:firstLineChars="200" w:firstLine="420"/>
        <w:rPr>
          <w:rFonts w:ascii="宋体" w:hAnsi="宋体"/>
          <w:color w:val="000000" w:themeColor="text1"/>
        </w:rPr>
      </w:pPr>
      <w:r w:rsidRPr="00CB4B9E">
        <w:rPr>
          <w:rFonts w:ascii="黑体" w:eastAsia="黑体" w:hAnsi="宋体"/>
          <w:color w:val="000000" w:themeColor="text1"/>
        </w:rPr>
        <w:t>G0203.发卡行</w:t>
      </w:r>
      <w:r w:rsidRPr="00CB4B9E">
        <w:rPr>
          <w:rFonts w:ascii="黑体" w:eastAsia="黑体" w:hAnsi="宋体" w:hint="eastAsia"/>
          <w:color w:val="000000" w:themeColor="text1"/>
        </w:rPr>
        <w:t>所属国家</w:t>
      </w:r>
      <w:r w:rsidRPr="00CB4B9E">
        <w:rPr>
          <w:rFonts w:ascii="黑体" w:eastAsia="黑体" w:hAnsi="宋体"/>
          <w:color w:val="000000" w:themeColor="text1"/>
        </w:rPr>
        <w:t>/地区</w:t>
      </w:r>
      <w:r w:rsidRPr="00CB4B9E">
        <w:rPr>
          <w:rFonts w:ascii="宋体" w:hAnsi="宋体" w:hint="eastAsia"/>
          <w:color w:val="000000" w:themeColor="text1"/>
        </w:rPr>
        <w:t>：发卡行国家</w:t>
      </w:r>
      <w:r w:rsidRPr="00CB4B9E">
        <w:rPr>
          <w:rFonts w:ascii="宋体" w:hAnsi="宋体"/>
          <w:color w:val="000000" w:themeColor="text1"/>
        </w:rPr>
        <w:t>/地区</w:t>
      </w:r>
      <w:r w:rsidRPr="00CB4B9E">
        <w:rPr>
          <w:rFonts w:ascii="宋体" w:hAnsi="宋体" w:cs="宋体" w:hint="eastAsia"/>
          <w:color w:val="000000" w:themeColor="text1"/>
          <w:kern w:val="0"/>
          <w:szCs w:val="21"/>
        </w:rPr>
        <w:t>是指境外发卡行的注册或常驻国家</w:t>
      </w:r>
      <w:r w:rsidRPr="00CB4B9E">
        <w:rPr>
          <w:rFonts w:ascii="宋体" w:hAnsi="宋体" w:cs="宋体"/>
          <w:color w:val="000000" w:themeColor="text1"/>
          <w:kern w:val="0"/>
          <w:szCs w:val="21"/>
        </w:rPr>
        <w:t>/地区</w:t>
      </w:r>
      <w:r w:rsidRPr="00CB4B9E">
        <w:rPr>
          <w:rFonts w:ascii="宋体" w:hint="eastAsia"/>
          <w:color w:val="000000" w:themeColor="text1"/>
          <w:szCs w:val="21"/>
        </w:rPr>
        <w:t>。如发卡行常驻国家/地区为中国香港、澳门和台湾地区，应分别填列中国香港、澳门和台湾。</w:t>
      </w:r>
      <w:r w:rsidRPr="00CB4B9E">
        <w:rPr>
          <w:rFonts w:ascii="宋体" w:hAnsi="宋体" w:hint="eastAsia"/>
          <w:color w:val="000000" w:themeColor="text1"/>
        </w:rPr>
        <w:t>请参照数据采集规范最新版本中的相关代码表填列。如果无法确认发卡行国家</w:t>
      </w:r>
      <w:r w:rsidRPr="00CB4B9E">
        <w:rPr>
          <w:rFonts w:ascii="宋体" w:hAnsi="宋体"/>
          <w:color w:val="000000" w:themeColor="text1"/>
        </w:rPr>
        <w:t>/地区，则可以选择“无法识别”。</w:t>
      </w:r>
    </w:p>
    <w:p w:rsidR="00474CAF" w:rsidRPr="009263D7" w:rsidRDefault="00CB4B9E" w:rsidP="00474CAF">
      <w:pPr>
        <w:spacing w:line="360" w:lineRule="auto"/>
        <w:ind w:firstLineChars="200" w:firstLine="420"/>
        <w:rPr>
          <w:rFonts w:ascii="宋体" w:hAnsi="宋体" w:cs="宋体"/>
          <w:color w:val="000000" w:themeColor="text1"/>
          <w:kern w:val="0"/>
          <w:szCs w:val="21"/>
        </w:rPr>
      </w:pPr>
      <w:r w:rsidRPr="00CB4B9E">
        <w:rPr>
          <w:rFonts w:ascii="黑体" w:eastAsia="黑体" w:hAnsi="宋体"/>
          <w:color w:val="000000" w:themeColor="text1"/>
        </w:rPr>
        <w:t>G0204.交易原币：</w:t>
      </w:r>
      <w:r w:rsidRPr="00CB4B9E">
        <w:rPr>
          <w:rFonts w:ascii="宋体" w:hAnsi="宋体" w:cs="宋体" w:hint="eastAsia"/>
          <w:color w:val="000000" w:themeColor="text1"/>
          <w:kern w:val="0"/>
          <w:szCs w:val="21"/>
        </w:rPr>
        <w:t>指境外卡持卡人在境内消费或提现的原始币种</w:t>
      </w:r>
      <w:r w:rsidRPr="00CB4B9E">
        <w:rPr>
          <w:rFonts w:ascii="宋体" w:hAnsi="宋体" w:hint="eastAsia"/>
          <w:color w:val="000000" w:themeColor="text1"/>
        </w:rPr>
        <w:t>（即人民币）。请参照数据采集规范最新版本中的相关代码表填列</w:t>
      </w:r>
      <w:r w:rsidRPr="00CB4B9E">
        <w:rPr>
          <w:rFonts w:ascii="宋体" w:hAnsi="宋体" w:hint="eastAsia"/>
          <w:color w:val="000000" w:themeColor="text1"/>
          <w:szCs w:val="21"/>
        </w:rPr>
        <w:t>。</w:t>
      </w:r>
    </w:p>
    <w:p w:rsidR="00474CAF" w:rsidRPr="009263D7" w:rsidRDefault="00CB4B9E" w:rsidP="00474CAF">
      <w:pPr>
        <w:spacing w:line="360" w:lineRule="auto"/>
        <w:ind w:firstLineChars="200" w:firstLine="420"/>
        <w:rPr>
          <w:rFonts w:ascii="宋体" w:hAnsi="宋体" w:cs="宋体"/>
          <w:color w:val="000000" w:themeColor="text1"/>
          <w:kern w:val="0"/>
          <w:szCs w:val="21"/>
        </w:rPr>
      </w:pPr>
      <w:r w:rsidRPr="00CB4B9E">
        <w:rPr>
          <w:rFonts w:ascii="黑体" w:eastAsia="黑体" w:hAnsi="宋体"/>
          <w:color w:val="000000" w:themeColor="text1"/>
        </w:rPr>
        <w:t>G0205.交易金额：</w:t>
      </w:r>
      <w:r w:rsidRPr="00CB4B9E">
        <w:rPr>
          <w:rFonts w:ascii="宋体" w:hAnsi="宋体" w:cs="宋体" w:hint="eastAsia"/>
          <w:color w:val="000000" w:themeColor="text1"/>
          <w:kern w:val="0"/>
          <w:szCs w:val="21"/>
        </w:rPr>
        <w:t>指境外卡持卡人在境内消费或提现的金额</w:t>
      </w:r>
      <w:r w:rsidRPr="00CB4B9E">
        <w:rPr>
          <w:rFonts w:ascii="宋体" w:hAnsi="宋体" w:hint="eastAsia"/>
          <w:color w:val="000000" w:themeColor="text1"/>
        </w:rPr>
        <w:t>。</w:t>
      </w:r>
    </w:p>
    <w:p w:rsidR="00474CAF" w:rsidRPr="009263D7" w:rsidRDefault="00474CAF" w:rsidP="00474CAF">
      <w:pPr>
        <w:rPr>
          <w:color w:val="000000" w:themeColor="text1"/>
        </w:rPr>
      </w:pPr>
    </w:p>
    <w:p w:rsidR="00717383" w:rsidRPr="009263D7" w:rsidRDefault="00CB4B9E" w:rsidP="00015D80">
      <w:pPr>
        <w:spacing w:line="360" w:lineRule="auto"/>
        <w:rPr>
          <w:rFonts w:ascii="黑体" w:eastAsia="黑体"/>
          <w:color w:val="000000" w:themeColor="text1"/>
          <w:sz w:val="24"/>
        </w:rPr>
      </w:pPr>
      <w:r w:rsidRPr="00CB4B9E">
        <w:rPr>
          <w:rFonts w:ascii="黑体" w:eastAsia="黑体"/>
          <w:color w:val="000000" w:themeColor="text1"/>
          <w:sz w:val="24"/>
        </w:rPr>
        <w:t xml:space="preserve">    </w:t>
      </w:r>
      <w:r w:rsidRPr="00CB4B9E">
        <w:rPr>
          <w:rFonts w:ascii="黑体" w:eastAsia="黑体" w:hint="eastAsia"/>
          <w:color w:val="000000" w:themeColor="text1"/>
          <w:sz w:val="24"/>
        </w:rPr>
        <w:t>（九）涉外托管业务</w:t>
      </w:r>
    </w:p>
    <w:p w:rsidR="00015D80" w:rsidRPr="009263D7" w:rsidRDefault="00CB4B9E" w:rsidP="00EC1567">
      <w:pPr>
        <w:spacing w:line="360" w:lineRule="auto"/>
        <w:ind w:rightChars="154" w:right="323" w:firstLine="420"/>
        <w:rPr>
          <w:rFonts w:ascii="黑体" w:eastAsia="黑体"/>
          <w:color w:val="000000" w:themeColor="text1"/>
          <w:szCs w:val="21"/>
        </w:rPr>
      </w:pPr>
      <w:r w:rsidRPr="00CB4B9E">
        <w:rPr>
          <w:rFonts w:ascii="黑体" w:eastAsia="黑体"/>
          <w:color w:val="000000" w:themeColor="text1"/>
          <w:szCs w:val="21"/>
        </w:rPr>
        <w:t>1.</w:t>
      </w:r>
      <w:r w:rsidRPr="00CB4B9E">
        <w:rPr>
          <w:rFonts w:ascii="黑体" w:eastAsia="黑体" w:hint="eastAsia"/>
          <w:color w:val="000000" w:themeColor="text1"/>
          <w:szCs w:val="21"/>
        </w:rPr>
        <w:t>统计内容：</w:t>
      </w:r>
    </w:p>
    <w:p w:rsidR="00313010" w:rsidRPr="009263D7" w:rsidRDefault="00CB4B9E" w:rsidP="00EC1567">
      <w:pPr>
        <w:spacing w:line="360" w:lineRule="auto"/>
        <w:ind w:rightChars="154" w:right="323" w:firstLine="420"/>
        <w:rPr>
          <w:rFonts w:ascii="宋体" w:hAnsi="宋体"/>
          <w:color w:val="000000" w:themeColor="text1"/>
          <w:szCs w:val="21"/>
        </w:rPr>
      </w:pPr>
      <w:r w:rsidRPr="00CB4B9E">
        <w:rPr>
          <w:rFonts w:ascii="宋体" w:hAnsi="宋体" w:hint="eastAsia"/>
          <w:color w:val="000000" w:themeColor="text1"/>
          <w:szCs w:val="21"/>
        </w:rPr>
        <w:t>统计境内机构为居民及非居民托管的相关工具（如投资产品）的交易与头寸。</w:t>
      </w:r>
    </w:p>
    <w:p w:rsidR="00313010" w:rsidRPr="009263D7" w:rsidRDefault="00CB4B9E" w:rsidP="00EC1567">
      <w:pPr>
        <w:spacing w:line="360" w:lineRule="auto"/>
        <w:ind w:rightChars="154" w:right="323" w:firstLine="420"/>
        <w:rPr>
          <w:rFonts w:ascii="黑体" w:eastAsia="黑体"/>
          <w:color w:val="000000" w:themeColor="text1"/>
          <w:szCs w:val="21"/>
        </w:rPr>
      </w:pPr>
      <w:r w:rsidRPr="00CB4B9E">
        <w:rPr>
          <w:rFonts w:ascii="黑体" w:eastAsia="黑体"/>
          <w:color w:val="000000" w:themeColor="text1"/>
          <w:szCs w:val="21"/>
        </w:rPr>
        <w:t xml:space="preserve"> </w:t>
      </w:r>
      <w:r w:rsidRPr="00CB4B9E">
        <w:rPr>
          <w:rFonts w:ascii="黑体" w:eastAsia="黑体" w:hint="eastAsia"/>
          <w:color w:val="000000" w:themeColor="text1"/>
          <w:szCs w:val="21"/>
        </w:rPr>
        <w:t>2.相关报表说明：</w:t>
      </w:r>
    </w:p>
    <w:p w:rsidR="00717383" w:rsidRPr="009263D7" w:rsidRDefault="00CB4B9E" w:rsidP="00717383">
      <w:pPr>
        <w:spacing w:line="360" w:lineRule="auto"/>
        <w:ind w:rightChars="154" w:right="323" w:firstLineChars="200" w:firstLine="480"/>
        <w:rPr>
          <w:rFonts w:ascii="黑体" w:eastAsia="黑体"/>
          <w:color w:val="000000" w:themeColor="text1"/>
          <w:sz w:val="24"/>
        </w:rPr>
      </w:pPr>
      <w:r w:rsidRPr="00CB4B9E">
        <w:rPr>
          <w:rFonts w:ascii="黑体" w:eastAsia="黑体"/>
          <w:color w:val="000000" w:themeColor="text1"/>
          <w:sz w:val="24"/>
        </w:rPr>
        <w:t>H01</w:t>
      </w:r>
      <w:r w:rsidRPr="00CB4B9E">
        <w:rPr>
          <w:rFonts w:ascii="黑体" w:eastAsia="黑体" w:hint="eastAsia"/>
          <w:color w:val="000000" w:themeColor="text1"/>
          <w:sz w:val="24"/>
        </w:rPr>
        <w:t>表：为非居民托管业务统计（</w:t>
      </w:r>
      <w:r w:rsidRPr="00CB4B9E">
        <w:rPr>
          <w:rFonts w:eastAsia="黑体"/>
          <w:color w:val="000000" w:themeColor="text1"/>
          <w:sz w:val="24"/>
        </w:rPr>
        <w:t>QFII</w:t>
      </w:r>
      <w:r w:rsidRPr="00CB4B9E">
        <w:rPr>
          <w:rFonts w:eastAsia="黑体" w:hint="eastAsia"/>
          <w:color w:val="000000" w:themeColor="text1"/>
          <w:sz w:val="24"/>
        </w:rPr>
        <w:t>、</w:t>
      </w:r>
      <w:r w:rsidRPr="00CB4B9E">
        <w:rPr>
          <w:rFonts w:eastAsia="黑体"/>
          <w:color w:val="000000" w:themeColor="text1"/>
          <w:sz w:val="24"/>
        </w:rPr>
        <w:t>RQFII</w:t>
      </w:r>
      <w:r w:rsidRPr="00CB4B9E">
        <w:rPr>
          <w:rFonts w:ascii="黑体" w:eastAsia="黑体" w:hint="eastAsia"/>
          <w:color w:val="000000" w:themeColor="text1"/>
          <w:sz w:val="24"/>
        </w:rPr>
        <w:t>相关）</w:t>
      </w:r>
    </w:p>
    <w:tbl>
      <w:tblPr>
        <w:tblW w:w="9440" w:type="dxa"/>
        <w:tblInd w:w="97" w:type="dxa"/>
        <w:tblLook w:val="04A0"/>
      </w:tblPr>
      <w:tblGrid>
        <w:gridCol w:w="4840"/>
        <w:gridCol w:w="4600"/>
      </w:tblGrid>
      <w:tr w:rsidR="00717383"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717383" w:rsidRPr="009263D7" w:rsidRDefault="00CB4B9E" w:rsidP="00B5693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lastRenderedPageBreak/>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717383" w:rsidRPr="009263D7" w:rsidRDefault="00CB4B9E" w:rsidP="00B5693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5D277D" w:rsidRPr="009263D7">
        <w:trPr>
          <w:trHeight w:val="1032"/>
        </w:trPr>
        <w:tc>
          <w:tcPr>
            <w:tcW w:w="4840" w:type="dxa"/>
            <w:tcBorders>
              <w:top w:val="nil"/>
              <w:left w:val="nil"/>
              <w:bottom w:val="single" w:sz="4" w:space="0" w:color="auto"/>
              <w:right w:val="single" w:sz="4" w:space="0" w:color="auto"/>
            </w:tcBorders>
            <w:shd w:val="clear" w:color="auto" w:fill="auto"/>
            <w:vAlign w:val="center"/>
          </w:tcPr>
          <w:p w:rsidR="005D277D" w:rsidRPr="009263D7" w:rsidRDefault="00CB4B9E" w:rsidP="00B5693C">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1.本机构为非居民托管的股本证券、投资基金份额/单位</w:t>
            </w:r>
            <w:r w:rsidRPr="00CB4B9E">
              <w:rPr>
                <w:rFonts w:ascii="宋体" w:hAnsi="宋体" w:cs="宋体" w:hint="eastAsia"/>
                <w:color w:val="000000" w:themeColor="text1"/>
                <w:kern w:val="0"/>
                <w:sz w:val="18"/>
                <w:szCs w:val="18"/>
              </w:rPr>
              <w:t>、债务证券及其它金融工具情况，相关证券应在非居民机构和个人名下。</w:t>
            </w:r>
          </w:p>
        </w:tc>
        <w:tc>
          <w:tcPr>
            <w:tcW w:w="4600" w:type="dxa"/>
            <w:tcBorders>
              <w:top w:val="nil"/>
              <w:left w:val="nil"/>
              <w:bottom w:val="single" w:sz="4" w:space="0" w:color="auto"/>
              <w:right w:val="nil"/>
            </w:tcBorders>
            <w:shd w:val="clear" w:color="auto" w:fill="auto"/>
            <w:vAlign w:val="center"/>
          </w:tcPr>
          <w:p w:rsidR="005D277D" w:rsidRPr="009263D7" w:rsidRDefault="005D277D" w:rsidP="00B5693C">
            <w:pPr>
              <w:widowControl/>
              <w:jc w:val="left"/>
              <w:rPr>
                <w:rFonts w:ascii="宋体" w:hAnsi="宋体" w:cs="宋体"/>
                <w:color w:val="000000" w:themeColor="text1"/>
                <w:kern w:val="0"/>
                <w:sz w:val="18"/>
                <w:szCs w:val="18"/>
              </w:rPr>
            </w:pPr>
          </w:p>
        </w:tc>
      </w:tr>
    </w:tbl>
    <w:p w:rsidR="00717383" w:rsidRDefault="00717383" w:rsidP="00717383">
      <w:pPr>
        <w:spacing w:line="280" w:lineRule="exact"/>
        <w:ind w:leftChars="-1" w:left="1062" w:hangingChars="591" w:hanging="1064"/>
        <w:rPr>
          <w:rFonts w:ascii="宋体" w:hAnsi="宋体" w:cs="宋体"/>
          <w:color w:val="000000" w:themeColor="text1"/>
          <w:kern w:val="0"/>
          <w:sz w:val="18"/>
          <w:szCs w:val="18"/>
        </w:rPr>
      </w:pPr>
    </w:p>
    <w:p w:rsidR="007313AB" w:rsidRDefault="007313AB" w:rsidP="00717383">
      <w:pPr>
        <w:spacing w:line="280" w:lineRule="exact"/>
        <w:ind w:leftChars="-1" w:left="1062" w:hangingChars="591" w:hanging="1064"/>
        <w:rPr>
          <w:rFonts w:ascii="宋体" w:hAnsi="宋体" w:cs="宋体"/>
          <w:color w:val="000000" w:themeColor="text1"/>
          <w:kern w:val="0"/>
          <w:sz w:val="18"/>
          <w:szCs w:val="18"/>
        </w:rPr>
      </w:pPr>
    </w:p>
    <w:p w:rsidR="007313AB" w:rsidRPr="009263D7" w:rsidRDefault="007313AB" w:rsidP="00717383">
      <w:pPr>
        <w:spacing w:line="280" w:lineRule="exact"/>
        <w:ind w:leftChars="-1" w:left="1062" w:hangingChars="591" w:hanging="1064"/>
        <w:rPr>
          <w:rFonts w:ascii="宋体" w:hAnsi="宋体" w:cs="宋体"/>
          <w:color w:val="000000" w:themeColor="text1"/>
          <w:kern w:val="0"/>
          <w:sz w:val="18"/>
          <w:szCs w:val="18"/>
        </w:rPr>
      </w:pPr>
    </w:p>
    <w:p w:rsidR="00717383"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H0101.非居民委托人名称：</w:t>
      </w:r>
      <w:r w:rsidRPr="00CB4B9E">
        <w:rPr>
          <w:rFonts w:ascii="宋体" w:hAnsi="宋体" w:hint="eastAsia"/>
          <w:color w:val="000000" w:themeColor="text1"/>
          <w:szCs w:val="21"/>
        </w:rPr>
        <w:t>指委托本机构进行托管的非居民的英文或中文全称。</w:t>
      </w:r>
    </w:p>
    <w:p w:rsidR="00B34166"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H0101CODE.</w:t>
      </w:r>
      <w:r w:rsidRPr="00CB4B9E">
        <w:rPr>
          <w:rFonts w:ascii="黑体" w:eastAsia="黑体" w:hAnsi="宋体" w:hint="eastAsia"/>
          <w:color w:val="000000" w:themeColor="text1"/>
          <w:szCs w:val="21"/>
        </w:rPr>
        <w:t>非居民委托人代码：</w:t>
      </w:r>
      <w:r w:rsidRPr="00CB4B9E">
        <w:rPr>
          <w:rFonts w:ascii="宋体" w:hAnsi="宋体" w:hint="eastAsia"/>
          <w:color w:val="000000" w:themeColor="text1"/>
          <w:szCs w:val="21"/>
        </w:rPr>
        <w:t>指非居民委托人申领的特殊机构代码。</w:t>
      </w:r>
    </w:p>
    <w:p w:rsidR="000652A1"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H0102.非居民委托人</w:t>
      </w:r>
      <w:r w:rsidRPr="00CB4B9E">
        <w:rPr>
          <w:rFonts w:ascii="黑体" w:eastAsia="黑体" w:hAnsi="宋体" w:hint="eastAsia"/>
          <w:color w:val="000000" w:themeColor="text1"/>
          <w:szCs w:val="21"/>
        </w:rPr>
        <w:t>所属国家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指非居民委托人注册或常驻（住）的国家或地区。</w:t>
      </w:r>
    </w:p>
    <w:p w:rsidR="00717383"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H0103.非居民委托人所属部门：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w:t>
      </w:r>
      <w:r w:rsidRPr="00CB4B9E">
        <w:rPr>
          <w:rFonts w:ascii="宋体" w:hAnsi="宋体" w:hint="eastAsia"/>
          <w:color w:val="000000" w:themeColor="text1"/>
        </w:rPr>
        <w:t>和个人。请按非居民委托人的主营业务归类。</w:t>
      </w:r>
    </w:p>
    <w:p w:rsidR="000D45A9" w:rsidRPr="009263D7" w:rsidRDefault="00CB4B9E" w:rsidP="00717383">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H0104.非居民委托人产品名称：</w:t>
      </w:r>
      <w:r w:rsidRPr="00CB4B9E">
        <w:rPr>
          <w:rFonts w:ascii="宋体" w:hAnsi="宋体" w:hint="eastAsia"/>
          <w:color w:val="000000" w:themeColor="text1"/>
        </w:rPr>
        <w:t>指非居民委托人所托管产品的全称。</w:t>
      </w:r>
    </w:p>
    <w:p w:rsidR="00820D51"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H0104CODE.</w:t>
      </w:r>
      <w:r w:rsidRPr="00CB4B9E">
        <w:rPr>
          <w:rFonts w:ascii="黑体" w:eastAsia="黑体" w:hAnsi="宋体" w:hint="eastAsia"/>
          <w:color w:val="000000" w:themeColor="text1"/>
          <w:szCs w:val="21"/>
        </w:rPr>
        <w:t>业务编号：</w:t>
      </w:r>
      <w:r w:rsidRPr="00CB4B9E">
        <w:rPr>
          <w:rFonts w:ascii="宋体" w:hAnsi="宋体" w:hint="eastAsia"/>
          <w:color w:val="000000" w:themeColor="text1"/>
        </w:rPr>
        <w:t>外汇局签发的</w:t>
      </w:r>
      <w:r w:rsidRPr="00CB4B9E">
        <w:rPr>
          <w:rFonts w:ascii="宋体" w:hAnsi="宋体"/>
          <w:color w:val="000000" w:themeColor="text1"/>
        </w:rPr>
        <w:t>QFII</w:t>
      </w:r>
      <w:r w:rsidRPr="00CB4B9E">
        <w:rPr>
          <w:rFonts w:ascii="宋体" w:hAnsi="宋体" w:hint="eastAsia"/>
          <w:color w:val="000000" w:themeColor="text1"/>
        </w:rPr>
        <w:t>产品编号。</w:t>
      </w:r>
    </w:p>
    <w:p w:rsidR="00717383"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H0105.</w:t>
      </w:r>
      <w:r w:rsidRPr="00CB4B9E">
        <w:rPr>
          <w:rFonts w:ascii="黑体" w:eastAsia="黑体" w:hAnsi="宋体" w:hint="eastAsia"/>
          <w:color w:val="000000" w:themeColor="text1"/>
          <w:szCs w:val="21"/>
        </w:rPr>
        <w:t>投资工具类型：</w:t>
      </w:r>
      <w:r w:rsidRPr="00CB4B9E">
        <w:rPr>
          <w:rFonts w:ascii="宋体" w:hAnsi="宋体" w:hint="eastAsia"/>
          <w:color w:val="000000" w:themeColor="text1"/>
          <w:szCs w:val="21"/>
        </w:rPr>
        <w:t>指非居民委托人产品在境内投向的工具类型，按以下情况填列：</w:t>
      </w:r>
      <w:r w:rsidRPr="00CB4B9E">
        <w:rPr>
          <w:rFonts w:ascii="宋体" w:hAnsi="宋体" w:hint="eastAsia"/>
          <w:color w:val="000000" w:themeColor="text1"/>
        </w:rPr>
        <w:t>①</w:t>
      </w:r>
      <w:r w:rsidRPr="00CB4B9E">
        <w:rPr>
          <w:rFonts w:ascii="宋体" w:hAnsi="宋体" w:hint="eastAsia"/>
          <w:color w:val="000000" w:themeColor="text1"/>
          <w:szCs w:val="21"/>
        </w:rPr>
        <w:t>上市普通股；</w:t>
      </w:r>
      <w:r w:rsidRPr="00CB4B9E">
        <w:rPr>
          <w:rFonts w:ascii="宋体" w:hAnsi="宋体" w:hint="eastAsia"/>
          <w:color w:val="000000" w:themeColor="text1"/>
        </w:rPr>
        <w:t>②</w:t>
      </w:r>
      <w:r w:rsidRPr="00CB4B9E">
        <w:rPr>
          <w:rFonts w:ascii="宋体" w:hAnsi="宋体" w:hint="eastAsia"/>
          <w:color w:val="000000" w:themeColor="text1"/>
          <w:szCs w:val="21"/>
        </w:rPr>
        <w:t>非上市普通股；</w:t>
      </w:r>
      <w:r w:rsidRPr="00CB4B9E">
        <w:rPr>
          <w:rFonts w:ascii="宋体" w:hAnsi="宋体" w:hint="eastAsia"/>
          <w:color w:val="000000" w:themeColor="text1"/>
        </w:rPr>
        <w:t>③货币</w:t>
      </w:r>
      <w:r w:rsidRPr="00CB4B9E">
        <w:rPr>
          <w:rFonts w:ascii="宋体" w:hAnsi="宋体" w:hint="eastAsia"/>
          <w:color w:val="000000" w:themeColor="text1"/>
          <w:szCs w:val="21"/>
        </w:rPr>
        <w:t>市场基金份额</w:t>
      </w:r>
      <w:r w:rsidRPr="00CB4B9E">
        <w:rPr>
          <w:rFonts w:ascii="宋体" w:hAnsi="宋体"/>
          <w:color w:val="000000" w:themeColor="text1"/>
          <w:szCs w:val="21"/>
        </w:rPr>
        <w:t>/单位；</w:t>
      </w:r>
      <w:r w:rsidRPr="00CB4B9E">
        <w:rPr>
          <w:rFonts w:ascii="宋体" w:hAnsi="宋体" w:hint="eastAsia"/>
          <w:color w:val="000000" w:themeColor="text1"/>
        </w:rPr>
        <w:t>④非货币</w:t>
      </w:r>
      <w:r w:rsidRPr="00CB4B9E">
        <w:rPr>
          <w:rFonts w:ascii="宋体" w:hAnsi="宋体" w:hint="eastAsia"/>
          <w:color w:val="000000" w:themeColor="text1"/>
          <w:szCs w:val="21"/>
        </w:rPr>
        <w:t>市场基金份额</w:t>
      </w:r>
      <w:r w:rsidRPr="00CB4B9E">
        <w:rPr>
          <w:rFonts w:ascii="宋体" w:hAnsi="宋体"/>
          <w:color w:val="000000" w:themeColor="text1"/>
          <w:szCs w:val="21"/>
        </w:rPr>
        <w:t>/单位；</w:t>
      </w:r>
      <w:r w:rsidRPr="00CB4B9E">
        <w:rPr>
          <w:rFonts w:ascii="宋体" w:hAnsi="宋体" w:hint="eastAsia"/>
          <w:color w:val="000000" w:themeColor="text1"/>
        </w:rPr>
        <w:t>⑤金融衍生产品；⑥债务证券；⑦存款</w:t>
      </w:r>
      <w:r w:rsidRPr="00CB4B9E">
        <w:rPr>
          <w:rFonts w:ascii="宋体" w:hAnsi="宋体"/>
          <w:color w:val="000000" w:themeColor="text1"/>
        </w:rPr>
        <w:t>(含活期和定期</w:t>
      </w:r>
      <w:r w:rsidRPr="00CB4B9E">
        <w:rPr>
          <w:rFonts w:ascii="宋体" w:hAnsi="宋体" w:hint="eastAsia"/>
          <w:color w:val="000000" w:themeColor="text1"/>
        </w:rPr>
        <w:t>存款</w:t>
      </w:r>
      <w:r w:rsidRPr="00CB4B9E">
        <w:rPr>
          <w:rFonts w:ascii="宋体" w:hAnsi="宋体"/>
          <w:color w:val="000000" w:themeColor="text1"/>
        </w:rPr>
        <w:t>)</w:t>
      </w:r>
      <w:r w:rsidRPr="00CB4B9E">
        <w:rPr>
          <w:rFonts w:ascii="宋体" w:hAnsi="宋体" w:hint="eastAsia"/>
          <w:color w:val="000000" w:themeColor="text1"/>
        </w:rPr>
        <w:t>；⑧应收款；⑨应付款；⑩参与性优先股；</w:t>
      </w:r>
      <w:r w:rsidRPr="00CB4B9E">
        <w:rPr>
          <w:rFonts w:ascii="宋体" w:hAnsi="宋体"/>
          <w:color w:val="000000" w:themeColor="text1"/>
        </w:rPr>
        <w:t xml:space="preserve"> </w:t>
      </w:r>
      <w:r w:rsidRPr="00CB4B9E">
        <w:rPr>
          <w:rFonts w:ascii="宋体" w:hAnsi="宋体" w:hint="eastAsia"/>
          <w:color w:val="000000" w:themeColor="text1"/>
        </w:rPr>
        <w:t>⑾非参与性优先股</w:t>
      </w:r>
      <w:r w:rsidRPr="00CB4B9E">
        <w:rPr>
          <w:rFonts w:ascii="宋体" w:hAnsi="宋体" w:hint="eastAsia"/>
          <w:color w:val="000000" w:themeColor="text1"/>
          <w:szCs w:val="21"/>
        </w:rPr>
        <w:t>。无法区分</w:t>
      </w:r>
      <w:r w:rsidRPr="00CB4B9E">
        <w:rPr>
          <w:rFonts w:ascii="宋体" w:hAnsi="宋体" w:hint="eastAsia"/>
          <w:color w:val="000000" w:themeColor="text1"/>
        </w:rPr>
        <w:t>⑩⑾的</w:t>
      </w:r>
      <w:r w:rsidRPr="00CB4B9E">
        <w:rPr>
          <w:rFonts w:ascii="宋体" w:hAnsi="宋体" w:hint="eastAsia"/>
          <w:color w:val="000000" w:themeColor="text1"/>
          <w:szCs w:val="21"/>
        </w:rPr>
        <w:t>情况下，可视为非参与性优先股。</w:t>
      </w:r>
    </w:p>
    <w:p w:rsidR="0061371E" w:rsidRPr="009263D7" w:rsidRDefault="00CB4B9E" w:rsidP="00717383">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INVTYPE.投资品种类型：</w:t>
      </w:r>
      <w:r w:rsidRPr="00CB4B9E">
        <w:rPr>
          <w:rFonts w:ascii="宋体" w:hAnsi="宋体" w:hint="eastAsia"/>
          <w:color w:val="000000" w:themeColor="text1"/>
        </w:rPr>
        <w:t>请参照数据采集规范最新版本中的</w:t>
      </w:r>
      <w:r w:rsidRPr="00CB4B9E">
        <w:rPr>
          <w:rFonts w:ascii="宋体" w:hAnsi="宋体"/>
          <w:color w:val="000000" w:themeColor="text1"/>
        </w:rPr>
        <w:t>QFII/RQFII投资品种类型代码表</w:t>
      </w:r>
      <w:r w:rsidRPr="00CB4B9E">
        <w:rPr>
          <w:rFonts w:ascii="宋体" w:hAnsi="宋体" w:hint="eastAsia"/>
          <w:color w:val="000000" w:themeColor="text1"/>
        </w:rPr>
        <w:t>填写。</w:t>
      </w:r>
    </w:p>
    <w:p w:rsidR="00D137B5"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H0105CODE.</w:t>
      </w:r>
      <w:r w:rsidRPr="00CB4B9E">
        <w:rPr>
          <w:rFonts w:ascii="黑体" w:eastAsia="黑体" w:hAnsi="宋体" w:hint="eastAsia"/>
          <w:color w:val="000000" w:themeColor="text1"/>
          <w:szCs w:val="21"/>
        </w:rPr>
        <w:t>业务类型：</w:t>
      </w:r>
      <w:r w:rsidRPr="00CB4B9E">
        <w:rPr>
          <w:rFonts w:ascii="宋体" w:hAnsi="宋体" w:hint="eastAsia"/>
          <w:color w:val="000000" w:themeColor="text1"/>
        </w:rPr>
        <w:t>请选择①</w:t>
      </w:r>
      <w:r w:rsidRPr="00CB4B9E">
        <w:rPr>
          <w:rFonts w:ascii="宋体" w:hAnsi="宋体"/>
          <w:color w:val="000000" w:themeColor="text1"/>
        </w:rPr>
        <w:t>QFII；②RQFII；</w:t>
      </w:r>
      <w:r w:rsidR="00ED6AD3" w:rsidRPr="00FE7524">
        <w:rPr>
          <w:rFonts w:ascii="宋体" w:hAnsi="宋体" w:hint="eastAsia"/>
          <w:color w:val="000000" w:themeColor="text1"/>
        </w:rPr>
        <w:t>⑨其他。</w:t>
      </w:r>
    </w:p>
    <w:p w:rsidR="007B7AF6" w:rsidRPr="009263D7" w:rsidRDefault="00CB4B9E" w:rsidP="007B7AF6">
      <w:pPr>
        <w:spacing w:line="360" w:lineRule="auto"/>
        <w:ind w:firstLineChars="200" w:firstLine="420"/>
        <w:rPr>
          <w:color w:val="000000" w:themeColor="text1"/>
        </w:rPr>
      </w:pPr>
      <w:r w:rsidRPr="00CB4B9E">
        <w:rPr>
          <w:rFonts w:ascii="黑体" w:eastAsia="黑体"/>
          <w:color w:val="000000" w:themeColor="text1"/>
        </w:rPr>
        <w:t>H0106</w:t>
      </w:r>
      <w:r w:rsidRPr="00CB4B9E">
        <w:rPr>
          <w:rFonts w:ascii="黑体" w:eastAsia="黑体" w:hint="eastAsia"/>
          <w:color w:val="000000" w:themeColor="text1"/>
        </w:rPr>
        <w:t>.金融衍生产品的合约类别：</w:t>
      </w:r>
      <w:r w:rsidRPr="00CB4B9E">
        <w:rPr>
          <w:rFonts w:hint="eastAsia"/>
          <w:color w:val="000000" w:themeColor="text1"/>
        </w:rPr>
        <w:t>按远期类和期权类合约两大类划分。远期类合约包括：①远期；②期货；③掉期；④远期特征的结构性产品及其他产品。期权类合约包括：⑤单一期权；⑥组合类期权；⑦权证；⑧期权特征的结构性产品及其他产品。对于结构复杂的产品，应根据其核心特征进行归类。</w:t>
      </w:r>
    </w:p>
    <w:p w:rsidR="00CE30A6" w:rsidRPr="009263D7" w:rsidRDefault="00CB4B9E" w:rsidP="009D0778">
      <w:pPr>
        <w:spacing w:line="360" w:lineRule="auto"/>
        <w:ind w:firstLineChars="200" w:firstLine="420"/>
        <w:rPr>
          <w:rFonts w:ascii="Calibri" w:hAnsi="Calibri"/>
          <w:color w:val="000000" w:themeColor="text1"/>
        </w:rPr>
      </w:pPr>
      <w:r w:rsidRPr="00CB4B9E">
        <w:rPr>
          <w:rFonts w:ascii="黑体" w:eastAsia="黑体"/>
          <w:color w:val="000000" w:themeColor="text1"/>
        </w:rPr>
        <w:t>H0107</w:t>
      </w:r>
      <w:r w:rsidRPr="00CB4B9E">
        <w:rPr>
          <w:rFonts w:ascii="黑体" w:eastAsia="黑体" w:hint="eastAsia"/>
          <w:color w:val="000000" w:themeColor="text1"/>
        </w:rPr>
        <w:t>.金融衍生产品的风险类别：</w:t>
      </w:r>
      <w:r w:rsidRPr="00CB4B9E">
        <w:rPr>
          <w:rFonts w:ascii="Calibri" w:hAnsi="Calibri" w:hint="eastAsia"/>
          <w:bCs/>
          <w:color w:val="000000" w:themeColor="text1"/>
        </w:rPr>
        <w:t>金融衍生产品按</w:t>
      </w:r>
      <w:r w:rsidRPr="00CB4B9E">
        <w:rPr>
          <w:rFonts w:hint="eastAsia"/>
          <w:bCs/>
          <w:color w:val="000000" w:themeColor="text1"/>
        </w:rPr>
        <w:t>金融</w:t>
      </w:r>
      <w:r w:rsidRPr="00CB4B9E">
        <w:rPr>
          <w:rFonts w:ascii="Calibri" w:hAnsi="Calibri" w:hint="eastAsia"/>
          <w:bCs/>
          <w:color w:val="000000" w:themeColor="text1"/>
        </w:rPr>
        <w:t>风险主要挂钩指标进行分类，请按以下七种情况填列：</w:t>
      </w:r>
      <w:r w:rsidRPr="00CB4B9E">
        <w:rPr>
          <w:rFonts w:hint="eastAsia"/>
          <w:color w:val="000000" w:themeColor="text1"/>
        </w:rPr>
        <w:t>①</w:t>
      </w:r>
      <w:r w:rsidRPr="00CB4B9E">
        <w:rPr>
          <w:rFonts w:ascii="Calibri" w:hAnsi="Calibri" w:hint="eastAsia"/>
          <w:color w:val="000000" w:themeColor="text1"/>
        </w:rPr>
        <w:t>外汇产品；</w:t>
      </w:r>
      <w:r w:rsidRPr="00CB4B9E">
        <w:rPr>
          <w:rFonts w:hint="eastAsia"/>
          <w:color w:val="000000" w:themeColor="text1"/>
        </w:rPr>
        <w:t>②</w:t>
      </w:r>
      <w:r w:rsidRPr="00CB4B9E">
        <w:rPr>
          <w:rFonts w:ascii="Calibri" w:hAnsi="Calibri" w:hint="eastAsia"/>
          <w:color w:val="000000" w:themeColor="text1"/>
        </w:rPr>
        <w:t>单一货币利率产品；</w:t>
      </w:r>
      <w:r w:rsidRPr="00CB4B9E">
        <w:rPr>
          <w:rFonts w:hint="eastAsia"/>
          <w:color w:val="000000" w:themeColor="text1"/>
        </w:rPr>
        <w:t>③</w:t>
      </w:r>
      <w:r w:rsidRPr="00CB4B9E">
        <w:rPr>
          <w:rFonts w:ascii="Calibri" w:hAnsi="Calibri" w:hint="eastAsia"/>
          <w:color w:val="000000" w:themeColor="text1"/>
        </w:rPr>
        <w:t>股权类产品；</w:t>
      </w:r>
      <w:r w:rsidRPr="00CB4B9E">
        <w:rPr>
          <w:rFonts w:hint="eastAsia"/>
          <w:color w:val="000000" w:themeColor="text1"/>
        </w:rPr>
        <w:t>④</w:t>
      </w:r>
      <w:r w:rsidRPr="00CB4B9E">
        <w:rPr>
          <w:rFonts w:ascii="Calibri" w:hAnsi="Calibri" w:hint="eastAsia"/>
          <w:color w:val="000000" w:themeColor="text1"/>
        </w:rPr>
        <w:t>商品类产品；</w:t>
      </w:r>
      <w:r w:rsidRPr="00CB4B9E">
        <w:rPr>
          <w:rFonts w:hint="eastAsia"/>
          <w:color w:val="000000" w:themeColor="text1"/>
        </w:rPr>
        <w:t>⑤</w:t>
      </w:r>
      <w:r w:rsidRPr="00CB4B9E">
        <w:rPr>
          <w:rFonts w:ascii="Calibri" w:hAnsi="Calibri" w:hint="eastAsia"/>
          <w:color w:val="000000" w:themeColor="text1"/>
        </w:rPr>
        <w:t>信用类产品；</w:t>
      </w:r>
      <w:r w:rsidRPr="00CB4B9E">
        <w:rPr>
          <w:rFonts w:hint="eastAsia"/>
          <w:color w:val="000000" w:themeColor="text1"/>
        </w:rPr>
        <w:t>⑥贵金属产品；⑦</w:t>
      </w:r>
      <w:r w:rsidRPr="00CB4B9E">
        <w:rPr>
          <w:rFonts w:ascii="Calibri" w:hAnsi="Calibri" w:hint="eastAsia"/>
          <w:color w:val="000000" w:themeColor="text1"/>
        </w:rPr>
        <w:t>不能归入上述</w:t>
      </w:r>
      <w:r w:rsidRPr="00CB4B9E">
        <w:rPr>
          <w:rFonts w:ascii="Calibri" w:hAnsi="Calibri"/>
          <w:color w:val="000000" w:themeColor="text1"/>
        </w:rPr>
        <w:t>6</w:t>
      </w:r>
      <w:r w:rsidRPr="00CB4B9E">
        <w:rPr>
          <w:rFonts w:ascii="Calibri" w:hAnsi="Calibri" w:hint="eastAsia"/>
          <w:color w:val="000000" w:themeColor="text1"/>
        </w:rPr>
        <w:t>类市场风险类别的其他衍生产品。如，权证的金融风险类别为股权类产品，商品期货的金融风险类别为商品类产品。对于具有一个以上风险类别的产品，如果产品为敞口风险的简单组合，应按照各风险细项分别记录；如果难以分离风险细项，则按照最重要原则在单一风险细目项记录，无法辨别重要性的，则按照商品、股权、外汇、单一货币利率和信用类的序列记录。</w:t>
      </w:r>
    </w:p>
    <w:p w:rsidR="00501998" w:rsidRPr="009263D7" w:rsidRDefault="00CB4B9E" w:rsidP="00501998">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H0108.</w:t>
      </w:r>
      <w:r w:rsidRPr="00CB4B9E">
        <w:rPr>
          <w:rFonts w:ascii="黑体" w:eastAsia="黑体" w:hAnsi="宋体" w:hint="eastAsia"/>
          <w:color w:val="000000" w:themeColor="text1"/>
          <w:szCs w:val="21"/>
        </w:rPr>
        <w:t>投资工具代码（逐支报送使用）：</w:t>
      </w:r>
      <w:r w:rsidRPr="00CB4B9E">
        <w:rPr>
          <w:rFonts w:ascii="Calibri" w:hAnsi="Calibri" w:hint="eastAsia"/>
          <w:color w:val="000000" w:themeColor="text1"/>
        </w:rPr>
        <w:t>对于选择报送逐支证券或金融衍生产品的，请填写此项。指本</w:t>
      </w:r>
      <w:r w:rsidRPr="00CB4B9E">
        <w:rPr>
          <w:rFonts w:ascii="宋体" w:hAnsi="宋体" w:hint="eastAsia"/>
          <w:color w:val="000000" w:themeColor="text1"/>
        </w:rPr>
        <w:t>机构托管的、非居民委托人名下的证券（股票和债券）和金融衍生产品的代码。投资产品代码的填写规则为：投资产品代码需为唯一性代码，优先填写</w:t>
      </w:r>
      <w:r w:rsidRPr="00CB4B9E">
        <w:rPr>
          <w:rFonts w:ascii="宋体" w:hAnsi="宋体"/>
          <w:color w:val="000000" w:themeColor="text1"/>
        </w:rPr>
        <w:t>ISIN代码；没有ISIN代码的，填写当地市场唯一</w:t>
      </w:r>
      <w:r w:rsidRPr="00CB4B9E">
        <w:rPr>
          <w:rFonts w:ascii="宋体" w:hAnsi="宋体"/>
          <w:color w:val="000000" w:themeColor="text1"/>
        </w:rPr>
        <w:lastRenderedPageBreak/>
        <w:t>通行的代码；没有当地市场代码的，填写本</w:t>
      </w:r>
      <w:r w:rsidRPr="00CB4B9E">
        <w:rPr>
          <w:rFonts w:ascii="宋体" w:hAnsi="宋体" w:hint="eastAsia"/>
          <w:color w:val="000000" w:themeColor="text1"/>
        </w:rPr>
        <w:t>机构自编代码，但需确保唯一性。除证券和金融衍生产品外的</w:t>
      </w:r>
      <w:r w:rsidRPr="00CB4B9E">
        <w:rPr>
          <w:rFonts w:ascii="宋体" w:hAnsi="宋体" w:hint="eastAsia"/>
          <w:color w:val="000000" w:themeColor="text1"/>
          <w:szCs w:val="21"/>
        </w:rPr>
        <w:t>其他工具不填写此项。</w:t>
      </w:r>
    </w:p>
    <w:p w:rsidR="00501998" w:rsidRPr="009263D7" w:rsidRDefault="00CB4B9E" w:rsidP="001C274E">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H0109.</w:t>
      </w:r>
      <w:r w:rsidRPr="00CB4B9E">
        <w:rPr>
          <w:rFonts w:ascii="黑体" w:eastAsia="黑体" w:hAnsi="宋体" w:hint="eastAsia"/>
          <w:color w:val="000000" w:themeColor="text1"/>
          <w:szCs w:val="21"/>
        </w:rPr>
        <w:t>投资工具发行人名称（逐支报送使用）：</w:t>
      </w:r>
      <w:r w:rsidRPr="00CB4B9E">
        <w:rPr>
          <w:rFonts w:ascii="宋体" w:hAnsi="宋体" w:hint="eastAsia"/>
          <w:color w:val="000000" w:themeColor="text1"/>
        </w:rPr>
        <w:t>对于选择逐支报送证券及金融衍生产品的，请填写相关证券及金融衍生产品的发行机构</w:t>
      </w:r>
      <w:r w:rsidRPr="00CB4B9E">
        <w:rPr>
          <w:rFonts w:ascii="宋体" w:hAnsi="宋体" w:hint="eastAsia"/>
          <w:color w:val="000000" w:themeColor="text1"/>
          <w:szCs w:val="21"/>
        </w:rPr>
        <w:t>全称，按其中文全称填列。对于无法明确其发行人或部分场内交易的金融衍生产品，如交易所交易的股指期货或商品期货，其投资工具发行人可填写为相关交易所名称。</w:t>
      </w:r>
      <w:r w:rsidRPr="00CB4B9E">
        <w:rPr>
          <w:rFonts w:ascii="宋体" w:hAnsi="宋体" w:hint="eastAsia"/>
          <w:color w:val="000000" w:themeColor="text1"/>
        </w:rPr>
        <w:t>除证券和金融衍生产品外的其他工具不填写此项。</w:t>
      </w:r>
    </w:p>
    <w:p w:rsidR="00717383"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H0110.</w:t>
      </w:r>
      <w:r w:rsidRPr="00CB4B9E">
        <w:rPr>
          <w:rFonts w:ascii="黑体" w:eastAsia="黑体" w:hAnsi="宋体" w:hint="eastAsia"/>
          <w:color w:val="000000" w:themeColor="text1"/>
          <w:szCs w:val="21"/>
        </w:rPr>
        <w:t>投资工具发行人（对手方）所属部门：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。请按相关工具发行人（对手方）的主营业务归类。</w:t>
      </w:r>
    </w:p>
    <w:p w:rsidR="00B41C36"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H0111.非居民委托人与境内发行人（对手方）的关系：</w:t>
      </w:r>
      <w:r w:rsidRPr="00CB4B9E">
        <w:rPr>
          <w:rFonts w:ascii="宋体" w:hAnsi="宋体" w:hint="eastAsia"/>
          <w:color w:val="000000" w:themeColor="text1"/>
        </w:rPr>
        <w:t>请按以下四种情况填列：①非居民委托人是境内工具发行人（或对手方）的境外直接投资者，即持有境内对手方表决权≥</w:t>
      </w:r>
      <w:r w:rsidRPr="00CB4B9E">
        <w:rPr>
          <w:rFonts w:ascii="宋体" w:hAnsi="宋体"/>
          <w:color w:val="000000" w:themeColor="text1"/>
        </w:rPr>
        <w:t>10%</w:t>
      </w:r>
      <w:r w:rsidRPr="00CB4B9E">
        <w:rPr>
          <w:rFonts w:ascii="宋体" w:hAnsi="宋体" w:hint="eastAsia"/>
          <w:color w:val="000000" w:themeColor="text1"/>
        </w:rPr>
        <w:t>；②非居民委托人是境内工具发行人（或对手方）的境外直接投资企业，即是境内工具发行人（或对手方）持有表决权在</w:t>
      </w:r>
      <w:r w:rsidRPr="00CB4B9E">
        <w:rPr>
          <w:rFonts w:ascii="宋体" w:hAnsi="宋体"/>
          <w:color w:val="000000" w:themeColor="text1"/>
        </w:rPr>
        <w:t>10%及以上的境外分支机构、子机构、联营机构或合营机构；③非居民委托人是</w:t>
      </w:r>
      <w:r w:rsidRPr="00CB4B9E">
        <w:rPr>
          <w:rFonts w:ascii="宋体" w:hAnsi="宋体" w:hint="eastAsia"/>
          <w:color w:val="000000" w:themeColor="text1"/>
        </w:rPr>
        <w:t>境内工具发行人（或对手方）的境外联属机构，即双方有共同母公司，但相互持有表决权＜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或相互不持有表决权；④非居民委托人与境内工具发行人（或对手方）无关联关系或关系未知。</w:t>
      </w:r>
    </w:p>
    <w:p w:rsidR="00717383"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H0112.</w:t>
      </w:r>
      <w:r w:rsidRPr="00CB4B9E">
        <w:rPr>
          <w:rFonts w:ascii="黑体" w:eastAsia="黑体" w:hAnsi="宋体" w:hint="eastAsia"/>
          <w:color w:val="000000" w:themeColor="text1"/>
          <w:szCs w:val="21"/>
        </w:rPr>
        <w:t>投资工具的原始期限：</w:t>
      </w:r>
      <w:r w:rsidRPr="00CB4B9E">
        <w:rPr>
          <w:rFonts w:ascii="宋体" w:hAnsi="宋体" w:hint="eastAsia"/>
          <w:color w:val="000000" w:themeColor="text1"/>
          <w:szCs w:val="21"/>
        </w:rPr>
        <w:t>按以下两种情况填列：</w:t>
      </w:r>
      <w:r w:rsidRPr="00CB4B9E">
        <w:rPr>
          <w:rFonts w:ascii="宋体" w:hAnsi="宋体" w:hint="eastAsia"/>
          <w:color w:val="000000" w:themeColor="text1"/>
        </w:rPr>
        <w:t>①一年及以下</w:t>
      </w:r>
      <w:r w:rsidRPr="00CB4B9E">
        <w:rPr>
          <w:rFonts w:ascii="宋体" w:hAnsi="宋体" w:hint="eastAsia"/>
          <w:color w:val="000000" w:themeColor="text1"/>
          <w:szCs w:val="21"/>
        </w:rPr>
        <w:t>；</w:t>
      </w:r>
      <w:r w:rsidRPr="00CB4B9E">
        <w:rPr>
          <w:rFonts w:ascii="宋体" w:hAnsi="宋体" w:hint="eastAsia"/>
          <w:color w:val="000000" w:themeColor="text1"/>
        </w:rPr>
        <w:t>②一年以上。其中，不定期或活期类工具归入①，永久性债</w:t>
      </w:r>
      <w:r w:rsidRPr="00CB4B9E">
        <w:rPr>
          <w:rFonts w:ascii="SimSun" w:hAnsi="SimSun" w:hint="eastAsia"/>
          <w:color w:val="000000" w:themeColor="text1"/>
        </w:rPr>
        <w:t>和非参与性优先股</w:t>
      </w:r>
      <w:r w:rsidRPr="00CB4B9E">
        <w:rPr>
          <w:rFonts w:ascii="宋体" w:hAnsi="宋体" w:hint="eastAsia"/>
          <w:color w:val="000000" w:themeColor="text1"/>
        </w:rPr>
        <w:t>归入②。</w:t>
      </w:r>
      <w:r w:rsidRPr="00CB4B9E">
        <w:rPr>
          <w:rFonts w:ascii="宋体" w:hAnsi="宋体" w:hint="eastAsia"/>
          <w:b/>
          <w:color w:val="000000" w:themeColor="text1"/>
        </w:rPr>
        <w:t>本项仅适用于</w:t>
      </w:r>
      <w:r w:rsidRPr="00CB4B9E">
        <w:rPr>
          <w:rFonts w:ascii="宋体" w:hAnsi="宋体"/>
          <w:b/>
          <w:color w:val="000000" w:themeColor="text1"/>
        </w:rPr>
        <w:t>H0105下</w:t>
      </w:r>
      <w:r w:rsidRPr="00CB4B9E">
        <w:rPr>
          <w:rFonts w:hint="eastAsia"/>
          <w:b/>
          <w:color w:val="000000" w:themeColor="text1"/>
        </w:rPr>
        <w:t>⑥</w:t>
      </w:r>
      <w:r w:rsidRPr="00CB4B9E">
        <w:rPr>
          <w:rFonts w:ascii="宋体" w:hAnsi="宋体"/>
          <w:b/>
          <w:color w:val="000000" w:themeColor="text1"/>
        </w:rPr>
        <w:t>-</w:t>
      </w:r>
      <w:r w:rsidRPr="00CB4B9E">
        <w:rPr>
          <w:rFonts w:ascii="宋体" w:hAnsi="宋体" w:hint="eastAsia"/>
          <w:b/>
          <w:color w:val="000000" w:themeColor="text1"/>
        </w:rPr>
        <w:t>⑨</w:t>
      </w:r>
      <w:r w:rsidRPr="00CB4B9E">
        <w:rPr>
          <w:rFonts w:ascii="SimSun" w:hAnsi="SimSun" w:hint="eastAsia"/>
          <w:b/>
          <w:color w:val="000000" w:themeColor="text1"/>
        </w:rPr>
        <w:t>以及（</w:t>
      </w:r>
      <w:r w:rsidRPr="00CB4B9E">
        <w:rPr>
          <w:rFonts w:ascii="SimSun" w:hAnsi="SimSun" w:hint="eastAsia"/>
          <w:b/>
          <w:color w:val="000000" w:themeColor="text1"/>
        </w:rPr>
        <w:t>11</w:t>
      </w:r>
      <w:r w:rsidRPr="00CB4B9E">
        <w:rPr>
          <w:rFonts w:ascii="SimSun" w:hAnsi="SimSun" w:hint="eastAsia"/>
          <w:b/>
          <w:color w:val="000000" w:themeColor="text1"/>
        </w:rPr>
        <w:t>）</w:t>
      </w:r>
      <w:r w:rsidRPr="00CB4B9E">
        <w:rPr>
          <w:rFonts w:ascii="宋体" w:hAnsi="宋体" w:hint="eastAsia"/>
          <w:b/>
          <w:color w:val="000000" w:themeColor="text1"/>
        </w:rPr>
        <w:t>类工具，①</w:t>
      </w:r>
      <w:r w:rsidRPr="00CB4B9E">
        <w:rPr>
          <w:rFonts w:ascii="宋体" w:hAnsi="宋体"/>
          <w:b/>
          <w:color w:val="000000" w:themeColor="text1"/>
        </w:rPr>
        <w:t>-</w:t>
      </w:r>
      <w:r w:rsidRPr="00CB4B9E">
        <w:rPr>
          <w:rFonts w:ascii="宋体" w:hAnsi="宋体" w:hint="eastAsia"/>
          <w:b/>
          <w:color w:val="000000" w:themeColor="text1"/>
        </w:rPr>
        <w:t>⑤</w:t>
      </w:r>
      <w:r w:rsidRPr="00CB4B9E">
        <w:rPr>
          <w:rFonts w:ascii="SimSun" w:hAnsi="SimSun" w:hint="eastAsia"/>
          <w:b/>
          <w:color w:val="000000" w:themeColor="text1"/>
        </w:rPr>
        <w:t>以及⑩</w:t>
      </w:r>
      <w:r w:rsidRPr="00CB4B9E">
        <w:rPr>
          <w:rFonts w:ascii="宋体" w:hAnsi="宋体" w:hint="eastAsia"/>
          <w:b/>
          <w:color w:val="000000" w:themeColor="text1"/>
        </w:rPr>
        <w:t>类工具不需填写本项。</w:t>
      </w:r>
    </w:p>
    <w:p w:rsidR="00717383" w:rsidRPr="009263D7" w:rsidRDefault="00CB4B9E" w:rsidP="00717383">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H0113.</w:t>
      </w:r>
      <w:r w:rsidRPr="00CB4B9E">
        <w:rPr>
          <w:rFonts w:ascii="黑体" w:eastAsia="黑体" w:hAnsi="宋体" w:hint="eastAsia"/>
          <w:color w:val="000000" w:themeColor="text1"/>
          <w:szCs w:val="21"/>
        </w:rPr>
        <w:t>原始</w:t>
      </w:r>
      <w:r w:rsidRPr="00CB4B9E">
        <w:rPr>
          <w:rFonts w:ascii="黑体" w:eastAsia="黑体" w:hAnsi="宋体" w:hint="eastAsia"/>
          <w:color w:val="000000" w:themeColor="text1"/>
        </w:rPr>
        <w:t>币种：</w:t>
      </w:r>
      <w:r w:rsidRPr="00CB4B9E">
        <w:rPr>
          <w:rFonts w:ascii="宋体" w:hAnsi="宋体" w:hint="eastAsia"/>
          <w:color w:val="000000" w:themeColor="text1"/>
          <w:szCs w:val="21"/>
        </w:rPr>
        <w:t>指非居民委托人相关工具的计价币种，</w:t>
      </w:r>
      <w:r w:rsidRPr="00CB4B9E">
        <w:rPr>
          <w:rFonts w:ascii="宋体" w:hAnsi="宋体" w:hint="eastAsia"/>
          <w:color w:val="000000" w:themeColor="text1"/>
        </w:rPr>
        <w:t>请参照数据采集规范最新版本中的相关代码表填列</w:t>
      </w:r>
      <w:r w:rsidRPr="00CB4B9E">
        <w:rPr>
          <w:rFonts w:ascii="宋体" w:hAnsi="宋体" w:hint="eastAsia"/>
          <w:color w:val="000000" w:themeColor="text1"/>
          <w:szCs w:val="21"/>
        </w:rPr>
        <w:t>。如，所托管证券的计价币种为人民币的，填入人民币代码。适用于</w:t>
      </w:r>
      <w:r w:rsidRPr="00CB4B9E">
        <w:rPr>
          <w:rFonts w:ascii="黑体" w:eastAsia="黑体" w:hAnsi="宋体"/>
          <w:color w:val="000000" w:themeColor="text1"/>
          <w:szCs w:val="21"/>
        </w:rPr>
        <w:t>H0114-H0122</w:t>
      </w:r>
      <w:r w:rsidRPr="00CB4B9E">
        <w:rPr>
          <w:rFonts w:ascii="黑体" w:eastAsia="黑体" w:hAnsi="宋体" w:hint="eastAsia"/>
          <w:color w:val="000000" w:themeColor="text1"/>
          <w:szCs w:val="21"/>
        </w:rPr>
        <w:t>各项。</w:t>
      </w:r>
    </w:p>
    <w:p w:rsidR="00717383"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H0114.上月末市值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指上月末相关工具的公允价值。应优先使用公开市场期末市场价值，如无市场价值，则按照填报机构的记账惯例填报公允价值。对于金融衍生产品，</w:t>
      </w:r>
      <w:r w:rsidRPr="00CB4B9E">
        <w:rPr>
          <w:rFonts w:hint="eastAsia"/>
          <w:color w:val="000000" w:themeColor="text1"/>
        </w:rPr>
        <w:t>如填报的是小汇总数据，不得将公允价值为正值的合约与公允价值为负值的合约进行轧差合并。</w:t>
      </w:r>
    </w:p>
    <w:p w:rsidR="00DD770A" w:rsidRPr="009263D7" w:rsidRDefault="00CB4B9E" w:rsidP="00717383">
      <w:pPr>
        <w:spacing w:line="360" w:lineRule="auto"/>
        <w:ind w:firstLineChars="200" w:firstLine="420"/>
        <w:jc w:val="left"/>
        <w:rPr>
          <w:rFonts w:ascii="宋体" w:hAnsi="宋体" w:cs="宋体"/>
          <w:color w:val="000000" w:themeColor="text1"/>
          <w:kern w:val="0"/>
          <w:sz w:val="18"/>
          <w:szCs w:val="18"/>
        </w:rPr>
      </w:pPr>
      <w:r w:rsidRPr="00CB4B9E">
        <w:rPr>
          <w:rFonts w:ascii="黑体" w:eastAsia="黑体" w:hAnsi="宋体"/>
          <w:color w:val="000000" w:themeColor="text1"/>
          <w:szCs w:val="21"/>
        </w:rPr>
        <w:t>H0115.</w:t>
      </w:r>
      <w:r w:rsidRPr="00CB4B9E">
        <w:rPr>
          <w:rFonts w:ascii="黑体" w:eastAsia="黑体" w:hAnsi="宋体" w:hint="eastAsia"/>
          <w:color w:val="000000" w:themeColor="text1"/>
          <w:szCs w:val="21"/>
        </w:rPr>
        <w:t>本月买入</w:t>
      </w:r>
      <w:r w:rsidRPr="00CB4B9E">
        <w:rPr>
          <w:rFonts w:ascii="黑体" w:eastAsia="黑体" w:hAnsi="宋体"/>
          <w:color w:val="000000" w:themeColor="text1"/>
          <w:szCs w:val="21"/>
        </w:rPr>
        <w:t>/申购/（现金）结算付款额：</w:t>
      </w:r>
      <w:r w:rsidRPr="00CB4B9E">
        <w:rPr>
          <w:rFonts w:ascii="宋体" w:hAnsi="宋体" w:hint="eastAsia"/>
          <w:color w:val="000000" w:themeColor="text1"/>
          <w:szCs w:val="21"/>
        </w:rPr>
        <w:t>指本月内，非居民所托管工具买入、申购以及支付衍生产品期权费或结算衍生产品支付的金额。</w:t>
      </w:r>
      <w:r w:rsidRPr="00CB4B9E">
        <w:rPr>
          <w:rFonts w:hint="eastAsia"/>
          <w:color w:val="000000" w:themeColor="text1"/>
        </w:rPr>
        <w:t>不包括相关股票发行机构因股票分割或发行红利股（即公司重组其股票）而向股东提供的新股票。与发行新股票获得新融资不同，股票分割和红利股不发生新的融资，不应记录为交易。对于存贷款或应收应付类工具，如为净增加，则填报在该项下，否则，填报在</w:t>
      </w:r>
      <w:r w:rsidRPr="00CB4B9E">
        <w:rPr>
          <w:color w:val="000000" w:themeColor="text1"/>
        </w:rPr>
        <w:t>H0116</w:t>
      </w:r>
      <w:r w:rsidRPr="00CB4B9E">
        <w:rPr>
          <w:rFonts w:hint="eastAsia"/>
          <w:color w:val="000000" w:themeColor="text1"/>
        </w:rPr>
        <w:t>下。</w:t>
      </w:r>
    </w:p>
    <w:p w:rsidR="00717383" w:rsidRPr="009263D7" w:rsidRDefault="00CB4B9E" w:rsidP="00DD770A">
      <w:pPr>
        <w:spacing w:line="360" w:lineRule="auto"/>
        <w:ind w:firstLineChars="200" w:firstLine="420"/>
        <w:jc w:val="left"/>
        <w:rPr>
          <w:color w:val="000000" w:themeColor="text1"/>
        </w:rPr>
      </w:pPr>
      <w:r w:rsidRPr="00CB4B9E">
        <w:rPr>
          <w:rFonts w:ascii="黑体" w:eastAsia="黑体" w:hAnsi="宋体"/>
          <w:color w:val="000000" w:themeColor="text1"/>
          <w:szCs w:val="21"/>
        </w:rPr>
        <w:t>H0116.本月卖出/赎回/（现金）结算收款额：</w:t>
      </w:r>
      <w:r w:rsidRPr="00CB4B9E">
        <w:rPr>
          <w:rFonts w:ascii="宋体" w:hAnsi="宋体" w:hint="eastAsia"/>
          <w:color w:val="000000" w:themeColor="text1"/>
          <w:szCs w:val="21"/>
        </w:rPr>
        <w:t>指本月内，非居民所托管投资产品卖出、赎回或收到衍生产品期权费或结算衍生产品获得的相关结算额。</w:t>
      </w:r>
      <w:r w:rsidRPr="00CB4B9E">
        <w:rPr>
          <w:rFonts w:hint="eastAsia"/>
          <w:color w:val="000000" w:themeColor="text1"/>
        </w:rPr>
        <w:t>对于存贷款或应收应付类工具，如为净减少，则填</w:t>
      </w:r>
      <w:r w:rsidRPr="00CB4B9E">
        <w:rPr>
          <w:rFonts w:hint="eastAsia"/>
          <w:color w:val="000000" w:themeColor="text1"/>
        </w:rPr>
        <w:lastRenderedPageBreak/>
        <w:t>报在该项下，否则，填报在</w:t>
      </w:r>
      <w:r w:rsidRPr="00CB4B9E">
        <w:rPr>
          <w:color w:val="000000" w:themeColor="text1"/>
        </w:rPr>
        <w:t>H0115</w:t>
      </w:r>
      <w:r w:rsidRPr="00CB4B9E">
        <w:rPr>
          <w:rFonts w:hint="eastAsia"/>
          <w:color w:val="000000" w:themeColor="text1"/>
        </w:rPr>
        <w:t>下。</w:t>
      </w:r>
    </w:p>
    <w:p w:rsidR="00717383" w:rsidRPr="009263D7" w:rsidRDefault="00CB4B9E" w:rsidP="00717383">
      <w:pPr>
        <w:spacing w:line="360" w:lineRule="auto"/>
        <w:ind w:firstLineChars="200" w:firstLine="420"/>
        <w:jc w:val="left"/>
        <w:rPr>
          <w:color w:val="000000" w:themeColor="text1"/>
        </w:rPr>
      </w:pPr>
      <w:r w:rsidRPr="00CB4B9E">
        <w:rPr>
          <w:rFonts w:ascii="黑体" w:eastAsia="黑体" w:hAnsi="宋体"/>
          <w:color w:val="000000" w:themeColor="text1"/>
          <w:szCs w:val="21"/>
        </w:rPr>
        <w:t>H0117.本月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反映统计期间相关工具交易净值变化以外的非交易因素引起的变动。计算方法为：</w:t>
      </w:r>
      <w:r w:rsidRPr="00CB4B9E">
        <w:rPr>
          <w:color w:val="000000" w:themeColor="text1"/>
        </w:rPr>
        <w:t>H0117=H0120-H0114-</w:t>
      </w:r>
      <w:r w:rsidRPr="00CB4B9E">
        <w:rPr>
          <w:rFonts w:hint="eastAsia"/>
          <w:color w:val="000000" w:themeColor="text1"/>
        </w:rPr>
        <w:t>（</w:t>
      </w:r>
      <w:r w:rsidRPr="00CB4B9E">
        <w:rPr>
          <w:color w:val="000000" w:themeColor="text1"/>
        </w:rPr>
        <w:t>H0115-H0116</w:t>
      </w:r>
      <w:r w:rsidRPr="00CB4B9E">
        <w:rPr>
          <w:rFonts w:hint="eastAsia"/>
          <w:color w:val="000000" w:themeColor="text1"/>
        </w:rPr>
        <w:t>）。</w:t>
      </w:r>
    </w:p>
    <w:p w:rsidR="00717383" w:rsidRPr="009263D7" w:rsidRDefault="00CB4B9E" w:rsidP="00717383">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H0118.</w:t>
      </w:r>
      <w:r w:rsidRPr="00CB4B9E">
        <w:rPr>
          <w:rFonts w:ascii="黑体" w:eastAsia="黑体" w:hAnsi="宋体" w:hint="eastAsia"/>
          <w:color w:val="000000" w:themeColor="text1"/>
          <w:szCs w:val="21"/>
        </w:rPr>
        <w:t>重新分类至其他项目统计的金额</w:t>
      </w:r>
      <w:r w:rsidRPr="00CB4B9E">
        <w:rPr>
          <w:rFonts w:ascii="黑体" w:eastAsia="黑体" w:hAnsi="宋体" w:hint="eastAsia"/>
          <w:color w:val="000000" w:themeColor="text1"/>
        </w:rPr>
        <w:t>：</w:t>
      </w:r>
      <w:r w:rsidRPr="00CB4B9E">
        <w:rPr>
          <w:rFonts w:hint="eastAsia"/>
          <w:color w:val="000000" w:themeColor="text1"/>
        </w:rPr>
        <w:t>指非交易因素引起的投资产品资产数量增减和价值变动。包括但不限于本月因非居民委托人注销或重新分类相关投资（如，从债券投资重新划分为股权投资，反之亦然）所引起的资产价值变动。该项目与</w:t>
      </w:r>
      <w:r w:rsidRPr="00CB4B9E">
        <w:rPr>
          <w:color w:val="000000" w:themeColor="text1"/>
        </w:rPr>
        <w:t>H0117</w:t>
      </w:r>
      <w:r w:rsidRPr="00CB4B9E">
        <w:rPr>
          <w:rFonts w:hint="eastAsia"/>
          <w:color w:val="000000" w:themeColor="text1"/>
        </w:rPr>
        <w:t>和</w:t>
      </w:r>
      <w:r w:rsidRPr="00CB4B9E">
        <w:rPr>
          <w:color w:val="000000" w:themeColor="text1"/>
        </w:rPr>
        <w:t>H0119</w:t>
      </w:r>
      <w:r w:rsidRPr="00CB4B9E">
        <w:rPr>
          <w:rFonts w:hint="eastAsia"/>
          <w:color w:val="000000" w:themeColor="text1"/>
        </w:rPr>
        <w:t>项目的关系为：</w:t>
      </w:r>
      <w:r w:rsidRPr="00CB4B9E">
        <w:rPr>
          <w:color w:val="000000" w:themeColor="text1"/>
        </w:rPr>
        <w:t>H0117=H0118+H0119</w:t>
      </w:r>
      <w:r w:rsidRPr="00CB4B9E">
        <w:rPr>
          <w:rFonts w:hint="eastAsia"/>
          <w:color w:val="000000" w:themeColor="text1"/>
        </w:rPr>
        <w:t>。</w:t>
      </w:r>
    </w:p>
    <w:p w:rsidR="00717383" w:rsidRPr="009263D7" w:rsidRDefault="00CB4B9E" w:rsidP="00717383">
      <w:pPr>
        <w:spacing w:line="360" w:lineRule="auto"/>
        <w:ind w:firstLineChars="200" w:firstLine="420"/>
        <w:jc w:val="left"/>
        <w:rPr>
          <w:color w:val="000000" w:themeColor="text1"/>
        </w:rPr>
      </w:pPr>
      <w:r w:rsidRPr="00CB4B9E">
        <w:rPr>
          <w:rFonts w:ascii="黑体" w:eastAsia="黑体" w:hAnsi="宋体"/>
          <w:color w:val="000000" w:themeColor="text1"/>
          <w:szCs w:val="21"/>
        </w:rPr>
        <w:t>H0119.</w:t>
      </w:r>
      <w:r w:rsidRPr="00CB4B9E">
        <w:rPr>
          <w:rFonts w:ascii="黑体" w:eastAsia="黑体" w:hAnsi="宋体" w:hint="eastAsia"/>
          <w:color w:val="000000" w:themeColor="text1"/>
          <w:szCs w:val="21"/>
        </w:rPr>
        <w:t>价值重估因素</w:t>
      </w:r>
      <w:r w:rsidRPr="00CB4B9E">
        <w:rPr>
          <w:rFonts w:ascii="黑体" w:eastAsia="黑体" w:hAnsi="宋体" w:hint="eastAsia"/>
          <w:color w:val="000000" w:themeColor="text1"/>
        </w:rPr>
        <w:t>：</w:t>
      </w:r>
      <w:r w:rsidRPr="00CB4B9E">
        <w:rPr>
          <w:rFonts w:hint="eastAsia"/>
          <w:color w:val="000000" w:themeColor="text1"/>
        </w:rPr>
        <w:t>指当期市场价格或近似参考价格变动引起的价值变化（重估损益）。该项目与</w:t>
      </w:r>
      <w:r w:rsidRPr="00CB4B9E">
        <w:rPr>
          <w:color w:val="000000" w:themeColor="text1"/>
        </w:rPr>
        <w:t>H0117</w:t>
      </w:r>
      <w:r w:rsidRPr="00CB4B9E">
        <w:rPr>
          <w:rFonts w:hint="eastAsia"/>
          <w:color w:val="000000" w:themeColor="text1"/>
        </w:rPr>
        <w:t>和</w:t>
      </w:r>
      <w:r w:rsidRPr="00CB4B9E">
        <w:rPr>
          <w:color w:val="000000" w:themeColor="text1"/>
        </w:rPr>
        <w:t>H0118</w:t>
      </w:r>
      <w:r w:rsidRPr="00CB4B9E">
        <w:rPr>
          <w:rFonts w:hint="eastAsia"/>
          <w:color w:val="000000" w:themeColor="text1"/>
        </w:rPr>
        <w:t>项目的关系为：</w:t>
      </w:r>
      <w:r w:rsidRPr="00CB4B9E">
        <w:rPr>
          <w:color w:val="000000" w:themeColor="text1"/>
        </w:rPr>
        <w:t>H0117=H0118+H0119</w:t>
      </w:r>
      <w:r w:rsidRPr="00CB4B9E">
        <w:rPr>
          <w:rFonts w:hint="eastAsia"/>
          <w:color w:val="000000" w:themeColor="text1"/>
        </w:rPr>
        <w:t>。</w:t>
      </w:r>
    </w:p>
    <w:p w:rsidR="00334CB2" w:rsidRPr="009263D7" w:rsidRDefault="00CB4B9E" w:rsidP="0021002A">
      <w:pPr>
        <w:spacing w:line="360" w:lineRule="auto"/>
        <w:ind w:firstLineChars="200" w:firstLine="420"/>
        <w:jc w:val="left"/>
        <w:rPr>
          <w:color w:val="000000" w:themeColor="text1"/>
        </w:rPr>
      </w:pPr>
      <w:r w:rsidRPr="00CB4B9E">
        <w:rPr>
          <w:rFonts w:ascii="黑体" w:eastAsia="黑体" w:hAnsi="宋体"/>
          <w:color w:val="000000" w:themeColor="text1"/>
          <w:szCs w:val="21"/>
        </w:rPr>
        <w:t>H0120.本月末市值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指本月末相关工具的公允价值。应优先使用公开市场期末市场价值，如无市场价值，则按照填报机构的记账惯例填报公允价值。对于金融衍生产品，</w:t>
      </w:r>
      <w:r w:rsidRPr="00CB4B9E">
        <w:rPr>
          <w:rFonts w:hint="eastAsia"/>
          <w:color w:val="000000" w:themeColor="text1"/>
        </w:rPr>
        <w:t>如填报的是小汇总数据，不得将公允价值为正值的合约与公允价值为负值合约进行轧差合并。</w:t>
      </w:r>
    </w:p>
    <w:p w:rsidR="00635942" w:rsidRPr="009263D7" w:rsidRDefault="00CB4B9E" w:rsidP="0021002A">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H0121.其中：剩余期限在一年及以下</w:t>
      </w:r>
      <w:r w:rsidRPr="00CB4B9E">
        <w:rPr>
          <w:rFonts w:ascii="黑体" w:eastAsia="黑体" w:hAnsi="宋体" w:hint="eastAsia"/>
          <w:color w:val="000000" w:themeColor="text1"/>
        </w:rPr>
        <w:t>：仅适用于</w:t>
      </w:r>
      <w:r w:rsidRPr="00CB4B9E">
        <w:rPr>
          <w:rFonts w:ascii="宋体" w:hAnsi="宋体"/>
          <w:color w:val="000000" w:themeColor="text1"/>
        </w:rPr>
        <w:t>H0105下</w:t>
      </w:r>
      <w:r w:rsidRPr="00CB4B9E">
        <w:rPr>
          <w:rFonts w:hint="eastAsia"/>
          <w:color w:val="000000" w:themeColor="text1"/>
        </w:rPr>
        <w:t>⑥</w:t>
      </w:r>
      <w:r w:rsidRPr="00CB4B9E">
        <w:rPr>
          <w:rFonts w:ascii="宋体" w:hAnsi="宋体"/>
          <w:color w:val="000000" w:themeColor="text1"/>
        </w:rPr>
        <w:t>-⑨类工具</w:t>
      </w:r>
      <w:r w:rsidRPr="00CB4B9E">
        <w:rPr>
          <w:rFonts w:ascii="黑体" w:eastAsia="黑体" w:hAnsi="宋体" w:hint="eastAsia"/>
          <w:color w:val="000000" w:themeColor="text1"/>
        </w:rPr>
        <w:t>。</w:t>
      </w:r>
      <w:r w:rsidRPr="00CB4B9E">
        <w:rPr>
          <w:rFonts w:ascii="宋体" w:hAnsi="宋体" w:hint="eastAsia"/>
          <w:color w:val="000000" w:themeColor="text1"/>
          <w:szCs w:val="21"/>
        </w:rPr>
        <w:t>指自本月末至最终到期的期限在一年及以下的债务类工具的公允价值。应优先使用公开市场期末市场价值，如无市场价值，则按照填报机构的记账惯例填报公允价值。</w:t>
      </w:r>
    </w:p>
    <w:p w:rsidR="00717383"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H0122.本月红利或利息</w:t>
      </w:r>
      <w:r w:rsidRPr="00CB4B9E">
        <w:rPr>
          <w:rFonts w:ascii="黑体" w:eastAsia="黑体" w:hAnsi="宋体" w:hint="eastAsia"/>
          <w:color w:val="000000" w:themeColor="text1"/>
          <w:szCs w:val="21"/>
        </w:rPr>
        <w:t>收入</w:t>
      </w:r>
      <w:r w:rsidRPr="00CB4B9E">
        <w:rPr>
          <w:rFonts w:ascii="黑体" w:eastAsia="黑体" w:hAnsi="宋体" w:hint="eastAsia"/>
          <w:color w:val="000000" w:themeColor="text1"/>
        </w:rPr>
        <w:t>：</w:t>
      </w:r>
      <w:r w:rsidRPr="00CB4B9E">
        <w:rPr>
          <w:rFonts w:ascii="宋体" w:hAnsi="宋体" w:hint="eastAsia"/>
          <w:color w:val="000000" w:themeColor="text1"/>
          <w:szCs w:val="21"/>
        </w:rPr>
        <w:t>指按照权责发生制原则，本月确认的红利、股息或利息收入。对于股票股息，按照除息日当天每股收盘价格乘以股票股息份数填报。</w:t>
      </w:r>
    </w:p>
    <w:p w:rsidR="00717383"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H0123.</w:t>
      </w:r>
      <w:r w:rsidRPr="00CB4B9E">
        <w:rPr>
          <w:rFonts w:ascii="黑体" w:eastAsia="黑体" w:hAnsi="宋体" w:hint="eastAsia"/>
          <w:color w:val="000000" w:themeColor="text1"/>
          <w:szCs w:val="21"/>
        </w:rPr>
        <w:t>本月未实现收益（仅适用于货币市场基金份额）</w:t>
      </w:r>
      <w:r w:rsidRPr="00CB4B9E">
        <w:rPr>
          <w:rFonts w:ascii="黑体" w:eastAsia="黑体" w:hAnsi="宋体" w:hint="eastAsia"/>
          <w:color w:val="000000" w:themeColor="text1"/>
        </w:rPr>
        <w:t>：</w:t>
      </w:r>
      <w:r w:rsidRPr="00CB4B9E">
        <w:rPr>
          <w:rFonts w:ascii="宋体" w:hAnsi="宋体" w:hint="eastAsia"/>
          <w:color w:val="000000" w:themeColor="text1"/>
        </w:rPr>
        <w:t>本项目</w:t>
      </w:r>
      <w:r w:rsidRPr="00CB4B9E">
        <w:rPr>
          <w:rFonts w:ascii="宋体" w:hAnsi="宋体" w:hint="eastAsia"/>
          <w:color w:val="000000" w:themeColor="text1"/>
          <w:szCs w:val="21"/>
        </w:rPr>
        <w:t>仅适用于货币市场基金份额，指该投资基金份额中归属于投资者的未分配利润（留存利润）。</w:t>
      </w:r>
    </w:p>
    <w:p w:rsidR="0021002A" w:rsidRPr="009263D7" w:rsidRDefault="00CB4B9E" w:rsidP="00106C21">
      <w:pPr>
        <w:spacing w:line="360" w:lineRule="auto"/>
        <w:ind w:firstLineChars="200" w:firstLine="420"/>
        <w:jc w:val="left"/>
        <w:rPr>
          <w:rFonts w:ascii="黑体" w:eastAsia="黑体"/>
          <w:color w:val="000000" w:themeColor="text1"/>
        </w:rPr>
      </w:pPr>
      <w:r w:rsidRPr="00CB4B9E">
        <w:rPr>
          <w:rFonts w:ascii="黑体" w:eastAsia="黑体" w:hAnsi="宋体"/>
          <w:color w:val="000000" w:themeColor="text1"/>
          <w:szCs w:val="21"/>
        </w:rPr>
        <w:t>H0124.</w:t>
      </w:r>
      <w:r w:rsidRPr="00CB4B9E">
        <w:rPr>
          <w:rFonts w:ascii="黑体" w:eastAsia="黑体" w:hint="eastAsia"/>
          <w:color w:val="000000" w:themeColor="text1"/>
        </w:rPr>
        <w:t>金融衍生产品的名义本金币种：</w:t>
      </w:r>
      <w:r w:rsidRPr="00CB4B9E">
        <w:rPr>
          <w:rFonts w:hint="eastAsia"/>
          <w:color w:val="000000" w:themeColor="text1"/>
        </w:rPr>
        <w:t>指本月末仍存续的金融衍生品名义本金的计价币种。如涉及双币种，请选取基础币种或按本机构惯例填报。</w:t>
      </w:r>
    </w:p>
    <w:p w:rsidR="0021002A" w:rsidRPr="009263D7" w:rsidRDefault="00CB4B9E" w:rsidP="0021002A">
      <w:pPr>
        <w:spacing w:line="360" w:lineRule="auto"/>
        <w:ind w:firstLineChars="200" w:firstLine="420"/>
        <w:jc w:val="left"/>
        <w:rPr>
          <w:rFonts w:ascii="宋体" w:hAnsi="宋体"/>
          <w:color w:val="000000" w:themeColor="text1"/>
          <w:szCs w:val="21"/>
        </w:rPr>
      </w:pPr>
      <w:r w:rsidRPr="00CB4B9E">
        <w:rPr>
          <w:rFonts w:ascii="黑体" w:eastAsia="黑体"/>
          <w:color w:val="000000" w:themeColor="text1"/>
        </w:rPr>
        <w:t>H0125</w:t>
      </w:r>
      <w:r w:rsidRPr="00CB4B9E">
        <w:rPr>
          <w:rFonts w:ascii="黑体" w:eastAsia="黑体" w:hint="eastAsia"/>
          <w:color w:val="000000" w:themeColor="text1"/>
        </w:rPr>
        <w:t>.金融衍生产品的本月末名义本金金额：</w:t>
      </w:r>
      <w:r w:rsidRPr="00CB4B9E">
        <w:rPr>
          <w:rFonts w:hint="eastAsia"/>
          <w:color w:val="000000" w:themeColor="text1"/>
        </w:rPr>
        <w:t>指本月末仍存续的金融衍生品合约的名义本金价值。对于本金价值可变的合约，填报本月末合约本金。</w:t>
      </w:r>
    </w:p>
    <w:p w:rsidR="001C5C72" w:rsidRPr="009263D7" w:rsidRDefault="001C5C72" w:rsidP="00717383">
      <w:pPr>
        <w:spacing w:line="360" w:lineRule="auto"/>
        <w:ind w:firstLineChars="200" w:firstLine="420"/>
        <w:jc w:val="left"/>
        <w:rPr>
          <w:rFonts w:ascii="宋体" w:hAnsi="宋体"/>
          <w:color w:val="000000" w:themeColor="text1"/>
          <w:szCs w:val="21"/>
        </w:rPr>
      </w:pPr>
    </w:p>
    <w:p w:rsidR="00717383" w:rsidRPr="009263D7" w:rsidRDefault="00CB4B9E" w:rsidP="00717383">
      <w:pPr>
        <w:spacing w:line="360" w:lineRule="auto"/>
        <w:ind w:rightChars="154" w:right="323" w:firstLineChars="200" w:firstLine="480"/>
        <w:rPr>
          <w:rFonts w:ascii="黑体" w:eastAsia="黑体"/>
          <w:color w:val="000000" w:themeColor="text1"/>
          <w:sz w:val="24"/>
        </w:rPr>
      </w:pPr>
      <w:r w:rsidRPr="00CB4B9E">
        <w:rPr>
          <w:rFonts w:ascii="黑体" w:eastAsia="黑体"/>
          <w:color w:val="000000" w:themeColor="text1"/>
          <w:sz w:val="24"/>
        </w:rPr>
        <w:t>H02</w:t>
      </w:r>
      <w:r w:rsidRPr="00CB4B9E">
        <w:rPr>
          <w:rFonts w:ascii="黑体" w:eastAsia="黑体" w:hint="eastAsia"/>
          <w:color w:val="000000" w:themeColor="text1"/>
          <w:sz w:val="24"/>
        </w:rPr>
        <w:t>表：为居民托管业务统计（</w:t>
      </w:r>
      <w:r w:rsidRPr="00CB4B9E">
        <w:rPr>
          <w:rFonts w:eastAsia="黑体"/>
          <w:color w:val="000000" w:themeColor="text1"/>
          <w:sz w:val="24"/>
        </w:rPr>
        <w:t>QDII</w:t>
      </w:r>
      <w:r w:rsidRPr="00CB4B9E">
        <w:rPr>
          <w:rFonts w:ascii="黑体" w:eastAsia="黑体" w:hint="eastAsia"/>
          <w:color w:val="000000" w:themeColor="text1"/>
          <w:sz w:val="24"/>
        </w:rPr>
        <w:t>相关）</w:t>
      </w:r>
    </w:p>
    <w:tbl>
      <w:tblPr>
        <w:tblW w:w="9440" w:type="dxa"/>
        <w:tblInd w:w="97" w:type="dxa"/>
        <w:tblLook w:val="04A0"/>
      </w:tblPr>
      <w:tblGrid>
        <w:gridCol w:w="4840"/>
        <w:gridCol w:w="4600"/>
      </w:tblGrid>
      <w:tr w:rsidR="00717383"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717383" w:rsidRPr="009263D7" w:rsidRDefault="00CB4B9E" w:rsidP="00B5693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c>
          <w:tcPr>
            <w:tcW w:w="4600" w:type="dxa"/>
            <w:tcBorders>
              <w:top w:val="single" w:sz="8" w:space="0" w:color="auto"/>
              <w:left w:val="nil"/>
              <w:bottom w:val="single" w:sz="4" w:space="0" w:color="auto"/>
              <w:right w:val="nil"/>
            </w:tcBorders>
            <w:shd w:val="clear" w:color="auto" w:fill="auto"/>
            <w:noWrap/>
            <w:vAlign w:val="center"/>
          </w:tcPr>
          <w:p w:rsidR="00717383" w:rsidRPr="009263D7" w:rsidRDefault="00CB4B9E" w:rsidP="00B5693C">
            <w:pPr>
              <w:widowControl/>
              <w:jc w:val="center"/>
              <w:rPr>
                <w:rFonts w:ascii="宋体" w:hAnsi="宋体" w:cs="宋体"/>
                <w:b/>
                <w:bCs/>
                <w:color w:val="000000" w:themeColor="text1"/>
                <w:kern w:val="0"/>
                <w:sz w:val="20"/>
                <w:szCs w:val="20"/>
              </w:rPr>
            </w:pPr>
            <w:r w:rsidRPr="00CB4B9E">
              <w:rPr>
                <w:rFonts w:ascii="宋体" w:hAnsi="宋体" w:cs="宋体" w:hint="eastAsia"/>
                <w:b/>
                <w:bCs/>
                <w:color w:val="000000" w:themeColor="text1"/>
                <w:kern w:val="0"/>
                <w:sz w:val="20"/>
                <w:szCs w:val="20"/>
              </w:rPr>
              <w:t>不</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包</w:t>
            </w:r>
            <w:r w:rsidRPr="00CB4B9E">
              <w:rPr>
                <w:rFonts w:ascii="宋体" w:hAnsi="宋体" w:cs="宋体"/>
                <w:b/>
                <w:bCs/>
                <w:color w:val="000000" w:themeColor="text1"/>
                <w:kern w:val="0"/>
                <w:sz w:val="20"/>
                <w:szCs w:val="20"/>
              </w:rPr>
              <w:t xml:space="preserve">   </w:t>
            </w:r>
            <w:r w:rsidRPr="00CB4B9E">
              <w:rPr>
                <w:rFonts w:ascii="宋体" w:hAnsi="宋体" w:cs="宋体" w:hint="eastAsia"/>
                <w:b/>
                <w:bCs/>
                <w:color w:val="000000" w:themeColor="text1"/>
                <w:kern w:val="0"/>
                <w:sz w:val="20"/>
                <w:szCs w:val="20"/>
              </w:rPr>
              <w:t>括</w:t>
            </w:r>
          </w:p>
        </w:tc>
      </w:tr>
      <w:tr w:rsidR="005175B3" w:rsidRPr="009263D7" w:rsidTr="00281F08">
        <w:trPr>
          <w:trHeight w:val="1902"/>
        </w:trPr>
        <w:tc>
          <w:tcPr>
            <w:tcW w:w="4840" w:type="dxa"/>
            <w:tcBorders>
              <w:top w:val="single" w:sz="4" w:space="0" w:color="auto"/>
              <w:left w:val="nil"/>
              <w:bottom w:val="single" w:sz="4" w:space="0" w:color="auto"/>
              <w:right w:val="single" w:sz="4" w:space="0" w:color="auto"/>
            </w:tcBorders>
            <w:shd w:val="clear" w:color="auto" w:fill="auto"/>
            <w:vAlign w:val="center"/>
          </w:tcPr>
          <w:p w:rsidR="005175B3" w:rsidRPr="009263D7" w:rsidRDefault="00CB4B9E" w:rsidP="000814E9">
            <w:pPr>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1.本机构为居民机构和个人托管境外股本证券、投资基金份额、债务证券和金融衍生产品</w:t>
            </w:r>
            <w:r w:rsidRPr="00CB4B9E">
              <w:rPr>
                <w:rFonts w:ascii="宋体" w:hAnsi="宋体" w:cs="宋体" w:hint="eastAsia"/>
                <w:color w:val="000000" w:themeColor="text1"/>
                <w:kern w:val="0"/>
                <w:sz w:val="18"/>
                <w:szCs w:val="18"/>
              </w:rPr>
              <w:t>等相关工具情况，且相关投资产品在所托管居民机构和个人名下。该境外股本证券、投资基金份额、债务证券和金融衍生产品等投资工具的发行人包括非居民发行人和居民发行人</w:t>
            </w:r>
            <w:r w:rsidRPr="00CB4B9E">
              <w:rPr>
                <w:rFonts w:ascii="黑体" w:eastAsia="黑体" w:hAnsi="宋体" w:cs="宋体" w:hint="eastAsia"/>
                <w:b/>
                <w:color w:val="000000" w:themeColor="text1"/>
                <w:kern w:val="0"/>
                <w:sz w:val="18"/>
                <w:szCs w:val="18"/>
              </w:rPr>
              <w:t>。</w:t>
            </w:r>
          </w:p>
        </w:tc>
        <w:tc>
          <w:tcPr>
            <w:tcW w:w="4600" w:type="dxa"/>
            <w:tcBorders>
              <w:top w:val="single" w:sz="4" w:space="0" w:color="auto"/>
              <w:left w:val="nil"/>
              <w:bottom w:val="single" w:sz="4" w:space="0" w:color="auto"/>
              <w:right w:val="nil"/>
            </w:tcBorders>
            <w:shd w:val="clear" w:color="auto" w:fill="auto"/>
            <w:vAlign w:val="center"/>
          </w:tcPr>
          <w:p w:rsidR="005175B3" w:rsidRPr="009263D7" w:rsidRDefault="00CB4B9E" w:rsidP="00F67FD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1.本机构以投资产品名义登记，但代理居民机构和个人投资的境外股本、证券投资基金份额、债务证券和金融衍生产品。此类代理业务应填报B-D表。</w:t>
            </w:r>
          </w:p>
        </w:tc>
      </w:tr>
    </w:tbl>
    <w:p w:rsidR="00625D2B" w:rsidRPr="009263D7" w:rsidRDefault="00CB4B9E" w:rsidP="00625D2B">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H0201.居民委托人名称：</w:t>
      </w:r>
      <w:r w:rsidRPr="00CB4B9E">
        <w:rPr>
          <w:rFonts w:ascii="宋体" w:hAnsi="宋体" w:hint="eastAsia"/>
          <w:color w:val="000000" w:themeColor="text1"/>
          <w:szCs w:val="21"/>
        </w:rPr>
        <w:t>指委托本机构进行托管的居民机构（即</w:t>
      </w:r>
      <w:r w:rsidRPr="00CB4B9E">
        <w:rPr>
          <w:rFonts w:ascii="宋体" w:hAnsi="宋体"/>
          <w:color w:val="000000" w:themeColor="text1"/>
          <w:szCs w:val="21"/>
        </w:rPr>
        <w:t>QDII</w:t>
      </w:r>
      <w:r w:rsidRPr="00CB4B9E">
        <w:rPr>
          <w:rFonts w:ascii="宋体" w:hAnsi="宋体" w:hint="eastAsia"/>
          <w:color w:val="000000" w:themeColor="text1"/>
          <w:szCs w:val="21"/>
        </w:rPr>
        <w:t>机构）的英文或中文全称。</w:t>
      </w:r>
    </w:p>
    <w:p w:rsidR="00717383"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lastRenderedPageBreak/>
        <w:t>H0201CODE.居民委托人代码：</w:t>
      </w:r>
      <w:r w:rsidRPr="00CB4B9E">
        <w:rPr>
          <w:rFonts w:ascii="宋体" w:hAnsi="宋体"/>
          <w:color w:val="000000" w:themeColor="text1"/>
          <w:szCs w:val="21"/>
        </w:rPr>
        <w:t>QDII机构代码</w:t>
      </w:r>
      <w:r w:rsidRPr="00CB4B9E">
        <w:rPr>
          <w:rFonts w:ascii="宋体" w:hAnsi="宋体" w:hint="eastAsia"/>
          <w:color w:val="000000" w:themeColor="text1"/>
          <w:szCs w:val="21"/>
        </w:rPr>
        <w:t>。</w:t>
      </w:r>
      <w:r w:rsidRPr="00CB4B9E">
        <w:rPr>
          <w:rFonts w:ascii="黑体" w:eastAsia="黑体" w:hAnsi="宋体"/>
          <w:color w:val="000000" w:themeColor="text1"/>
          <w:szCs w:val="21"/>
        </w:rPr>
        <w:t>H0202.居民委托人所属部门：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请按居民委托人的主营业务归类。</w:t>
      </w:r>
    </w:p>
    <w:p w:rsidR="000D45A9"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H0203.居民委托人产品名称：</w:t>
      </w:r>
      <w:r w:rsidRPr="00CB4B9E">
        <w:rPr>
          <w:rFonts w:ascii="宋体" w:hAnsi="宋体" w:hint="eastAsia"/>
          <w:color w:val="000000" w:themeColor="text1"/>
        </w:rPr>
        <w:t>指居民委托人所托管产品全称。</w:t>
      </w:r>
    </w:p>
    <w:p w:rsidR="000D3867"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H0203CODE.</w:t>
      </w:r>
      <w:r w:rsidRPr="00CB4B9E">
        <w:rPr>
          <w:rFonts w:ascii="黑体" w:eastAsia="黑体" w:hAnsi="宋体" w:hint="eastAsia"/>
          <w:color w:val="000000" w:themeColor="text1"/>
          <w:szCs w:val="21"/>
        </w:rPr>
        <w:t>业务编号</w:t>
      </w:r>
      <w:r w:rsidRPr="00CB4B9E">
        <w:rPr>
          <w:rFonts w:ascii="黑体" w:eastAsia="黑体" w:hAnsi="宋体"/>
          <w:color w:val="000000" w:themeColor="text1"/>
          <w:szCs w:val="21"/>
        </w:rPr>
        <w:t>:</w:t>
      </w:r>
      <w:r w:rsidRPr="00CB4B9E">
        <w:rPr>
          <w:rFonts w:ascii="宋体" w:hAnsi="宋体" w:hint="eastAsia"/>
          <w:color w:val="000000" w:themeColor="text1"/>
        </w:rPr>
        <w:t>填写外汇局规定的</w:t>
      </w:r>
      <w:r w:rsidRPr="00CB4B9E">
        <w:rPr>
          <w:rFonts w:ascii="宋体" w:hAnsi="宋体"/>
          <w:color w:val="000000" w:themeColor="text1"/>
        </w:rPr>
        <w:t>QDII</w:t>
      </w:r>
      <w:r w:rsidRPr="00CB4B9E">
        <w:rPr>
          <w:rFonts w:ascii="宋体" w:hAnsi="宋体" w:hint="eastAsia"/>
          <w:color w:val="000000" w:themeColor="text1"/>
        </w:rPr>
        <w:t>产品的业务编号。</w:t>
      </w:r>
    </w:p>
    <w:p w:rsidR="00AA4C82" w:rsidRPr="009263D7" w:rsidRDefault="00CB4B9E" w:rsidP="00AA4C82">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H0204.</w:t>
      </w:r>
      <w:r w:rsidRPr="00CB4B9E">
        <w:rPr>
          <w:rFonts w:ascii="黑体" w:eastAsia="黑体" w:hAnsi="宋体" w:hint="eastAsia"/>
          <w:color w:val="000000" w:themeColor="text1"/>
          <w:szCs w:val="21"/>
        </w:rPr>
        <w:t>投资工具类型：</w:t>
      </w:r>
      <w:r w:rsidRPr="00CB4B9E">
        <w:rPr>
          <w:rFonts w:ascii="宋体" w:hAnsi="宋体" w:hint="eastAsia"/>
          <w:color w:val="000000" w:themeColor="text1"/>
          <w:szCs w:val="21"/>
        </w:rPr>
        <w:t>指居民委托人产品在境外投向的工具类型，按以下情况填列：</w:t>
      </w:r>
      <w:r w:rsidRPr="00CB4B9E">
        <w:rPr>
          <w:rFonts w:ascii="宋体" w:hAnsi="宋体" w:hint="eastAsia"/>
          <w:color w:val="000000" w:themeColor="text1"/>
        </w:rPr>
        <w:t>①</w:t>
      </w:r>
      <w:r w:rsidRPr="00CB4B9E">
        <w:rPr>
          <w:rFonts w:ascii="宋体" w:hAnsi="宋体" w:hint="eastAsia"/>
          <w:color w:val="000000" w:themeColor="text1"/>
          <w:szCs w:val="21"/>
        </w:rPr>
        <w:t>上市普通股；</w:t>
      </w:r>
      <w:r w:rsidRPr="00CB4B9E">
        <w:rPr>
          <w:rFonts w:ascii="宋体" w:hAnsi="宋体" w:hint="eastAsia"/>
          <w:color w:val="000000" w:themeColor="text1"/>
        </w:rPr>
        <w:t>②</w:t>
      </w:r>
      <w:r w:rsidRPr="00CB4B9E">
        <w:rPr>
          <w:rFonts w:ascii="宋体" w:hAnsi="宋体" w:hint="eastAsia"/>
          <w:color w:val="000000" w:themeColor="text1"/>
          <w:szCs w:val="21"/>
        </w:rPr>
        <w:t>非上市普通股；</w:t>
      </w:r>
      <w:r w:rsidRPr="00CB4B9E">
        <w:rPr>
          <w:rFonts w:ascii="宋体" w:hAnsi="宋体" w:hint="eastAsia"/>
          <w:color w:val="000000" w:themeColor="text1"/>
        </w:rPr>
        <w:t>③货币</w:t>
      </w:r>
      <w:r w:rsidRPr="00CB4B9E">
        <w:rPr>
          <w:rFonts w:ascii="宋体" w:hAnsi="宋体" w:hint="eastAsia"/>
          <w:color w:val="000000" w:themeColor="text1"/>
          <w:szCs w:val="21"/>
        </w:rPr>
        <w:t>市场基金份额</w:t>
      </w:r>
      <w:r w:rsidRPr="00CB4B9E">
        <w:rPr>
          <w:rFonts w:ascii="宋体" w:hAnsi="宋体"/>
          <w:color w:val="000000" w:themeColor="text1"/>
          <w:szCs w:val="21"/>
        </w:rPr>
        <w:t>/单位；</w:t>
      </w:r>
      <w:r w:rsidRPr="00CB4B9E">
        <w:rPr>
          <w:rFonts w:ascii="宋体" w:hAnsi="宋体" w:hint="eastAsia"/>
          <w:color w:val="000000" w:themeColor="text1"/>
        </w:rPr>
        <w:t>④非货币</w:t>
      </w:r>
      <w:r w:rsidRPr="00CB4B9E">
        <w:rPr>
          <w:rFonts w:ascii="宋体" w:hAnsi="宋体" w:hint="eastAsia"/>
          <w:color w:val="000000" w:themeColor="text1"/>
          <w:szCs w:val="21"/>
        </w:rPr>
        <w:t>市场基金份额</w:t>
      </w:r>
      <w:r w:rsidRPr="00CB4B9E">
        <w:rPr>
          <w:rFonts w:ascii="宋体" w:hAnsi="宋体"/>
          <w:color w:val="000000" w:themeColor="text1"/>
          <w:szCs w:val="21"/>
        </w:rPr>
        <w:t>/单位；</w:t>
      </w:r>
      <w:r w:rsidRPr="00CB4B9E">
        <w:rPr>
          <w:rFonts w:ascii="宋体" w:hAnsi="宋体" w:hint="eastAsia"/>
          <w:color w:val="000000" w:themeColor="text1"/>
        </w:rPr>
        <w:t>⑤金融衍生产品；⑥债务证券</w:t>
      </w:r>
      <w:r w:rsidRPr="00CB4B9E">
        <w:rPr>
          <w:rFonts w:ascii="宋体" w:hAnsi="宋体" w:hint="eastAsia"/>
          <w:color w:val="000000" w:themeColor="text1"/>
          <w:szCs w:val="21"/>
        </w:rPr>
        <w:t>；</w:t>
      </w:r>
      <w:r w:rsidRPr="00CB4B9E">
        <w:rPr>
          <w:rFonts w:ascii="宋体" w:hAnsi="宋体" w:hint="eastAsia"/>
          <w:color w:val="000000" w:themeColor="text1"/>
        </w:rPr>
        <w:t>⑦存款（含活期和定期存款）；⑧应收款；⑨应付款；⑩参与性优先股；</w:t>
      </w:r>
      <w:r w:rsidRPr="00CB4B9E">
        <w:rPr>
          <w:rFonts w:ascii="宋体" w:hAnsi="宋体"/>
          <w:color w:val="000000" w:themeColor="text1"/>
        </w:rPr>
        <w:t xml:space="preserve"> </w:t>
      </w:r>
      <w:r w:rsidRPr="00CB4B9E">
        <w:rPr>
          <w:rFonts w:ascii="宋体" w:hAnsi="宋体" w:hint="eastAsia"/>
          <w:color w:val="000000" w:themeColor="text1"/>
        </w:rPr>
        <w:t>⑾非参与性优先股</w:t>
      </w:r>
      <w:r w:rsidRPr="00CB4B9E">
        <w:rPr>
          <w:rFonts w:ascii="宋体" w:hAnsi="宋体" w:hint="eastAsia"/>
          <w:color w:val="000000" w:themeColor="text1"/>
          <w:szCs w:val="21"/>
        </w:rPr>
        <w:t>。其中，无法区分</w:t>
      </w:r>
      <w:r w:rsidRPr="00CB4B9E">
        <w:rPr>
          <w:rFonts w:ascii="宋体" w:hAnsi="宋体" w:hint="eastAsia"/>
          <w:color w:val="000000" w:themeColor="text1"/>
        </w:rPr>
        <w:t>⑩⑾的</w:t>
      </w:r>
      <w:r w:rsidRPr="00CB4B9E">
        <w:rPr>
          <w:rFonts w:ascii="宋体" w:hAnsi="宋体" w:hint="eastAsia"/>
          <w:color w:val="000000" w:themeColor="text1"/>
          <w:szCs w:val="21"/>
        </w:rPr>
        <w:t>情况下，可视为非参与性优先股。</w:t>
      </w:r>
    </w:p>
    <w:p w:rsidR="004B75F3" w:rsidRPr="009263D7" w:rsidRDefault="00CB4B9E" w:rsidP="004B75F3">
      <w:pPr>
        <w:spacing w:line="360" w:lineRule="auto"/>
        <w:ind w:firstLineChars="200" w:firstLine="420"/>
        <w:jc w:val="left"/>
        <w:rPr>
          <w:rFonts w:ascii="黑体" w:eastAsia="黑体"/>
          <w:color w:val="000000" w:themeColor="text1"/>
        </w:rPr>
      </w:pPr>
      <w:r w:rsidRPr="00CB4B9E">
        <w:rPr>
          <w:rFonts w:ascii="黑体" w:eastAsia="黑体"/>
          <w:color w:val="000000" w:themeColor="text1"/>
        </w:rPr>
        <w:t>INVTYPE.</w:t>
      </w:r>
      <w:r w:rsidRPr="00CB4B9E">
        <w:rPr>
          <w:color w:val="000000" w:themeColor="text1"/>
        </w:rPr>
        <w:t xml:space="preserve"> </w:t>
      </w:r>
      <w:r w:rsidRPr="00CB4B9E">
        <w:rPr>
          <w:rFonts w:ascii="黑体" w:eastAsia="黑体" w:hint="eastAsia"/>
          <w:color w:val="000000" w:themeColor="text1"/>
        </w:rPr>
        <w:t>投资品种类型:</w:t>
      </w:r>
      <w:r w:rsidRPr="00CB4B9E">
        <w:rPr>
          <w:rFonts w:ascii="宋体" w:hAnsi="宋体"/>
          <w:color w:val="000000" w:themeColor="text1"/>
        </w:rPr>
        <w:t xml:space="preserve"> 请参照数据采集规范最新版本中的QDII投资品种类型代码表填写。</w:t>
      </w:r>
    </w:p>
    <w:p w:rsidR="00283261" w:rsidRPr="009263D7" w:rsidRDefault="00CB4B9E" w:rsidP="00243695">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H0204CODE.业务类型</w:t>
      </w:r>
      <w:r w:rsidRPr="00CB4B9E">
        <w:rPr>
          <w:rFonts w:ascii="黑体" w:eastAsia="黑体" w:hAnsi="宋体" w:hint="eastAsia"/>
          <w:color w:val="000000" w:themeColor="text1"/>
          <w:szCs w:val="21"/>
        </w:rPr>
        <w:t>：</w:t>
      </w:r>
      <w:r w:rsidRPr="00CB4B9E">
        <w:rPr>
          <w:rFonts w:ascii="宋体" w:hAnsi="宋体" w:hint="eastAsia"/>
          <w:color w:val="000000" w:themeColor="text1"/>
          <w:szCs w:val="21"/>
        </w:rPr>
        <w:t>请选择</w:t>
      </w:r>
      <w:r w:rsidRPr="00CB4B9E">
        <w:rPr>
          <w:rFonts w:ascii="宋体" w:hAnsi="宋体" w:hint="eastAsia"/>
          <w:color w:val="000000" w:themeColor="text1"/>
        </w:rPr>
        <w:t>①</w:t>
      </w:r>
      <w:r w:rsidRPr="00CB4B9E">
        <w:rPr>
          <w:rFonts w:ascii="宋体" w:hAnsi="宋体"/>
          <w:color w:val="000000" w:themeColor="text1"/>
        </w:rPr>
        <w:t>QDII；②RQDII；</w:t>
      </w:r>
      <w:r w:rsidR="00482CF5" w:rsidRPr="00FE7524">
        <w:rPr>
          <w:rFonts w:ascii="宋体" w:hAnsi="宋体" w:hint="eastAsia"/>
          <w:color w:val="000000" w:themeColor="text1"/>
        </w:rPr>
        <w:t>⑨</w:t>
      </w:r>
      <w:r w:rsidRPr="00CB4B9E">
        <w:rPr>
          <w:rFonts w:ascii="宋体" w:hAnsi="宋体" w:hint="eastAsia"/>
          <w:color w:val="000000" w:themeColor="text1"/>
        </w:rPr>
        <w:t>其他。</w:t>
      </w:r>
    </w:p>
    <w:p w:rsidR="00243695" w:rsidRPr="009263D7" w:rsidRDefault="00CB4B9E" w:rsidP="00243695">
      <w:pPr>
        <w:spacing w:line="360" w:lineRule="auto"/>
        <w:ind w:firstLineChars="200" w:firstLine="420"/>
        <w:rPr>
          <w:color w:val="000000" w:themeColor="text1"/>
        </w:rPr>
      </w:pPr>
      <w:r w:rsidRPr="00CB4B9E">
        <w:rPr>
          <w:rFonts w:ascii="黑体" w:eastAsia="黑体"/>
          <w:color w:val="000000" w:themeColor="text1"/>
        </w:rPr>
        <w:t>H0205</w:t>
      </w:r>
      <w:r w:rsidRPr="00CB4B9E">
        <w:rPr>
          <w:rFonts w:ascii="黑体" w:eastAsia="黑体" w:hint="eastAsia"/>
          <w:color w:val="000000" w:themeColor="text1"/>
        </w:rPr>
        <w:t>.金融衍生产品的合约类别：</w:t>
      </w:r>
      <w:r w:rsidRPr="00CB4B9E">
        <w:rPr>
          <w:rFonts w:hint="eastAsia"/>
          <w:color w:val="000000" w:themeColor="text1"/>
        </w:rPr>
        <w:t>按远期类和期权类合约两大类划分。远期类合约包括：①远期；②期货；③掉期；④远期特征的结构性产品及其他产品。期权类合约包括：⑤单一期权；⑥组合类期权；⑦权证；⑧期权特征的结构性产品及其他产品。对于结构复杂的产品，应根据其核心特征进行归类。</w:t>
      </w:r>
    </w:p>
    <w:p w:rsidR="00207122" w:rsidRPr="009263D7" w:rsidRDefault="00CB4B9E" w:rsidP="00AA4C82">
      <w:pPr>
        <w:spacing w:line="360" w:lineRule="auto"/>
        <w:ind w:firstLineChars="200" w:firstLine="420"/>
        <w:jc w:val="left"/>
        <w:rPr>
          <w:rFonts w:ascii="Calibri" w:hAnsi="Calibri"/>
          <w:color w:val="000000" w:themeColor="text1"/>
        </w:rPr>
      </w:pPr>
      <w:r w:rsidRPr="00CB4B9E">
        <w:rPr>
          <w:rFonts w:ascii="黑体" w:eastAsia="黑体"/>
          <w:color w:val="000000" w:themeColor="text1"/>
        </w:rPr>
        <w:t>H0206</w:t>
      </w:r>
      <w:r w:rsidRPr="00CB4B9E">
        <w:rPr>
          <w:rFonts w:ascii="黑体" w:eastAsia="黑体" w:hint="eastAsia"/>
          <w:color w:val="000000" w:themeColor="text1"/>
        </w:rPr>
        <w:t>.金融衍生产品的风险类别：</w:t>
      </w:r>
      <w:r w:rsidRPr="00CB4B9E">
        <w:rPr>
          <w:rFonts w:ascii="Calibri" w:hAnsi="Calibri" w:hint="eastAsia"/>
          <w:bCs/>
          <w:color w:val="000000" w:themeColor="text1"/>
        </w:rPr>
        <w:t>金融衍生产品按</w:t>
      </w:r>
      <w:r w:rsidRPr="00CB4B9E">
        <w:rPr>
          <w:rFonts w:hint="eastAsia"/>
          <w:bCs/>
          <w:color w:val="000000" w:themeColor="text1"/>
        </w:rPr>
        <w:t>金融</w:t>
      </w:r>
      <w:r w:rsidRPr="00CB4B9E">
        <w:rPr>
          <w:rFonts w:ascii="Calibri" w:hAnsi="Calibri" w:hint="eastAsia"/>
          <w:bCs/>
          <w:color w:val="000000" w:themeColor="text1"/>
        </w:rPr>
        <w:t>风险主要挂钩指标进行分类，请按以下七种情况填列：</w:t>
      </w:r>
      <w:r w:rsidRPr="00CB4B9E">
        <w:rPr>
          <w:rFonts w:hint="eastAsia"/>
          <w:color w:val="000000" w:themeColor="text1"/>
        </w:rPr>
        <w:t>①</w:t>
      </w:r>
      <w:r w:rsidRPr="00CB4B9E">
        <w:rPr>
          <w:rFonts w:ascii="Calibri" w:hAnsi="Calibri" w:hint="eastAsia"/>
          <w:color w:val="000000" w:themeColor="text1"/>
        </w:rPr>
        <w:t>外汇产品；</w:t>
      </w:r>
      <w:r w:rsidRPr="00CB4B9E">
        <w:rPr>
          <w:rFonts w:hint="eastAsia"/>
          <w:color w:val="000000" w:themeColor="text1"/>
        </w:rPr>
        <w:t>②</w:t>
      </w:r>
      <w:r w:rsidRPr="00CB4B9E">
        <w:rPr>
          <w:rFonts w:ascii="Calibri" w:hAnsi="Calibri" w:hint="eastAsia"/>
          <w:color w:val="000000" w:themeColor="text1"/>
        </w:rPr>
        <w:t>单一货币利率产品；</w:t>
      </w:r>
      <w:r w:rsidRPr="00CB4B9E">
        <w:rPr>
          <w:rFonts w:hint="eastAsia"/>
          <w:color w:val="000000" w:themeColor="text1"/>
        </w:rPr>
        <w:t>③</w:t>
      </w:r>
      <w:r w:rsidRPr="00CB4B9E">
        <w:rPr>
          <w:rFonts w:ascii="Calibri" w:hAnsi="Calibri" w:hint="eastAsia"/>
          <w:color w:val="000000" w:themeColor="text1"/>
        </w:rPr>
        <w:t>股权类产品；</w:t>
      </w:r>
      <w:r w:rsidRPr="00CB4B9E">
        <w:rPr>
          <w:rFonts w:hint="eastAsia"/>
          <w:color w:val="000000" w:themeColor="text1"/>
        </w:rPr>
        <w:t>④</w:t>
      </w:r>
      <w:r w:rsidRPr="00CB4B9E">
        <w:rPr>
          <w:rFonts w:ascii="Calibri" w:hAnsi="Calibri" w:hint="eastAsia"/>
          <w:color w:val="000000" w:themeColor="text1"/>
        </w:rPr>
        <w:t>商品类产品；</w:t>
      </w:r>
      <w:r w:rsidRPr="00CB4B9E">
        <w:rPr>
          <w:rFonts w:hint="eastAsia"/>
          <w:color w:val="000000" w:themeColor="text1"/>
        </w:rPr>
        <w:t>⑤</w:t>
      </w:r>
      <w:r w:rsidRPr="00CB4B9E">
        <w:rPr>
          <w:rFonts w:ascii="Calibri" w:hAnsi="Calibri" w:hint="eastAsia"/>
          <w:color w:val="000000" w:themeColor="text1"/>
        </w:rPr>
        <w:t>信用类产品；</w:t>
      </w:r>
      <w:r w:rsidRPr="00CB4B9E">
        <w:rPr>
          <w:rFonts w:hint="eastAsia"/>
          <w:color w:val="000000" w:themeColor="text1"/>
        </w:rPr>
        <w:t>⑥贵金属产品；⑦</w:t>
      </w:r>
      <w:r w:rsidRPr="00CB4B9E">
        <w:rPr>
          <w:rFonts w:ascii="Calibri" w:hAnsi="Calibri" w:hint="eastAsia"/>
          <w:color w:val="000000" w:themeColor="text1"/>
        </w:rPr>
        <w:t>不能归入上述</w:t>
      </w:r>
      <w:r w:rsidRPr="00CB4B9E">
        <w:rPr>
          <w:rFonts w:ascii="Calibri" w:hAnsi="Calibri"/>
          <w:color w:val="000000" w:themeColor="text1"/>
        </w:rPr>
        <w:t>6</w:t>
      </w:r>
      <w:r w:rsidRPr="00CB4B9E">
        <w:rPr>
          <w:rFonts w:ascii="Calibri" w:hAnsi="Calibri" w:hint="eastAsia"/>
          <w:color w:val="000000" w:themeColor="text1"/>
        </w:rPr>
        <w:t>类市场风险类别的其他衍生产品。如，权证的金融风险类别为股权类产品，商品期货的金融风险类别为商品类产品。对于具有一个以上风险类别的产品，如果产品为敞口风险的简单组合，应按照各风险细项分别记录；如果难以分离风险细项，则按照最重要原则在单一风险细目项记录，无法辨别重要性的，则按照商品、股权、外汇、单一货币利率和信用类的序列记录。</w:t>
      </w:r>
    </w:p>
    <w:p w:rsidR="00207122" w:rsidRPr="009263D7" w:rsidRDefault="00CB4B9E" w:rsidP="00207122">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H0207.</w:t>
      </w:r>
      <w:r w:rsidRPr="00CB4B9E">
        <w:rPr>
          <w:rFonts w:ascii="黑体" w:eastAsia="黑体" w:hAnsi="宋体" w:hint="eastAsia"/>
          <w:color w:val="000000" w:themeColor="text1"/>
          <w:szCs w:val="21"/>
        </w:rPr>
        <w:t>投资工具代码（逐支报送使用）：</w:t>
      </w:r>
      <w:r w:rsidRPr="00CB4B9E">
        <w:rPr>
          <w:rFonts w:ascii="Calibri" w:hAnsi="Calibri" w:hint="eastAsia"/>
          <w:color w:val="000000" w:themeColor="text1"/>
        </w:rPr>
        <w:t>对于选择报送逐支证券或金融衍生产品的，请填写此项。</w:t>
      </w:r>
      <w:r w:rsidRPr="00CB4B9E">
        <w:rPr>
          <w:rFonts w:ascii="宋体" w:hAnsi="宋体" w:hint="eastAsia"/>
          <w:color w:val="000000" w:themeColor="text1"/>
        </w:rPr>
        <w:t>指本机构所托管的、登记在居民机构或个人名下的境外证券或金融衍生产品的代码（带有上市地信息的代码）。投资产品代码的填写规则为：投资产品代码需为唯一性代码，优先填写</w:t>
      </w:r>
      <w:r w:rsidRPr="00CB4B9E">
        <w:rPr>
          <w:rFonts w:ascii="宋体" w:hAnsi="宋体"/>
          <w:color w:val="000000" w:themeColor="text1"/>
        </w:rPr>
        <w:t>ISIN代码；没有ISIN代码的，填写当地市场唯一通行的代码；没有当地市场代码的，填写本机构自编代码，但需确保唯一性。</w:t>
      </w:r>
      <w:r w:rsidRPr="00CB4B9E">
        <w:rPr>
          <w:rFonts w:ascii="宋体" w:hAnsi="宋体" w:hint="eastAsia"/>
          <w:color w:val="000000" w:themeColor="text1"/>
        </w:rPr>
        <w:t>除证券和金融衍生产品外的</w:t>
      </w:r>
      <w:r w:rsidRPr="00CB4B9E">
        <w:rPr>
          <w:rFonts w:ascii="宋体" w:hAnsi="宋体" w:hint="eastAsia"/>
          <w:color w:val="000000" w:themeColor="text1"/>
          <w:szCs w:val="21"/>
        </w:rPr>
        <w:t>其他工具不填写此项。</w:t>
      </w:r>
    </w:p>
    <w:p w:rsidR="00AA4C82" w:rsidRPr="009263D7" w:rsidRDefault="00CB4B9E" w:rsidP="00207122">
      <w:pPr>
        <w:spacing w:line="360" w:lineRule="auto"/>
        <w:ind w:firstLineChars="200" w:firstLine="420"/>
        <w:jc w:val="left"/>
        <w:rPr>
          <w:rFonts w:ascii="Calibri" w:hAnsi="Calibri"/>
          <w:color w:val="000000" w:themeColor="text1"/>
        </w:rPr>
      </w:pPr>
      <w:r w:rsidRPr="00CB4B9E">
        <w:rPr>
          <w:rFonts w:ascii="黑体" w:eastAsia="黑体" w:hAnsi="宋体"/>
          <w:color w:val="000000" w:themeColor="text1"/>
          <w:szCs w:val="21"/>
        </w:rPr>
        <w:t>H0208.</w:t>
      </w:r>
      <w:r w:rsidRPr="00CB4B9E">
        <w:rPr>
          <w:rFonts w:ascii="黑体" w:eastAsia="黑体" w:hAnsi="宋体" w:hint="eastAsia"/>
          <w:color w:val="000000" w:themeColor="text1"/>
          <w:szCs w:val="21"/>
        </w:rPr>
        <w:t>投资工具发行人名称（逐支报送使用）：</w:t>
      </w:r>
      <w:r w:rsidRPr="00CB4B9E">
        <w:rPr>
          <w:rFonts w:ascii="宋体" w:hAnsi="宋体" w:hint="eastAsia"/>
          <w:color w:val="000000" w:themeColor="text1"/>
        </w:rPr>
        <w:t>对于选择逐支报送证券及金融衍生产品的，请填写境外证券或金融衍生产品的</w:t>
      </w:r>
      <w:r w:rsidRPr="00CB4B9E">
        <w:rPr>
          <w:rFonts w:ascii="宋体" w:hAnsi="宋体" w:hint="eastAsia"/>
          <w:color w:val="000000" w:themeColor="text1"/>
          <w:szCs w:val="21"/>
        </w:rPr>
        <w:t>发行主体全称，按其英文或中文全称填列。对于无法明确其发行人或部分场内交易的金融衍生产品，如交易所交易的股指期货或商品期货，其投资工具发行人可填写为相关交易所名称。</w:t>
      </w:r>
      <w:r w:rsidRPr="00CB4B9E">
        <w:rPr>
          <w:rFonts w:ascii="宋体" w:hAnsi="宋体" w:hint="eastAsia"/>
          <w:color w:val="000000" w:themeColor="text1"/>
        </w:rPr>
        <w:t>除证券和金融衍生产品外的其他工具不填写此项。</w:t>
      </w:r>
    </w:p>
    <w:p w:rsidR="00957296" w:rsidRPr="009263D7" w:rsidRDefault="00CB4B9E" w:rsidP="00AA4C82">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H0209.</w:t>
      </w:r>
      <w:r w:rsidRPr="00CB4B9E">
        <w:rPr>
          <w:rFonts w:ascii="黑体" w:eastAsia="黑体" w:hAnsi="宋体" w:hint="eastAsia"/>
          <w:color w:val="000000" w:themeColor="text1"/>
          <w:szCs w:val="21"/>
        </w:rPr>
        <w:t>投资工具发行市场：</w:t>
      </w:r>
      <w:r w:rsidRPr="00CB4B9E">
        <w:rPr>
          <w:rFonts w:ascii="宋体" w:hAnsi="宋体" w:hint="eastAsia"/>
          <w:color w:val="000000" w:themeColor="text1"/>
        </w:rPr>
        <w:t>请参照数据采集规范最新版本中的相关代码表填列</w:t>
      </w:r>
      <w:r w:rsidRPr="00CB4B9E">
        <w:rPr>
          <w:rFonts w:ascii="宋体" w:hAnsi="宋体" w:hint="eastAsia"/>
          <w:color w:val="000000" w:themeColor="text1"/>
          <w:szCs w:val="21"/>
        </w:rPr>
        <w:t>。如为存贷款及应收</w:t>
      </w:r>
      <w:r w:rsidRPr="00CB4B9E">
        <w:rPr>
          <w:rFonts w:ascii="宋体" w:hAnsi="宋体" w:hint="eastAsia"/>
          <w:color w:val="000000" w:themeColor="text1"/>
          <w:szCs w:val="21"/>
        </w:rPr>
        <w:lastRenderedPageBreak/>
        <w:t>应付款等非流动性工具，为对手方所在国家</w:t>
      </w:r>
      <w:r w:rsidRPr="00CB4B9E">
        <w:rPr>
          <w:rFonts w:ascii="宋体" w:hAnsi="宋体"/>
          <w:color w:val="000000" w:themeColor="text1"/>
          <w:szCs w:val="21"/>
        </w:rPr>
        <w:t>/地区。</w:t>
      </w:r>
    </w:p>
    <w:p w:rsidR="00717383"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H0210.</w:t>
      </w:r>
      <w:r w:rsidRPr="00CB4B9E">
        <w:rPr>
          <w:rFonts w:ascii="黑体" w:eastAsia="黑体" w:hAnsi="宋体" w:hint="eastAsia"/>
          <w:color w:val="000000" w:themeColor="text1"/>
          <w:szCs w:val="21"/>
        </w:rPr>
        <w:t>投资工具发行人所属国家</w:t>
      </w:r>
      <w:r w:rsidRPr="00CB4B9E">
        <w:rPr>
          <w:rFonts w:ascii="黑体" w:eastAsia="黑体" w:hAnsi="宋体"/>
          <w:color w:val="000000" w:themeColor="text1"/>
          <w:szCs w:val="21"/>
        </w:rPr>
        <w:t>/地区</w:t>
      </w:r>
      <w:r w:rsidRPr="00CB4B9E">
        <w:rPr>
          <w:rFonts w:ascii="黑体" w:eastAsia="黑体" w:hAnsi="宋体" w:hint="eastAsia"/>
          <w:color w:val="000000" w:themeColor="text1"/>
          <w:szCs w:val="21"/>
        </w:rPr>
        <w:t>：</w:t>
      </w:r>
      <w:r w:rsidRPr="00CB4B9E">
        <w:rPr>
          <w:rFonts w:ascii="宋体" w:hAnsi="宋体" w:hint="eastAsia"/>
          <w:color w:val="000000" w:themeColor="text1"/>
        </w:rPr>
        <w:t>填报本机构托管的、居民持有的境外投资产品的发行人国家</w:t>
      </w:r>
      <w:r w:rsidRPr="00CB4B9E">
        <w:rPr>
          <w:rFonts w:ascii="宋体" w:hAnsi="宋体"/>
          <w:color w:val="000000" w:themeColor="text1"/>
        </w:rPr>
        <w:t>/地区</w:t>
      </w:r>
      <w:r w:rsidRPr="00CB4B9E">
        <w:rPr>
          <w:rFonts w:ascii="宋体" w:hAnsi="宋体" w:hint="eastAsia"/>
          <w:color w:val="000000" w:themeColor="text1"/>
        </w:rPr>
        <w:t>代码。即：①对于所持有的公开上市证券，按照发行主体的注册地（国家）填报，如，持有的是中国银行在香港发行的</w:t>
      </w:r>
      <w:r w:rsidRPr="00CB4B9E">
        <w:rPr>
          <w:rFonts w:ascii="宋体" w:hAnsi="宋体"/>
          <w:color w:val="000000" w:themeColor="text1"/>
        </w:rPr>
        <w:t>H</w:t>
      </w:r>
      <w:r w:rsidRPr="00CB4B9E">
        <w:rPr>
          <w:rFonts w:ascii="宋体" w:hAnsi="宋体" w:hint="eastAsia"/>
          <w:color w:val="000000" w:themeColor="text1"/>
        </w:rPr>
        <w:t>股，其发行人所属国家</w:t>
      </w:r>
      <w:r w:rsidRPr="00CB4B9E">
        <w:rPr>
          <w:rFonts w:ascii="宋体" w:hAnsi="宋体"/>
          <w:color w:val="000000" w:themeColor="text1"/>
        </w:rPr>
        <w:t>/地区</w:t>
      </w:r>
      <w:r w:rsidRPr="00CB4B9E">
        <w:rPr>
          <w:rFonts w:ascii="宋体" w:hAnsi="宋体" w:hint="eastAsia"/>
          <w:color w:val="000000" w:themeColor="text1"/>
        </w:rPr>
        <w:t>应为中国；②对于无法确定其注册地（国家），应按照该证券的发行场所所在国家</w:t>
      </w:r>
      <w:r w:rsidRPr="00CB4B9E">
        <w:rPr>
          <w:rFonts w:ascii="宋体" w:hAnsi="宋体"/>
          <w:color w:val="000000" w:themeColor="text1"/>
        </w:rPr>
        <w:t>/</w:t>
      </w:r>
      <w:r w:rsidRPr="00CB4B9E">
        <w:rPr>
          <w:rFonts w:ascii="宋体" w:hAnsi="宋体" w:hint="eastAsia"/>
          <w:color w:val="000000" w:themeColor="text1"/>
        </w:rPr>
        <w:t>地区填列，如香港上市；③对于场外交易的证券，应确定证券发行人的国家</w:t>
      </w:r>
      <w:r w:rsidRPr="00CB4B9E">
        <w:rPr>
          <w:rFonts w:ascii="宋体" w:hAnsi="宋体"/>
          <w:color w:val="000000" w:themeColor="text1"/>
        </w:rPr>
        <w:t>/地区信息。</w:t>
      </w:r>
      <w:r w:rsidRPr="00CB4B9E">
        <w:rPr>
          <w:rFonts w:ascii="宋体" w:hAnsi="宋体" w:hint="eastAsia"/>
          <w:color w:val="000000" w:themeColor="text1"/>
          <w:szCs w:val="21"/>
        </w:rPr>
        <w:t>如为存贷款及应收应付款等非流动性工具，为对手方所在国家</w:t>
      </w:r>
      <w:r w:rsidRPr="00CB4B9E">
        <w:rPr>
          <w:rFonts w:ascii="宋体" w:hAnsi="宋体"/>
          <w:color w:val="000000" w:themeColor="text1"/>
          <w:szCs w:val="21"/>
        </w:rPr>
        <w:t>/地区。</w:t>
      </w:r>
    </w:p>
    <w:p w:rsidR="00717383"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H0211.</w:t>
      </w:r>
      <w:r w:rsidRPr="00CB4B9E">
        <w:rPr>
          <w:rFonts w:ascii="黑体" w:eastAsia="黑体" w:hAnsi="宋体" w:hint="eastAsia"/>
          <w:color w:val="000000" w:themeColor="text1"/>
          <w:szCs w:val="21"/>
        </w:rPr>
        <w:t>投资工具发行人所属部门：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。请按相关工具发行人的主营业务归类。</w:t>
      </w:r>
    </w:p>
    <w:p w:rsidR="00831490" w:rsidRPr="009263D7" w:rsidRDefault="00CB4B9E" w:rsidP="00717383">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H0212.</w:t>
      </w:r>
      <w:r w:rsidRPr="00CB4B9E">
        <w:rPr>
          <w:rFonts w:ascii="黑体" w:eastAsia="黑体" w:hAnsi="宋体" w:hint="eastAsia"/>
          <w:color w:val="000000" w:themeColor="text1"/>
          <w:szCs w:val="21"/>
        </w:rPr>
        <w:t>投资工具发行人与居民委托人的关系：</w:t>
      </w:r>
      <w:r w:rsidRPr="00CB4B9E">
        <w:rPr>
          <w:rFonts w:ascii="宋体" w:hAnsi="宋体" w:hint="eastAsia"/>
          <w:color w:val="000000" w:themeColor="text1"/>
        </w:rPr>
        <w:t>请按以下四种情况填列：①对手方是居民委托人的境外直接投资者，即持有居民委托人表决权≥</w:t>
      </w:r>
      <w:r w:rsidRPr="00CB4B9E">
        <w:rPr>
          <w:rFonts w:ascii="宋体" w:hAnsi="宋体"/>
          <w:color w:val="000000" w:themeColor="text1"/>
        </w:rPr>
        <w:t>10%</w:t>
      </w:r>
      <w:r w:rsidRPr="00CB4B9E">
        <w:rPr>
          <w:rFonts w:ascii="宋体" w:hAnsi="宋体" w:hint="eastAsia"/>
          <w:color w:val="000000" w:themeColor="text1"/>
        </w:rPr>
        <w:t>；②对手方是居民委托人的境外直接投资企业，即是居民委托人持有表决权在</w:t>
      </w:r>
      <w:r w:rsidRPr="00CB4B9E">
        <w:rPr>
          <w:rFonts w:ascii="宋体" w:hAnsi="宋体"/>
          <w:color w:val="000000" w:themeColor="text1"/>
        </w:rPr>
        <w:t>10%及以上的境外分支机构、子机构、联营机构或合营机构；③对手方是居民委托人的境外联属机构，即双方有共同母公司，但相互持有表决权＜10%</w:t>
      </w:r>
      <w:r w:rsidRPr="00CB4B9E">
        <w:rPr>
          <w:rFonts w:ascii="宋体" w:hAnsi="宋体" w:hint="eastAsia"/>
          <w:color w:val="000000" w:themeColor="text1"/>
        </w:rPr>
        <w:t>或相互不持有表决权；④对手方与境内委托人无关联关系，或双方均处于中国境内。</w:t>
      </w:r>
    </w:p>
    <w:p w:rsidR="00072FC2" w:rsidRPr="009263D7" w:rsidRDefault="00CB4B9E" w:rsidP="00717383">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H0213.</w:t>
      </w:r>
      <w:r w:rsidRPr="00CB4B9E">
        <w:rPr>
          <w:rFonts w:ascii="黑体" w:eastAsia="黑体" w:hAnsi="宋体" w:hint="eastAsia"/>
          <w:color w:val="000000" w:themeColor="text1"/>
          <w:szCs w:val="21"/>
        </w:rPr>
        <w:t>投资工具的原始期限：</w:t>
      </w:r>
      <w:r w:rsidRPr="00CB4B9E">
        <w:rPr>
          <w:rFonts w:ascii="宋体" w:hAnsi="宋体" w:hint="eastAsia"/>
          <w:color w:val="000000" w:themeColor="text1"/>
          <w:szCs w:val="21"/>
        </w:rPr>
        <w:t>按以下两种情况填列：</w:t>
      </w:r>
      <w:r w:rsidRPr="00CB4B9E">
        <w:rPr>
          <w:rFonts w:ascii="宋体" w:hAnsi="宋体" w:hint="eastAsia"/>
          <w:color w:val="000000" w:themeColor="text1"/>
        </w:rPr>
        <w:t>①一年及以下，含不定期</w:t>
      </w:r>
      <w:r w:rsidRPr="00CB4B9E">
        <w:rPr>
          <w:rFonts w:ascii="宋体" w:hAnsi="宋体" w:hint="eastAsia"/>
          <w:color w:val="000000" w:themeColor="text1"/>
          <w:szCs w:val="21"/>
        </w:rPr>
        <w:t>；</w:t>
      </w:r>
      <w:r w:rsidRPr="00CB4B9E">
        <w:rPr>
          <w:rFonts w:ascii="宋体" w:hAnsi="宋体" w:hint="eastAsia"/>
          <w:color w:val="000000" w:themeColor="text1"/>
        </w:rPr>
        <w:t>②一年以上。其中，不定期或活期类工具归入①，永久性债券</w:t>
      </w:r>
      <w:r w:rsidRPr="00CB4B9E">
        <w:rPr>
          <w:rFonts w:ascii="SimSun" w:hAnsi="SimSun" w:hint="eastAsia"/>
          <w:color w:val="000000" w:themeColor="text1"/>
        </w:rPr>
        <w:t>和非参与性优先股</w:t>
      </w:r>
      <w:r w:rsidRPr="00CB4B9E">
        <w:rPr>
          <w:rFonts w:ascii="宋体" w:hAnsi="宋体" w:hint="eastAsia"/>
          <w:color w:val="000000" w:themeColor="text1"/>
        </w:rPr>
        <w:t>归入②。本项仅适用于</w:t>
      </w:r>
      <w:r w:rsidRPr="00CB4B9E">
        <w:rPr>
          <w:rFonts w:ascii="宋体" w:hAnsi="宋体"/>
          <w:color w:val="000000" w:themeColor="text1"/>
        </w:rPr>
        <w:t>H0204下</w:t>
      </w:r>
      <w:r w:rsidRPr="00CB4B9E">
        <w:rPr>
          <w:rFonts w:hint="eastAsia"/>
          <w:color w:val="000000" w:themeColor="text1"/>
        </w:rPr>
        <w:t>⑥</w:t>
      </w:r>
      <w:r w:rsidRPr="00CB4B9E">
        <w:rPr>
          <w:rFonts w:ascii="宋体" w:hAnsi="宋体"/>
          <w:color w:val="000000" w:themeColor="text1"/>
        </w:rPr>
        <w:t>-</w:t>
      </w:r>
      <w:r w:rsidRPr="00CB4B9E">
        <w:rPr>
          <w:rFonts w:ascii="宋体" w:hAnsi="宋体" w:hint="eastAsia"/>
          <w:color w:val="000000" w:themeColor="text1"/>
        </w:rPr>
        <w:t>⑨</w:t>
      </w:r>
      <w:r w:rsidRPr="00CB4B9E">
        <w:rPr>
          <w:rFonts w:ascii="SimSun" w:hAnsi="SimSun" w:hint="eastAsia"/>
          <w:color w:val="000000" w:themeColor="text1"/>
        </w:rPr>
        <w:t>以及（</w:t>
      </w:r>
      <w:r w:rsidRPr="00CB4B9E">
        <w:rPr>
          <w:rFonts w:ascii="SimSun" w:hAnsi="SimSun" w:hint="eastAsia"/>
          <w:color w:val="000000" w:themeColor="text1"/>
        </w:rPr>
        <w:t>11</w:t>
      </w:r>
      <w:r w:rsidRPr="00CB4B9E">
        <w:rPr>
          <w:rFonts w:ascii="SimSun" w:hAnsi="SimSun" w:hint="eastAsia"/>
          <w:color w:val="000000" w:themeColor="text1"/>
        </w:rPr>
        <w:t>）</w:t>
      </w:r>
      <w:r w:rsidRPr="00CB4B9E">
        <w:rPr>
          <w:rFonts w:ascii="宋体" w:hAnsi="宋体" w:hint="eastAsia"/>
          <w:color w:val="000000" w:themeColor="text1"/>
        </w:rPr>
        <w:t>类工具，①</w:t>
      </w:r>
      <w:r w:rsidRPr="00CB4B9E">
        <w:rPr>
          <w:rFonts w:ascii="宋体" w:hAnsi="宋体"/>
          <w:color w:val="000000" w:themeColor="text1"/>
        </w:rPr>
        <w:t>-</w:t>
      </w:r>
      <w:r w:rsidRPr="00CB4B9E">
        <w:rPr>
          <w:rFonts w:ascii="宋体" w:hAnsi="宋体" w:hint="eastAsia"/>
          <w:color w:val="000000" w:themeColor="text1"/>
        </w:rPr>
        <w:t>⑤以及⑩类工具不需填写本项。</w:t>
      </w:r>
    </w:p>
    <w:p w:rsidR="00717383" w:rsidRPr="009263D7" w:rsidRDefault="00CB4B9E" w:rsidP="00717383">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H0214.</w:t>
      </w:r>
      <w:r w:rsidRPr="00CB4B9E">
        <w:rPr>
          <w:rFonts w:ascii="黑体" w:eastAsia="黑体" w:hAnsi="宋体" w:hint="eastAsia"/>
          <w:color w:val="000000" w:themeColor="text1"/>
        </w:rPr>
        <w:t>原始币种：</w:t>
      </w:r>
      <w:r w:rsidRPr="00CB4B9E">
        <w:rPr>
          <w:rFonts w:ascii="宋体" w:hAnsi="宋体" w:hint="eastAsia"/>
          <w:color w:val="000000" w:themeColor="text1"/>
          <w:szCs w:val="21"/>
        </w:rPr>
        <w:t>指居民所托管工具的计价币种，</w:t>
      </w:r>
      <w:r w:rsidRPr="00CB4B9E">
        <w:rPr>
          <w:rFonts w:ascii="宋体" w:hAnsi="宋体" w:hint="eastAsia"/>
          <w:color w:val="000000" w:themeColor="text1"/>
        </w:rPr>
        <w:t>请参照数据采集规范最新版本中的相关代码表填列</w:t>
      </w:r>
      <w:r w:rsidRPr="00CB4B9E">
        <w:rPr>
          <w:rFonts w:ascii="宋体" w:hAnsi="宋体" w:hint="eastAsia"/>
          <w:color w:val="000000" w:themeColor="text1"/>
          <w:szCs w:val="21"/>
        </w:rPr>
        <w:t>。适用于</w:t>
      </w:r>
      <w:r w:rsidRPr="00CB4B9E">
        <w:rPr>
          <w:rFonts w:ascii="宋体" w:hAnsi="宋体"/>
          <w:color w:val="000000" w:themeColor="text1"/>
        </w:rPr>
        <w:t>H0215-H0223</w:t>
      </w:r>
      <w:r w:rsidRPr="00CB4B9E">
        <w:rPr>
          <w:rFonts w:ascii="宋体" w:hAnsi="宋体" w:hint="eastAsia"/>
          <w:color w:val="000000" w:themeColor="text1"/>
        </w:rPr>
        <w:t>各项</w:t>
      </w:r>
      <w:r w:rsidRPr="00CB4B9E">
        <w:rPr>
          <w:rFonts w:ascii="黑体" w:eastAsia="黑体" w:hAnsi="宋体" w:hint="eastAsia"/>
          <w:color w:val="000000" w:themeColor="text1"/>
          <w:szCs w:val="21"/>
        </w:rPr>
        <w:t>。</w:t>
      </w:r>
    </w:p>
    <w:p w:rsidR="00717383" w:rsidRPr="009263D7" w:rsidRDefault="00CB4B9E" w:rsidP="00717383">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H0215.上月末市值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指上月末居民所托管工具的价值。应优先使用公开市场期末收盘价计算。如无市场价值，则按照惯例填报公允价值。如为存贷款或应收应付款，则为上月末账面余额。</w:t>
      </w:r>
    </w:p>
    <w:p w:rsidR="00A848CA" w:rsidRPr="009263D7" w:rsidRDefault="00CB4B9E" w:rsidP="00A848CA">
      <w:pPr>
        <w:spacing w:line="360" w:lineRule="auto"/>
        <w:ind w:firstLineChars="200" w:firstLine="420"/>
        <w:jc w:val="left"/>
        <w:rPr>
          <w:rFonts w:ascii="宋体" w:hAnsi="宋体" w:cs="宋体"/>
          <w:color w:val="000000" w:themeColor="text1"/>
          <w:kern w:val="0"/>
          <w:sz w:val="18"/>
          <w:szCs w:val="18"/>
        </w:rPr>
      </w:pPr>
      <w:r w:rsidRPr="00CB4B9E">
        <w:rPr>
          <w:rFonts w:ascii="黑体" w:eastAsia="黑体" w:hAnsi="宋体"/>
          <w:color w:val="000000" w:themeColor="text1"/>
          <w:szCs w:val="21"/>
        </w:rPr>
        <w:t>H0216.</w:t>
      </w:r>
      <w:r w:rsidRPr="00CB4B9E">
        <w:rPr>
          <w:rFonts w:ascii="黑体" w:eastAsia="黑体" w:hAnsi="宋体" w:hint="eastAsia"/>
          <w:color w:val="000000" w:themeColor="text1"/>
          <w:szCs w:val="21"/>
        </w:rPr>
        <w:t>本月买入</w:t>
      </w:r>
      <w:r w:rsidRPr="00CB4B9E">
        <w:rPr>
          <w:rFonts w:ascii="黑体" w:eastAsia="黑体" w:hAnsi="宋体"/>
          <w:color w:val="000000" w:themeColor="text1"/>
          <w:szCs w:val="21"/>
        </w:rPr>
        <w:t>/申购/（现金）结算付款额：</w:t>
      </w:r>
      <w:r w:rsidRPr="00CB4B9E">
        <w:rPr>
          <w:rFonts w:ascii="宋体" w:hAnsi="宋体" w:hint="eastAsia"/>
          <w:color w:val="000000" w:themeColor="text1"/>
          <w:szCs w:val="21"/>
        </w:rPr>
        <w:t>指本月内，居民所托管工具买入、申购以及支付衍生产品期权费或结算衍生产品支付的金额。</w:t>
      </w:r>
      <w:r w:rsidRPr="00CB4B9E">
        <w:rPr>
          <w:rFonts w:hint="eastAsia"/>
          <w:color w:val="000000" w:themeColor="text1"/>
        </w:rPr>
        <w:t>不包括相关股票发行机构因股票分割而产生的新的股票数量。与发行新股票获得新融资不同，股票分割不发生新的融资，不应记录为交易。如为存贷款或应收应付类产品，本月如为净增加，则填报在该项下，否则，填报在</w:t>
      </w:r>
      <w:r w:rsidRPr="00CB4B9E">
        <w:rPr>
          <w:color w:val="000000" w:themeColor="text1"/>
        </w:rPr>
        <w:t>H0217</w:t>
      </w:r>
      <w:r w:rsidRPr="00CB4B9E">
        <w:rPr>
          <w:rFonts w:hint="eastAsia"/>
          <w:color w:val="000000" w:themeColor="text1"/>
        </w:rPr>
        <w:t>下。</w:t>
      </w:r>
    </w:p>
    <w:p w:rsidR="00A848CA" w:rsidRPr="009263D7" w:rsidRDefault="00CB4B9E" w:rsidP="00A848CA">
      <w:pPr>
        <w:spacing w:line="360" w:lineRule="auto"/>
        <w:ind w:firstLineChars="200" w:firstLine="420"/>
        <w:jc w:val="left"/>
        <w:rPr>
          <w:color w:val="000000" w:themeColor="text1"/>
        </w:rPr>
      </w:pPr>
      <w:r w:rsidRPr="00CB4B9E">
        <w:rPr>
          <w:rFonts w:ascii="黑体" w:eastAsia="黑体" w:hAnsi="宋体"/>
          <w:color w:val="000000" w:themeColor="text1"/>
          <w:szCs w:val="21"/>
        </w:rPr>
        <w:t>H0217.</w:t>
      </w:r>
      <w:r w:rsidRPr="00CB4B9E">
        <w:rPr>
          <w:rFonts w:ascii="宋体" w:hAnsi="宋体" w:cs="宋体"/>
          <w:color w:val="000000" w:themeColor="text1"/>
          <w:kern w:val="0"/>
          <w:sz w:val="18"/>
          <w:szCs w:val="18"/>
        </w:rPr>
        <w:t xml:space="preserve"> </w:t>
      </w:r>
      <w:r w:rsidRPr="00CB4B9E">
        <w:rPr>
          <w:rFonts w:ascii="黑体" w:eastAsia="黑体" w:hAnsi="宋体" w:hint="eastAsia"/>
          <w:color w:val="000000" w:themeColor="text1"/>
          <w:szCs w:val="21"/>
        </w:rPr>
        <w:t>本月卖出</w:t>
      </w:r>
      <w:r w:rsidRPr="00CB4B9E">
        <w:rPr>
          <w:rFonts w:ascii="黑体" w:eastAsia="黑体" w:hAnsi="宋体"/>
          <w:color w:val="000000" w:themeColor="text1"/>
          <w:szCs w:val="21"/>
        </w:rPr>
        <w:t>/赎回/（现金）结算收款额：</w:t>
      </w:r>
      <w:r w:rsidRPr="00CB4B9E">
        <w:rPr>
          <w:rFonts w:ascii="宋体" w:hAnsi="宋体" w:hint="eastAsia"/>
          <w:color w:val="000000" w:themeColor="text1"/>
          <w:szCs w:val="21"/>
        </w:rPr>
        <w:t>指本月内，居民所托管工具赎回或收到衍生产品期权费或结算衍生产品获得的相关结算额。对于</w:t>
      </w:r>
      <w:r w:rsidRPr="00CB4B9E">
        <w:rPr>
          <w:rFonts w:hint="eastAsia"/>
          <w:color w:val="000000" w:themeColor="text1"/>
        </w:rPr>
        <w:t>存贷款或应收应付类工具，本月如为净减少，则填报在该项下，否则，填报在</w:t>
      </w:r>
      <w:r w:rsidRPr="00CB4B9E">
        <w:rPr>
          <w:color w:val="000000" w:themeColor="text1"/>
        </w:rPr>
        <w:t>H0216</w:t>
      </w:r>
      <w:r w:rsidRPr="00CB4B9E">
        <w:rPr>
          <w:rFonts w:hint="eastAsia"/>
          <w:color w:val="000000" w:themeColor="text1"/>
        </w:rPr>
        <w:t>下。</w:t>
      </w:r>
    </w:p>
    <w:p w:rsidR="00717383" w:rsidRPr="009263D7" w:rsidRDefault="00CB4B9E" w:rsidP="00717383">
      <w:pPr>
        <w:spacing w:line="360" w:lineRule="auto"/>
        <w:ind w:firstLineChars="200" w:firstLine="420"/>
        <w:jc w:val="left"/>
        <w:rPr>
          <w:color w:val="000000" w:themeColor="text1"/>
        </w:rPr>
      </w:pPr>
      <w:r w:rsidRPr="00CB4B9E">
        <w:rPr>
          <w:rFonts w:ascii="黑体" w:eastAsia="黑体" w:hAnsi="宋体"/>
          <w:color w:val="000000" w:themeColor="text1"/>
          <w:szCs w:val="21"/>
        </w:rPr>
        <w:t>H0218.本月</w:t>
      </w:r>
      <w:r w:rsidRPr="00CB4B9E">
        <w:rPr>
          <w:rFonts w:ascii="黑体" w:eastAsia="黑体" w:hAnsi="宋体" w:hint="eastAsia"/>
          <w:color w:val="000000" w:themeColor="text1"/>
          <w:szCs w:val="21"/>
        </w:rPr>
        <w:t>非交易变动</w:t>
      </w:r>
      <w:r w:rsidRPr="00CB4B9E">
        <w:rPr>
          <w:rFonts w:ascii="黑体" w:eastAsia="黑体" w:hAnsi="宋体" w:hint="eastAsia"/>
          <w:color w:val="000000" w:themeColor="text1"/>
        </w:rPr>
        <w:t>：</w:t>
      </w:r>
      <w:r w:rsidRPr="00CB4B9E">
        <w:rPr>
          <w:rFonts w:hint="eastAsia"/>
          <w:color w:val="000000" w:themeColor="text1"/>
        </w:rPr>
        <w:t>反映统计期间居民所托管工具交易净值变化以外的非交易因素引起的变动。计算方法为：</w:t>
      </w:r>
      <w:r w:rsidRPr="00CB4B9E">
        <w:rPr>
          <w:color w:val="000000" w:themeColor="text1"/>
        </w:rPr>
        <w:t>H0218=H0221-H0215-</w:t>
      </w:r>
      <w:r w:rsidRPr="00CB4B9E">
        <w:rPr>
          <w:rFonts w:hint="eastAsia"/>
          <w:color w:val="000000" w:themeColor="text1"/>
        </w:rPr>
        <w:t>（</w:t>
      </w:r>
      <w:r w:rsidRPr="00CB4B9E">
        <w:rPr>
          <w:color w:val="000000" w:themeColor="text1"/>
        </w:rPr>
        <w:t>H0216-H0217</w:t>
      </w:r>
      <w:r w:rsidRPr="00CB4B9E">
        <w:rPr>
          <w:rFonts w:hint="eastAsia"/>
          <w:color w:val="000000" w:themeColor="text1"/>
        </w:rPr>
        <w:t>）。</w:t>
      </w:r>
    </w:p>
    <w:p w:rsidR="00717383" w:rsidRPr="009263D7" w:rsidRDefault="00CB4B9E" w:rsidP="00717383">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 xml:space="preserve">H0219. </w:t>
      </w:r>
      <w:r w:rsidRPr="00CB4B9E">
        <w:rPr>
          <w:rFonts w:ascii="黑体" w:eastAsia="黑体" w:hAnsi="宋体" w:hint="eastAsia"/>
          <w:color w:val="000000" w:themeColor="text1"/>
          <w:szCs w:val="21"/>
        </w:rPr>
        <w:t>注销或重新分类至其他项目统计的金额</w:t>
      </w:r>
      <w:r w:rsidRPr="00CB4B9E">
        <w:rPr>
          <w:rFonts w:ascii="黑体" w:eastAsia="黑体" w:hAnsi="宋体" w:hint="eastAsia"/>
          <w:color w:val="000000" w:themeColor="text1"/>
        </w:rPr>
        <w:t>：</w:t>
      </w:r>
      <w:r w:rsidRPr="00CB4B9E">
        <w:rPr>
          <w:rFonts w:hint="eastAsia"/>
          <w:color w:val="000000" w:themeColor="text1"/>
        </w:rPr>
        <w:t>指非交易因素引起的相关工具资产数量增减和价</w:t>
      </w:r>
      <w:r w:rsidRPr="00CB4B9E">
        <w:rPr>
          <w:rFonts w:hint="eastAsia"/>
          <w:color w:val="000000" w:themeColor="text1"/>
        </w:rPr>
        <w:lastRenderedPageBreak/>
        <w:t>值变动。包括但不限于本月因居民委托人注销或重新分类相关投资（如，从债务证券重新划分为股权投资，反之亦然）所引起的资产价值变动。该项目与</w:t>
      </w:r>
      <w:r w:rsidRPr="00CB4B9E">
        <w:rPr>
          <w:color w:val="000000" w:themeColor="text1"/>
        </w:rPr>
        <w:t>H0218</w:t>
      </w:r>
      <w:r w:rsidRPr="00CB4B9E">
        <w:rPr>
          <w:rFonts w:hint="eastAsia"/>
          <w:color w:val="000000" w:themeColor="text1"/>
        </w:rPr>
        <w:t>和</w:t>
      </w:r>
      <w:r w:rsidRPr="00CB4B9E">
        <w:rPr>
          <w:color w:val="000000" w:themeColor="text1"/>
        </w:rPr>
        <w:t>H0220</w:t>
      </w:r>
      <w:r w:rsidRPr="00CB4B9E">
        <w:rPr>
          <w:rFonts w:hint="eastAsia"/>
          <w:color w:val="000000" w:themeColor="text1"/>
        </w:rPr>
        <w:t>项目的关系为：</w:t>
      </w:r>
      <w:r w:rsidRPr="00CB4B9E">
        <w:rPr>
          <w:color w:val="000000" w:themeColor="text1"/>
        </w:rPr>
        <w:t>H0218=H0219+H0220</w:t>
      </w:r>
      <w:r w:rsidRPr="00CB4B9E">
        <w:rPr>
          <w:rFonts w:hint="eastAsia"/>
          <w:color w:val="000000" w:themeColor="text1"/>
        </w:rPr>
        <w:t>。</w:t>
      </w:r>
    </w:p>
    <w:p w:rsidR="00717383" w:rsidRPr="009263D7" w:rsidRDefault="00CB4B9E" w:rsidP="00717383">
      <w:pPr>
        <w:spacing w:line="360" w:lineRule="auto"/>
        <w:ind w:firstLineChars="200" w:firstLine="420"/>
        <w:jc w:val="left"/>
        <w:rPr>
          <w:color w:val="000000" w:themeColor="text1"/>
        </w:rPr>
      </w:pPr>
      <w:r w:rsidRPr="00CB4B9E">
        <w:rPr>
          <w:rFonts w:ascii="黑体" w:eastAsia="黑体" w:hAnsi="宋体"/>
          <w:color w:val="000000" w:themeColor="text1"/>
          <w:szCs w:val="21"/>
        </w:rPr>
        <w:t>H0220.</w:t>
      </w:r>
      <w:r w:rsidRPr="00CB4B9E">
        <w:rPr>
          <w:color w:val="000000" w:themeColor="text1"/>
        </w:rPr>
        <w:t xml:space="preserve"> </w:t>
      </w:r>
      <w:r w:rsidRPr="00CB4B9E">
        <w:rPr>
          <w:rFonts w:ascii="黑体" w:eastAsia="黑体" w:hAnsi="宋体" w:hint="eastAsia"/>
          <w:color w:val="000000" w:themeColor="text1"/>
          <w:szCs w:val="21"/>
        </w:rPr>
        <w:t>价值重估因素</w:t>
      </w:r>
      <w:r w:rsidRPr="00CB4B9E">
        <w:rPr>
          <w:rFonts w:ascii="黑体" w:eastAsia="黑体" w:hAnsi="宋体" w:hint="eastAsia"/>
          <w:color w:val="000000" w:themeColor="text1"/>
        </w:rPr>
        <w:t>：</w:t>
      </w:r>
      <w:r w:rsidRPr="00CB4B9E">
        <w:rPr>
          <w:rFonts w:hint="eastAsia"/>
          <w:color w:val="000000" w:themeColor="text1"/>
        </w:rPr>
        <w:t>指当期市场价格或近似参考价格变动引起的价值变化（重估损益）。该项目与</w:t>
      </w:r>
      <w:r w:rsidRPr="00CB4B9E">
        <w:rPr>
          <w:color w:val="000000" w:themeColor="text1"/>
        </w:rPr>
        <w:t>H0218</w:t>
      </w:r>
      <w:r w:rsidRPr="00CB4B9E">
        <w:rPr>
          <w:rFonts w:hint="eastAsia"/>
          <w:color w:val="000000" w:themeColor="text1"/>
        </w:rPr>
        <w:t>和</w:t>
      </w:r>
      <w:r w:rsidRPr="00CB4B9E">
        <w:rPr>
          <w:color w:val="000000" w:themeColor="text1"/>
        </w:rPr>
        <w:t>H0219</w:t>
      </w:r>
      <w:r w:rsidRPr="00CB4B9E">
        <w:rPr>
          <w:rFonts w:hint="eastAsia"/>
          <w:color w:val="000000" w:themeColor="text1"/>
        </w:rPr>
        <w:t>项目的关系为：</w:t>
      </w:r>
      <w:r w:rsidRPr="00CB4B9E">
        <w:rPr>
          <w:color w:val="000000" w:themeColor="text1"/>
        </w:rPr>
        <w:t>H0218=H0219+H0220</w:t>
      </w:r>
      <w:r w:rsidRPr="00CB4B9E">
        <w:rPr>
          <w:rFonts w:hint="eastAsia"/>
          <w:color w:val="000000" w:themeColor="text1"/>
        </w:rPr>
        <w:t>。</w:t>
      </w:r>
    </w:p>
    <w:p w:rsidR="00071E49" w:rsidRPr="009263D7" w:rsidRDefault="00CB4B9E" w:rsidP="0048587F">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H0221.本月末市值</w:t>
      </w:r>
      <w:r w:rsidRPr="00CB4B9E">
        <w:rPr>
          <w:rFonts w:ascii="黑体" w:eastAsia="黑体" w:hAnsi="宋体" w:hint="eastAsia"/>
          <w:color w:val="000000" w:themeColor="text1"/>
        </w:rPr>
        <w:t>：</w:t>
      </w:r>
      <w:r w:rsidRPr="00CB4B9E">
        <w:rPr>
          <w:rFonts w:ascii="宋体" w:hAnsi="宋体" w:hint="eastAsia"/>
          <w:color w:val="000000" w:themeColor="text1"/>
          <w:szCs w:val="21"/>
        </w:rPr>
        <w:t>指本月末居民所托管工具的价值。应优先使用公开市场期末收盘价计算。如无市场价值，则按照惯例填报公允价值。如为存贷款或应收应付款，则为本月末账面余额。</w:t>
      </w:r>
    </w:p>
    <w:p w:rsidR="00587F15" w:rsidRPr="009263D7" w:rsidRDefault="00CB4B9E" w:rsidP="0048587F">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H0222.其中：剩余期限在一年及以下</w:t>
      </w:r>
      <w:r w:rsidRPr="00CB4B9E">
        <w:rPr>
          <w:rFonts w:ascii="黑体" w:eastAsia="黑体" w:hAnsi="宋体" w:hint="eastAsia"/>
          <w:color w:val="000000" w:themeColor="text1"/>
        </w:rPr>
        <w:t>：</w:t>
      </w:r>
      <w:r w:rsidRPr="00CB4B9E">
        <w:rPr>
          <w:rFonts w:ascii="宋体" w:hAnsi="宋体" w:hint="eastAsia"/>
          <w:color w:val="000000" w:themeColor="text1"/>
          <w:szCs w:val="21"/>
        </w:rPr>
        <w:t>仅适用于</w:t>
      </w:r>
      <w:r w:rsidRPr="00CB4B9E">
        <w:rPr>
          <w:rFonts w:ascii="宋体" w:hAnsi="宋体"/>
          <w:color w:val="000000" w:themeColor="text1"/>
          <w:szCs w:val="21"/>
        </w:rPr>
        <w:t>H0204下⑥-⑨类工具。指自本月末至最终到期</w:t>
      </w:r>
      <w:r w:rsidRPr="00CB4B9E">
        <w:rPr>
          <w:rFonts w:ascii="宋体" w:hAnsi="宋体" w:hint="eastAsia"/>
          <w:color w:val="000000" w:themeColor="text1"/>
          <w:szCs w:val="21"/>
        </w:rPr>
        <w:t>期限在一年及以下的债务类工具的价值（按所持证券的原始币种）。应优先使用公开市场期末市场价值，如无市场价值，则按照填报机构的记账惯例填报公允价值。如为存贷款或应收应付款，则为本月末账面余额。</w:t>
      </w:r>
    </w:p>
    <w:p w:rsidR="00717383" w:rsidRPr="009263D7" w:rsidRDefault="00CB4B9E" w:rsidP="00717383">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H0223.本月红利或利息</w:t>
      </w:r>
      <w:r w:rsidRPr="00CB4B9E">
        <w:rPr>
          <w:rFonts w:ascii="黑体" w:eastAsia="黑体" w:hAnsi="宋体" w:hint="eastAsia"/>
          <w:color w:val="000000" w:themeColor="text1"/>
          <w:szCs w:val="21"/>
        </w:rPr>
        <w:t>收入</w:t>
      </w:r>
      <w:r w:rsidRPr="00CB4B9E">
        <w:rPr>
          <w:rFonts w:ascii="黑体" w:eastAsia="黑体" w:hAnsi="宋体" w:hint="eastAsia"/>
          <w:color w:val="000000" w:themeColor="text1"/>
        </w:rPr>
        <w:t>：</w:t>
      </w:r>
      <w:r w:rsidRPr="00CB4B9E">
        <w:rPr>
          <w:rFonts w:ascii="宋体" w:hAnsi="宋体" w:hint="eastAsia"/>
          <w:color w:val="000000" w:themeColor="text1"/>
          <w:szCs w:val="21"/>
        </w:rPr>
        <w:t>指按照权责发生制原则，本月居民所托管的股本证券、投资基金份额、债券或债务类产品确认的红利、股息或利息收入。对于股票股息，按照除息日当天每股收盘价格乘以股票股息份数填报。</w:t>
      </w:r>
    </w:p>
    <w:p w:rsidR="000217B2" w:rsidRPr="009263D7" w:rsidRDefault="00CB4B9E" w:rsidP="000217B2">
      <w:pPr>
        <w:tabs>
          <w:tab w:val="left" w:pos="2271"/>
        </w:tabs>
        <w:spacing w:line="360" w:lineRule="auto"/>
        <w:ind w:firstLineChars="200" w:firstLine="420"/>
        <w:rPr>
          <w:rFonts w:ascii="黑体" w:eastAsia="黑体"/>
          <w:color w:val="000000" w:themeColor="text1"/>
        </w:rPr>
      </w:pPr>
      <w:r w:rsidRPr="00CB4B9E">
        <w:rPr>
          <w:rFonts w:ascii="黑体" w:eastAsia="黑体"/>
          <w:color w:val="000000" w:themeColor="text1"/>
        </w:rPr>
        <w:t>H0224</w:t>
      </w:r>
      <w:r w:rsidRPr="00CB4B9E">
        <w:rPr>
          <w:rFonts w:ascii="黑体" w:eastAsia="黑体" w:hint="eastAsia"/>
          <w:color w:val="000000" w:themeColor="text1"/>
        </w:rPr>
        <w:t>.金融衍生产品的名义本金币种：</w:t>
      </w:r>
      <w:r w:rsidRPr="00CB4B9E">
        <w:rPr>
          <w:rFonts w:hint="eastAsia"/>
          <w:color w:val="000000" w:themeColor="text1"/>
        </w:rPr>
        <w:t>指本月末仍存续的金融衍生品名义本金的计价币种。如涉及双币种，请选取基础币种或按本机构惯例填报。</w:t>
      </w:r>
    </w:p>
    <w:p w:rsidR="000217B2" w:rsidRPr="009263D7" w:rsidRDefault="00CB4B9E" w:rsidP="000217B2">
      <w:pPr>
        <w:spacing w:line="360" w:lineRule="auto"/>
        <w:ind w:firstLineChars="200" w:firstLine="420"/>
        <w:jc w:val="left"/>
        <w:rPr>
          <w:rFonts w:ascii="黑体" w:eastAsia="黑体" w:hAnsi="宋体"/>
          <w:color w:val="000000" w:themeColor="text1"/>
          <w:szCs w:val="21"/>
        </w:rPr>
      </w:pPr>
      <w:r w:rsidRPr="00CB4B9E">
        <w:rPr>
          <w:rFonts w:ascii="黑体" w:eastAsia="黑体"/>
          <w:color w:val="000000" w:themeColor="text1"/>
        </w:rPr>
        <w:t>H0225</w:t>
      </w:r>
      <w:r w:rsidRPr="00CB4B9E">
        <w:rPr>
          <w:rFonts w:ascii="黑体" w:eastAsia="黑体" w:hint="eastAsia"/>
          <w:color w:val="000000" w:themeColor="text1"/>
        </w:rPr>
        <w:t>.金融衍生产品的本月末名义本金金额：</w:t>
      </w:r>
      <w:r w:rsidRPr="00CB4B9E">
        <w:rPr>
          <w:rFonts w:hint="eastAsia"/>
          <w:color w:val="000000" w:themeColor="text1"/>
        </w:rPr>
        <w:t>指本月末仍存续的金融衍生品合约的名义本金价值。对于本金价值可变的合约，填报本月末合约本金。</w:t>
      </w:r>
    </w:p>
    <w:p w:rsidR="0071378E" w:rsidRPr="009263D7" w:rsidRDefault="00CB4B9E" w:rsidP="0071378E">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（十）</w:t>
      </w:r>
      <w:r w:rsidRPr="00CB4B9E">
        <w:rPr>
          <w:rFonts w:ascii="黑体" w:eastAsia="黑体" w:hAnsi="宋体" w:hint="eastAsia"/>
          <w:b/>
          <w:color w:val="000000" w:themeColor="text1"/>
          <w:kern w:val="0"/>
          <w:sz w:val="24"/>
        </w:rPr>
        <w:t>涉外保险业务</w:t>
      </w:r>
    </w:p>
    <w:p w:rsidR="0071378E" w:rsidRPr="009263D7" w:rsidRDefault="00CB4B9E" w:rsidP="0071378E">
      <w:pPr>
        <w:spacing w:line="360" w:lineRule="auto"/>
        <w:ind w:rightChars="154" w:right="323" w:firstLineChars="200" w:firstLine="480"/>
        <w:rPr>
          <w:rFonts w:ascii="黑体" w:eastAsia="黑体"/>
          <w:color w:val="000000" w:themeColor="text1"/>
          <w:sz w:val="24"/>
        </w:rPr>
      </w:pPr>
      <w:r w:rsidRPr="00CB4B9E">
        <w:rPr>
          <w:rFonts w:ascii="黑体" w:eastAsia="黑体" w:hAnsi="宋体"/>
          <w:color w:val="000000" w:themeColor="text1"/>
          <w:kern w:val="0"/>
          <w:sz w:val="24"/>
        </w:rPr>
        <w:t>I01表：为非居民提供直接保险服务</w:t>
      </w:r>
    </w:p>
    <w:p w:rsidR="0071378E" w:rsidRPr="009263D7" w:rsidRDefault="00CB4B9E" w:rsidP="0071378E">
      <w:pPr>
        <w:spacing w:line="360" w:lineRule="auto"/>
        <w:ind w:firstLineChars="200" w:firstLine="420"/>
        <w:rPr>
          <w:color w:val="000000" w:themeColor="text1"/>
        </w:rPr>
      </w:pPr>
      <w:r w:rsidRPr="00CB4B9E">
        <w:rPr>
          <w:rFonts w:ascii="黑体" w:eastAsia="黑体" w:hint="eastAsia"/>
          <w:color w:val="000000" w:themeColor="text1"/>
        </w:rPr>
        <w:t>1．统计内容：</w:t>
      </w:r>
      <w:r w:rsidRPr="00CB4B9E">
        <w:rPr>
          <w:rFonts w:hint="eastAsia"/>
          <w:color w:val="000000" w:themeColor="text1"/>
        </w:rPr>
        <w:t>境内保险公司向非居民提供直接保险而收取的寿险与非寿险保费，以及支付的索赔、归属于非居民保单持有人的红利及相关的保险准备金。</w:t>
      </w:r>
    </w:p>
    <w:tbl>
      <w:tblPr>
        <w:tblW w:w="9440" w:type="dxa"/>
        <w:tblInd w:w="97" w:type="dxa"/>
        <w:tblLook w:val="04A0"/>
      </w:tblPr>
      <w:tblGrid>
        <w:gridCol w:w="4840"/>
        <w:gridCol w:w="4600"/>
      </w:tblGrid>
      <w:tr w:rsidR="0071378E"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71378E" w:rsidRPr="009263D7" w:rsidRDefault="00CB4B9E" w:rsidP="00A63760">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包</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括</w:t>
            </w:r>
          </w:p>
        </w:tc>
        <w:tc>
          <w:tcPr>
            <w:tcW w:w="4600" w:type="dxa"/>
            <w:tcBorders>
              <w:top w:val="single" w:sz="8" w:space="0" w:color="auto"/>
              <w:left w:val="nil"/>
              <w:bottom w:val="single" w:sz="4" w:space="0" w:color="auto"/>
              <w:right w:val="nil"/>
            </w:tcBorders>
            <w:shd w:val="clear" w:color="auto" w:fill="auto"/>
            <w:noWrap/>
            <w:vAlign w:val="center"/>
          </w:tcPr>
          <w:p w:rsidR="0071378E" w:rsidRPr="009263D7" w:rsidRDefault="00CB4B9E" w:rsidP="00A63760">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不</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包</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括</w:t>
            </w:r>
          </w:p>
        </w:tc>
      </w:tr>
      <w:tr w:rsidR="0071378E" w:rsidRPr="009263D7">
        <w:trPr>
          <w:trHeight w:val="285"/>
        </w:trPr>
        <w:tc>
          <w:tcPr>
            <w:tcW w:w="4840" w:type="dxa"/>
            <w:tcBorders>
              <w:top w:val="nil"/>
              <w:left w:val="nil"/>
              <w:bottom w:val="single" w:sz="4" w:space="0" w:color="auto"/>
              <w:right w:val="single" w:sz="4" w:space="0" w:color="auto"/>
            </w:tcBorders>
            <w:shd w:val="clear" w:color="auto" w:fill="auto"/>
            <w:vAlign w:val="center"/>
          </w:tcPr>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1.境内保险机构向非居民提供的直接保险，包括非人寿保险、人寿保险和年金。</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直接保险是指保险公司与公众之间的保险。</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非人寿保险类型包括意外险和健康险；定期人寿保险；海险；航空保险和其他交通险；火灾保险和其他财产损害保险；金钱损失保险；一般责任保险，以及信用保险。</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人寿保险是指投保人分期支付一系列款项，保单到期后可领取一次性付清款项。年金则相反，保单生效时一次性收取款项后，保险人分期支付一系列款项。</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非人寿保险与人寿保险和年金的区别在于：非人寿保险只在发生投保事件时支付索赔，非人寿保险的主要目的在于风险共担。而人寿保险和年金的目的在于投资。</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hint="eastAsia"/>
                <w:b/>
                <w:color w:val="000000" w:themeColor="text1"/>
                <w:kern w:val="0"/>
                <w:sz w:val="18"/>
                <w:szCs w:val="18"/>
              </w:rPr>
              <w:lastRenderedPageBreak/>
              <w:t>说明：</w:t>
            </w:r>
            <w:r w:rsidRPr="00CB4B9E">
              <w:rPr>
                <w:rFonts w:ascii="宋体" w:hAnsi="宋体" w:cs="宋体" w:hint="eastAsia"/>
                <w:color w:val="000000" w:themeColor="text1"/>
                <w:kern w:val="0"/>
                <w:sz w:val="18"/>
                <w:szCs w:val="18"/>
              </w:rPr>
              <w:t>再保险分出业务应独立核算。再保险分出人不应当将再保险合同形成的资产与有关原保险合同形成的负债相互抵销，不应当将再保险合同形成的收入与费用与有关原保险合同形成的费用或收入相互抵销。</w:t>
            </w:r>
          </w:p>
        </w:tc>
        <w:tc>
          <w:tcPr>
            <w:tcW w:w="4600" w:type="dxa"/>
            <w:tcBorders>
              <w:top w:val="nil"/>
              <w:left w:val="nil"/>
              <w:bottom w:val="single" w:sz="4" w:space="0" w:color="auto"/>
              <w:right w:val="nil"/>
            </w:tcBorders>
            <w:shd w:val="clear" w:color="auto" w:fill="auto"/>
            <w:vAlign w:val="center"/>
          </w:tcPr>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lastRenderedPageBreak/>
              <w:t xml:space="preserve">1. </w:t>
            </w:r>
            <w:r w:rsidRPr="00CB4B9E">
              <w:rPr>
                <w:rFonts w:ascii="宋体" w:hAnsi="宋体" w:cs="宋体" w:hint="eastAsia"/>
                <w:color w:val="000000" w:themeColor="text1"/>
                <w:kern w:val="0"/>
                <w:sz w:val="18"/>
                <w:szCs w:val="18"/>
              </w:rPr>
              <w:t>境内保险机构向非居民保险公司提供的再保险。</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2. </w:t>
            </w:r>
            <w:r w:rsidRPr="00CB4B9E">
              <w:rPr>
                <w:rFonts w:ascii="宋体" w:hAnsi="宋体" w:cs="宋体" w:hint="eastAsia"/>
                <w:color w:val="000000" w:themeColor="text1"/>
                <w:kern w:val="0"/>
                <w:sz w:val="18"/>
                <w:szCs w:val="18"/>
              </w:rPr>
              <w:t>境内保险机构向居民提供的保险。</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3. </w:t>
            </w:r>
            <w:r w:rsidRPr="00CB4B9E">
              <w:rPr>
                <w:rFonts w:ascii="宋体" w:hAnsi="宋体" w:cs="宋体" w:hint="eastAsia"/>
                <w:color w:val="000000" w:themeColor="text1"/>
                <w:kern w:val="0"/>
                <w:sz w:val="18"/>
                <w:szCs w:val="18"/>
              </w:rPr>
              <w:t>与直接保险密切相关的关的</w:t>
            </w:r>
            <w:r w:rsidR="00D9568B">
              <w:rPr>
                <w:rFonts w:ascii="宋体" w:hAnsi="宋体" w:cs="宋体" w:hint="eastAsia"/>
                <w:color w:val="000000" w:themeColor="text1"/>
                <w:kern w:val="0"/>
                <w:sz w:val="18"/>
                <w:szCs w:val="18"/>
              </w:rPr>
              <w:t>辅助</w:t>
            </w:r>
            <w:r w:rsidRPr="00CB4B9E">
              <w:rPr>
                <w:rFonts w:ascii="宋体" w:hAnsi="宋体" w:cs="宋体" w:hint="eastAsia"/>
                <w:color w:val="000000" w:themeColor="text1"/>
                <w:kern w:val="0"/>
                <w:sz w:val="18"/>
                <w:szCs w:val="18"/>
              </w:rPr>
              <w:t>服务提供记入</w:t>
            </w:r>
            <w:r w:rsidRPr="00CB4B9E">
              <w:rPr>
                <w:rFonts w:ascii="宋体" w:hAnsi="宋体" w:cs="宋体"/>
                <w:color w:val="000000" w:themeColor="text1"/>
                <w:kern w:val="0"/>
                <w:sz w:val="18"/>
                <w:szCs w:val="18"/>
              </w:rPr>
              <w:t>E表，如代理商佣金、保险经纪和代理服务、保险和养老金咨询服务、评估和损益调整服务、保险精算服务、救助管理服务以及对于赔偿和追偿服务的监管和监控服务等。</w:t>
            </w:r>
          </w:p>
        </w:tc>
      </w:tr>
      <w:tr w:rsidR="0071378E" w:rsidRPr="009263D7">
        <w:trPr>
          <w:trHeight w:val="285"/>
        </w:trPr>
        <w:tc>
          <w:tcPr>
            <w:tcW w:w="4840" w:type="dxa"/>
            <w:tcBorders>
              <w:top w:val="nil"/>
              <w:left w:val="nil"/>
              <w:bottom w:val="single" w:sz="4" w:space="0" w:color="auto"/>
              <w:right w:val="single" w:sz="4" w:space="0" w:color="auto"/>
            </w:tcBorders>
            <w:shd w:val="clear" w:color="auto" w:fill="auto"/>
            <w:vAlign w:val="center"/>
          </w:tcPr>
          <w:p w:rsidR="0071378E" w:rsidRPr="009263D7" w:rsidRDefault="0071378E" w:rsidP="00A63760">
            <w:pPr>
              <w:widowControl/>
              <w:jc w:val="left"/>
              <w:rPr>
                <w:rFonts w:ascii="宋体" w:hAnsi="宋体" w:cs="宋体"/>
                <w:color w:val="000000" w:themeColor="text1"/>
                <w:kern w:val="0"/>
                <w:sz w:val="18"/>
                <w:szCs w:val="18"/>
              </w:rPr>
            </w:pPr>
          </w:p>
        </w:tc>
        <w:tc>
          <w:tcPr>
            <w:tcW w:w="4600" w:type="dxa"/>
            <w:tcBorders>
              <w:top w:val="nil"/>
              <w:left w:val="nil"/>
              <w:bottom w:val="single" w:sz="4" w:space="0" w:color="auto"/>
              <w:right w:val="nil"/>
            </w:tcBorders>
            <w:shd w:val="clear" w:color="auto" w:fill="auto"/>
            <w:vAlign w:val="center"/>
          </w:tcPr>
          <w:p w:rsidR="0071378E" w:rsidRPr="009263D7" w:rsidRDefault="0071378E" w:rsidP="00A63760">
            <w:pPr>
              <w:widowControl/>
              <w:jc w:val="left"/>
              <w:rPr>
                <w:rFonts w:ascii="宋体" w:hAnsi="宋体" w:cs="宋体"/>
                <w:color w:val="000000" w:themeColor="text1"/>
                <w:kern w:val="0"/>
                <w:sz w:val="18"/>
                <w:szCs w:val="18"/>
              </w:rPr>
            </w:pPr>
          </w:p>
        </w:tc>
      </w:tr>
    </w:tbl>
    <w:p w:rsidR="0071378E" w:rsidRPr="009263D7" w:rsidRDefault="0071378E" w:rsidP="0071378E">
      <w:pPr>
        <w:spacing w:line="360" w:lineRule="auto"/>
        <w:jc w:val="left"/>
        <w:rPr>
          <w:rFonts w:ascii="黑体" w:eastAsia="黑体"/>
          <w:color w:val="000000" w:themeColor="text1"/>
        </w:rPr>
      </w:pPr>
    </w:p>
    <w:p w:rsidR="0071378E" w:rsidRPr="009263D7" w:rsidRDefault="00CB4B9E" w:rsidP="0071378E">
      <w:pPr>
        <w:spacing w:line="360" w:lineRule="auto"/>
        <w:ind w:firstLineChars="200" w:firstLine="420"/>
        <w:rPr>
          <w:rFonts w:ascii="黑体" w:eastAsia="黑体"/>
          <w:color w:val="000000" w:themeColor="text1"/>
        </w:rPr>
      </w:pPr>
      <w:r w:rsidRPr="00CB4B9E">
        <w:rPr>
          <w:rFonts w:ascii="黑体" w:eastAsia="黑体"/>
          <w:color w:val="000000" w:themeColor="text1"/>
        </w:rPr>
        <w:t xml:space="preserve">2. </w:t>
      </w:r>
      <w:r w:rsidRPr="00CB4B9E">
        <w:rPr>
          <w:rFonts w:ascii="黑体" w:eastAsia="黑体" w:hint="eastAsia"/>
          <w:color w:val="000000" w:themeColor="text1"/>
        </w:rPr>
        <w:t>相关报表说明：</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int="eastAsia"/>
          <w:color w:val="000000" w:themeColor="text1"/>
        </w:rPr>
        <w:t>I0101.保险类别：</w:t>
      </w:r>
      <w:r w:rsidRPr="00CB4B9E">
        <w:rPr>
          <w:rFonts w:ascii="宋体" w:hAnsi="宋体" w:hint="eastAsia"/>
          <w:color w:val="000000" w:themeColor="text1"/>
          <w:szCs w:val="21"/>
        </w:rPr>
        <w:t>对非居民投保人的直接保险划分为两类，①人寿保险和年金，包括长期人寿保险、储蓄保险、长期健康险，及年金（即养老金）；②非人寿保险，即除①以外的其他保险，如短期健康险、财险等。</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I0102.</w:t>
      </w:r>
      <w:r w:rsidRPr="00CB4B9E">
        <w:rPr>
          <w:rFonts w:ascii="黑体" w:eastAsia="黑体" w:hint="eastAsia"/>
          <w:color w:val="000000" w:themeColor="text1"/>
        </w:rPr>
        <w:t>保单持有人所属国家/地区</w:t>
      </w:r>
      <w:r w:rsidRPr="00CB4B9E">
        <w:rPr>
          <w:rFonts w:ascii="黑体" w:eastAsia="黑体"/>
          <w:color w:val="000000" w:themeColor="text1"/>
        </w:rPr>
        <w:t>:</w:t>
      </w:r>
      <w:r w:rsidRPr="00CB4B9E">
        <w:rPr>
          <w:rFonts w:ascii="宋体" w:hAnsi="宋体" w:hint="eastAsia"/>
          <w:color w:val="000000" w:themeColor="text1"/>
        </w:rPr>
        <w:t>填报相关非居民保单持有人所属国家</w:t>
      </w:r>
      <w:r w:rsidRPr="00CB4B9E">
        <w:rPr>
          <w:rFonts w:ascii="宋体" w:hAnsi="宋体"/>
          <w:color w:val="000000" w:themeColor="text1"/>
        </w:rPr>
        <w:t>/地区</w:t>
      </w:r>
      <w:r w:rsidRPr="00CB4B9E">
        <w:rPr>
          <w:rFonts w:ascii="宋体" w:hAnsi="宋体" w:hint="eastAsia"/>
          <w:color w:val="000000" w:themeColor="text1"/>
        </w:rPr>
        <w:t>代码。保单持有人即</w:t>
      </w:r>
      <w:r w:rsidRPr="00CB4B9E">
        <w:rPr>
          <w:rFonts w:ascii="宋体" w:hAnsi="宋体"/>
          <w:bCs/>
          <w:color w:val="000000" w:themeColor="text1"/>
        </w:rPr>
        <w:t>保单所有人</w:t>
      </w:r>
      <w:r w:rsidRPr="00CB4B9E">
        <w:rPr>
          <w:rFonts w:ascii="宋体" w:hAnsi="宋体"/>
          <w:color w:val="000000" w:themeColor="text1"/>
        </w:rPr>
        <w:t>，是拥有</w:t>
      </w:r>
      <w:hyperlink r:id="rId11" w:tooltip="保单" w:history="1">
        <w:r w:rsidRPr="00CB4B9E">
          <w:rPr>
            <w:rStyle w:val="ae"/>
            <w:rFonts w:ascii="宋体" w:hAnsi="宋体"/>
            <w:color w:val="000000" w:themeColor="text1"/>
            <w:u w:val="none"/>
          </w:rPr>
          <w:t>保单</w:t>
        </w:r>
      </w:hyperlink>
      <w:r w:rsidRPr="00CB4B9E">
        <w:rPr>
          <w:rFonts w:ascii="宋体" w:hAnsi="宋体"/>
          <w:color w:val="000000" w:themeColor="text1"/>
        </w:rPr>
        <w:t>各种权利的人</w:t>
      </w:r>
      <w:r w:rsidRPr="00CB4B9E">
        <w:rPr>
          <w:rFonts w:ascii="宋体" w:hAnsi="宋体" w:hint="eastAsia"/>
          <w:color w:val="000000" w:themeColor="text1"/>
        </w:rPr>
        <w:t>，一般为投保人。</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rPr>
        <w:t>I0103.</w:t>
      </w:r>
      <w:r w:rsidRPr="00CB4B9E">
        <w:rPr>
          <w:rFonts w:ascii="黑体" w:eastAsia="黑体" w:hint="eastAsia"/>
          <w:color w:val="000000" w:themeColor="text1"/>
        </w:rPr>
        <w:t>保单持有人所属部门：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w:t>
      </w:r>
      <w:r w:rsidRPr="00CB4B9E">
        <w:rPr>
          <w:rFonts w:ascii="宋体" w:hAnsi="宋体" w:hint="eastAsia"/>
          <w:color w:val="000000" w:themeColor="text1"/>
        </w:rPr>
        <w:t>请按非居民保单持有人的主营业务归类。</w:t>
      </w:r>
    </w:p>
    <w:p w:rsidR="0071378E" w:rsidRPr="009263D7" w:rsidRDefault="00CB4B9E" w:rsidP="00AC43A4">
      <w:pPr>
        <w:spacing w:line="360" w:lineRule="auto"/>
        <w:ind w:firstLineChars="200" w:firstLine="420"/>
        <w:jc w:val="left"/>
        <w:rPr>
          <w:rFonts w:ascii="宋体" w:hAnsi="宋体"/>
          <w:color w:val="000000" w:themeColor="text1"/>
        </w:rPr>
      </w:pPr>
      <w:r w:rsidRPr="00CB4B9E">
        <w:rPr>
          <w:rFonts w:ascii="黑体" w:eastAsia="黑体" w:hAnsi="宋体"/>
          <w:color w:val="000000" w:themeColor="text1"/>
          <w:szCs w:val="21"/>
        </w:rPr>
        <w:t>I0104.</w:t>
      </w:r>
      <w:r w:rsidRPr="00CB4B9E">
        <w:rPr>
          <w:rFonts w:ascii="黑体" w:eastAsia="黑体" w:hAnsi="宋体" w:hint="eastAsia"/>
          <w:color w:val="000000" w:themeColor="text1"/>
        </w:rPr>
        <w:t>保单持有人与本机构的关系</w:t>
      </w:r>
      <w:r w:rsidRPr="00CB4B9E">
        <w:rPr>
          <w:rFonts w:ascii="黑体" w:eastAsia="黑体" w:hAnsi="宋体"/>
          <w:color w:val="000000" w:themeColor="text1"/>
        </w:rPr>
        <w:t xml:space="preserve">: </w:t>
      </w:r>
      <w:r w:rsidRPr="00CB4B9E">
        <w:rPr>
          <w:rFonts w:ascii="宋体" w:hAnsi="宋体" w:hint="eastAsia"/>
          <w:color w:val="000000" w:themeColor="text1"/>
        </w:rPr>
        <w:t>请按以下四种情况填列：①保单持有人是本机构的境外直接投资者，即持有本机构表决权≥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；②保单持有人是本机构的境外直接投资企业，即是本机构持有表决权在</w:t>
      </w:r>
      <w:r w:rsidRPr="00CB4B9E">
        <w:rPr>
          <w:rFonts w:ascii="宋体" w:hAnsi="宋体"/>
          <w:color w:val="000000" w:themeColor="text1"/>
        </w:rPr>
        <w:t>10%及以上的境外分支机构、子机构、联营机构或合营机构</w:t>
      </w:r>
      <w:r w:rsidRPr="00CB4B9E">
        <w:rPr>
          <w:rFonts w:ascii="宋体" w:hAnsi="宋体" w:hint="eastAsia"/>
          <w:color w:val="000000" w:themeColor="text1"/>
        </w:rPr>
        <w:t>；③保单持有人是本机构的境外联属机构，即双方有共同母公司，但相互持有表决权＜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或相互不持有表决权；④保单持有人与本机构无关联关系。</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I0105.</w:t>
      </w:r>
      <w:r w:rsidRPr="00CB4B9E">
        <w:rPr>
          <w:rFonts w:ascii="黑体" w:eastAsia="黑体" w:hAnsi="宋体" w:hint="eastAsia"/>
          <w:color w:val="000000" w:themeColor="text1"/>
        </w:rPr>
        <w:t>填表币种：</w:t>
      </w:r>
      <w:r w:rsidRPr="00CB4B9E">
        <w:rPr>
          <w:rFonts w:ascii="宋体" w:hAnsi="宋体" w:hint="eastAsia"/>
          <w:color w:val="000000" w:themeColor="text1"/>
          <w:szCs w:val="21"/>
        </w:rPr>
        <w:t>指报告机构报送本表数据所采用的币种，</w:t>
      </w:r>
      <w:r w:rsidRPr="00CB4B9E">
        <w:rPr>
          <w:rFonts w:ascii="宋体" w:hAnsi="宋体" w:hint="eastAsia"/>
          <w:color w:val="000000" w:themeColor="text1"/>
        </w:rPr>
        <w:t>请参照数据采集规范最新版本中的相关代码表填列</w:t>
      </w:r>
      <w:r w:rsidRPr="00CB4B9E">
        <w:rPr>
          <w:rFonts w:ascii="宋体" w:hAnsi="宋体" w:hint="eastAsia"/>
          <w:color w:val="000000" w:themeColor="text1"/>
          <w:szCs w:val="21"/>
        </w:rPr>
        <w:t>。适用于</w:t>
      </w:r>
      <w:r w:rsidRPr="00CB4B9E">
        <w:rPr>
          <w:rFonts w:ascii="宋体" w:hAnsi="宋体"/>
          <w:color w:val="000000" w:themeColor="text1"/>
          <w:szCs w:val="21"/>
        </w:rPr>
        <w:t>I0106-I0110各项。</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I0106.本月已赚毛保费总额：</w:t>
      </w:r>
      <w:r w:rsidRPr="00CB4B9E">
        <w:rPr>
          <w:rFonts w:ascii="宋体" w:hAnsi="宋体" w:hint="eastAsia"/>
          <w:color w:val="000000" w:themeColor="text1"/>
          <w:szCs w:val="21"/>
        </w:rPr>
        <w:t>指作为直接保险的保险人，按照权责发生制原则，当月已实现对非居民的毛保费。</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I0107本月归属于非居民保单持有人的收益（补充保费）</w:t>
      </w:r>
      <w:r w:rsidRPr="00CB4B9E">
        <w:rPr>
          <w:rFonts w:ascii="宋体" w:hAnsi="宋体" w:hint="eastAsia"/>
          <w:color w:val="000000" w:themeColor="text1"/>
          <w:szCs w:val="21"/>
        </w:rPr>
        <w:t>：指保险公司将保险责任准备金（包括未决赔款准备金、未到期准备金、寿险准备金、长期健康险准备金）进行投资而获取的投资收益，本表将这部分收益视同保单持有人投入保险公司的补充保费。填报机构可根据保险责任准备金投资回报情况，拆分出对非居民保单持有人的责任准备金产生的回报。</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I0108.本月应付索赔/福利总额：</w:t>
      </w:r>
      <w:r w:rsidRPr="00CB4B9E">
        <w:rPr>
          <w:rFonts w:ascii="宋体" w:hAnsi="宋体" w:hint="eastAsia"/>
          <w:color w:val="000000" w:themeColor="text1"/>
          <w:szCs w:val="21"/>
        </w:rPr>
        <w:t>按照权责发生制原则，作为直接保险的保险人应付非居民保单持有人的人寿险福利和非人寿险索赔。应付索赔包括会计期内已付索赔加上未付索赔准备金的变化，对于人寿保险而言，应付索赔等于赔付支出加上未决赔款准备金（包括寿险和长期健康险的对应准备金部分）的变化。即，当导致有效索赔的事件发生时，无论是否在该期间支付、理赔或者报告，基于权责发生制的索赔即视为到期，纳入本项统计中。</w:t>
      </w:r>
    </w:p>
    <w:p w:rsidR="0071378E" w:rsidRPr="009263D7" w:rsidRDefault="00CB4B9E" w:rsidP="0071378E">
      <w:pPr>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lastRenderedPageBreak/>
        <w:t>I0109.上月末保单责任准备金余额：</w:t>
      </w:r>
      <w:r w:rsidRPr="00CB4B9E">
        <w:rPr>
          <w:rFonts w:ascii="宋体" w:hAnsi="宋体" w:hint="eastAsia"/>
          <w:color w:val="000000" w:themeColor="text1"/>
        </w:rPr>
        <w:t>指截至上月末，本保险机构对非居民的保险责任准备金，对于非寿险而言，包括</w:t>
      </w:r>
      <w:r w:rsidRPr="00CB4B9E">
        <w:rPr>
          <w:rFonts w:ascii="宋体" w:hAnsi="宋体"/>
          <w:bCs/>
          <w:color w:val="000000" w:themeColor="text1"/>
        </w:rPr>
        <w:t>未决赔款准备金</w:t>
      </w:r>
      <w:r w:rsidRPr="00CB4B9E">
        <w:rPr>
          <w:rFonts w:ascii="宋体" w:hAnsi="宋体" w:hint="eastAsia"/>
          <w:bCs/>
          <w:color w:val="000000" w:themeColor="text1"/>
        </w:rPr>
        <w:t>余额和未到期责任准备金余额。其中，</w:t>
      </w:r>
      <w:r w:rsidRPr="00CB4B9E">
        <w:rPr>
          <w:rFonts w:ascii="宋体" w:hAnsi="宋体"/>
          <w:bCs/>
          <w:color w:val="000000" w:themeColor="text1"/>
        </w:rPr>
        <w:t>未决赔款准备金</w:t>
      </w:r>
      <w:r w:rsidRPr="00CB4B9E">
        <w:rPr>
          <w:rFonts w:ascii="宋体" w:hAnsi="宋体" w:hint="eastAsia"/>
          <w:bCs/>
          <w:color w:val="000000" w:themeColor="text1"/>
        </w:rPr>
        <w:t>余额，</w:t>
      </w:r>
      <w:r w:rsidRPr="00CB4B9E">
        <w:rPr>
          <w:rFonts w:ascii="宋体" w:hAnsi="宋体"/>
          <w:bCs/>
          <w:color w:val="000000" w:themeColor="text1"/>
        </w:rPr>
        <w:t>是指</w:t>
      </w:r>
      <w:hyperlink r:id="rId12" w:history="1">
        <w:r w:rsidRPr="00CB4B9E">
          <w:rPr>
            <w:rStyle w:val="ae"/>
            <w:rFonts w:ascii="宋体" w:hAnsi="宋体"/>
            <w:bCs/>
            <w:color w:val="000000" w:themeColor="text1"/>
            <w:u w:val="none"/>
          </w:rPr>
          <w:t>保险公司</w:t>
        </w:r>
      </w:hyperlink>
      <w:r w:rsidRPr="00CB4B9E">
        <w:rPr>
          <w:rFonts w:ascii="宋体" w:hAnsi="宋体"/>
          <w:bCs/>
          <w:color w:val="000000" w:themeColor="text1"/>
        </w:rPr>
        <w:t>在</w:t>
      </w:r>
      <w:r w:rsidRPr="00CB4B9E">
        <w:rPr>
          <w:rFonts w:ascii="宋体" w:hAnsi="宋体" w:hint="eastAsia"/>
          <w:bCs/>
          <w:color w:val="000000" w:themeColor="text1"/>
        </w:rPr>
        <w:t>当期发</w:t>
      </w:r>
      <w:r w:rsidRPr="00CB4B9E">
        <w:rPr>
          <w:rFonts w:ascii="宋体" w:hAnsi="宋体"/>
          <w:bCs/>
          <w:color w:val="000000" w:themeColor="text1"/>
        </w:rPr>
        <w:t>生</w:t>
      </w:r>
      <w:hyperlink r:id="rId13" w:history="1">
        <w:r w:rsidRPr="00CB4B9E">
          <w:rPr>
            <w:rStyle w:val="ae"/>
            <w:rFonts w:ascii="宋体" w:hAnsi="宋体"/>
            <w:bCs/>
            <w:color w:val="000000" w:themeColor="text1"/>
            <w:u w:val="none"/>
          </w:rPr>
          <w:t>保险责任</w:t>
        </w:r>
      </w:hyperlink>
      <w:r w:rsidRPr="00CB4B9E">
        <w:rPr>
          <w:rFonts w:ascii="宋体" w:hAnsi="宋体"/>
          <w:bCs/>
          <w:color w:val="000000" w:themeColor="text1"/>
        </w:rPr>
        <w:t>而未赔偿或未给付保险金，</w:t>
      </w:r>
      <w:r w:rsidRPr="00CB4B9E">
        <w:rPr>
          <w:rFonts w:ascii="宋体" w:hAnsi="宋体"/>
          <w:color w:val="000000" w:themeColor="text1"/>
        </w:rPr>
        <w:t>在</w:t>
      </w:r>
      <w:r w:rsidRPr="00CB4B9E">
        <w:rPr>
          <w:rFonts w:ascii="宋体" w:hAnsi="宋体" w:hint="eastAsia"/>
          <w:color w:val="000000" w:themeColor="text1"/>
        </w:rPr>
        <w:t>当期</w:t>
      </w:r>
      <w:hyperlink r:id="rId14" w:tgtFrame="_blank" w:history="1">
        <w:r w:rsidRPr="00CB4B9E">
          <w:rPr>
            <w:rStyle w:val="ae"/>
            <w:rFonts w:ascii="宋体" w:hAnsi="宋体"/>
            <w:color w:val="000000" w:themeColor="text1"/>
            <w:u w:val="none"/>
          </w:rPr>
          <w:t>保险费</w:t>
        </w:r>
      </w:hyperlink>
      <w:r w:rsidRPr="00CB4B9E">
        <w:rPr>
          <w:rFonts w:ascii="宋体" w:hAnsi="宋体"/>
          <w:color w:val="000000" w:themeColor="text1"/>
        </w:rPr>
        <w:t>中提取的资金</w:t>
      </w:r>
      <w:r w:rsidRPr="00CB4B9E">
        <w:rPr>
          <w:rFonts w:ascii="宋体" w:hAnsi="宋体" w:hint="eastAsia"/>
          <w:color w:val="000000" w:themeColor="text1"/>
        </w:rPr>
        <w:t>，包括针对已发生已报告的保险事故和已发生未报告的保险事故而计提的准备金</w:t>
      </w:r>
      <w:r w:rsidRPr="00CB4B9E">
        <w:rPr>
          <w:rFonts w:ascii="宋体" w:hAnsi="宋体"/>
          <w:color w:val="000000" w:themeColor="text1"/>
        </w:rPr>
        <w:t>。</w:t>
      </w:r>
      <w:r w:rsidRPr="00CB4B9E">
        <w:rPr>
          <w:rFonts w:ascii="宋体" w:hAnsi="宋体" w:hint="eastAsia"/>
          <w:color w:val="000000" w:themeColor="text1"/>
          <w:szCs w:val="21"/>
        </w:rPr>
        <w:t>未到期责任准备金，</w:t>
      </w:r>
      <w:r w:rsidRPr="00CB4B9E">
        <w:rPr>
          <w:rFonts w:ascii="宋体" w:hAnsi="宋体"/>
          <w:color w:val="000000" w:themeColor="text1"/>
          <w:szCs w:val="21"/>
        </w:rPr>
        <w:t>指</w:t>
      </w:r>
      <w:r w:rsidRPr="00CB4B9E">
        <w:rPr>
          <w:rFonts w:ascii="宋体" w:hAnsi="宋体" w:hint="eastAsia"/>
          <w:color w:val="000000" w:themeColor="text1"/>
          <w:szCs w:val="21"/>
        </w:rPr>
        <w:t>保险公司</w:t>
      </w:r>
      <w:r w:rsidRPr="00CB4B9E">
        <w:rPr>
          <w:rFonts w:ascii="宋体" w:hAnsi="宋体"/>
          <w:color w:val="000000" w:themeColor="text1"/>
          <w:szCs w:val="21"/>
        </w:rPr>
        <w:t>在会计</w:t>
      </w:r>
      <w:r w:rsidRPr="00CB4B9E">
        <w:rPr>
          <w:rFonts w:ascii="宋体" w:hAnsi="宋体" w:hint="eastAsia"/>
          <w:color w:val="000000" w:themeColor="text1"/>
          <w:szCs w:val="21"/>
        </w:rPr>
        <w:t>期核算</w:t>
      </w:r>
      <w:r w:rsidRPr="00CB4B9E">
        <w:rPr>
          <w:rFonts w:ascii="宋体" w:hAnsi="宋体"/>
          <w:color w:val="000000" w:themeColor="text1"/>
          <w:szCs w:val="21"/>
        </w:rPr>
        <w:t>时，将保险责任尚未满期的，应属于下</w:t>
      </w:r>
      <w:r w:rsidRPr="00CB4B9E">
        <w:rPr>
          <w:rFonts w:ascii="宋体" w:hAnsi="宋体" w:hint="eastAsia"/>
          <w:color w:val="000000" w:themeColor="text1"/>
          <w:szCs w:val="21"/>
        </w:rPr>
        <w:t>一期</w:t>
      </w:r>
      <w:r w:rsidRPr="00CB4B9E">
        <w:rPr>
          <w:rFonts w:ascii="宋体" w:hAnsi="宋体"/>
          <w:color w:val="000000" w:themeColor="text1"/>
          <w:szCs w:val="21"/>
        </w:rPr>
        <w:t>的部分保险费提存出来所形成的准备金。</w:t>
      </w:r>
      <w:r w:rsidRPr="00CB4B9E">
        <w:rPr>
          <w:rFonts w:ascii="宋体" w:hAnsi="宋体" w:hint="eastAsia"/>
          <w:color w:val="000000" w:themeColor="text1"/>
          <w:szCs w:val="21"/>
        </w:rPr>
        <w:t>对于寿险而言，包括寿险责任准备金和长期健康险责任准备金。</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I0110.本月末保单</w:t>
      </w:r>
      <w:r w:rsidRPr="00CB4B9E">
        <w:rPr>
          <w:rFonts w:ascii="黑体" w:eastAsia="黑体" w:hAnsi="宋体" w:hint="eastAsia"/>
          <w:color w:val="000000" w:themeColor="text1"/>
        </w:rPr>
        <w:t>责任准备金余额：</w:t>
      </w:r>
      <w:r w:rsidRPr="00CB4B9E">
        <w:rPr>
          <w:rFonts w:ascii="宋体" w:hAnsi="宋体" w:hint="eastAsia"/>
          <w:color w:val="000000" w:themeColor="text1"/>
        </w:rPr>
        <w:t>指截至本月末，本保险机构对非居民的保险责任准备金，对于非寿险而言，包括</w:t>
      </w:r>
      <w:r w:rsidRPr="00CB4B9E">
        <w:rPr>
          <w:rFonts w:ascii="宋体" w:hAnsi="宋体"/>
          <w:bCs/>
          <w:color w:val="000000" w:themeColor="text1"/>
        </w:rPr>
        <w:t>未决赔款准备金</w:t>
      </w:r>
      <w:r w:rsidRPr="00CB4B9E">
        <w:rPr>
          <w:rFonts w:ascii="宋体" w:hAnsi="宋体" w:hint="eastAsia"/>
          <w:bCs/>
          <w:color w:val="000000" w:themeColor="text1"/>
        </w:rPr>
        <w:t>余额和未到期责任准备金余额。其中，</w:t>
      </w:r>
      <w:r w:rsidRPr="00CB4B9E">
        <w:rPr>
          <w:rFonts w:ascii="宋体" w:hAnsi="宋体"/>
          <w:bCs/>
          <w:color w:val="000000" w:themeColor="text1"/>
        </w:rPr>
        <w:t>未决赔款准备金</w:t>
      </w:r>
      <w:r w:rsidRPr="00CB4B9E">
        <w:rPr>
          <w:rFonts w:ascii="宋体" w:hAnsi="宋体" w:hint="eastAsia"/>
          <w:bCs/>
          <w:color w:val="000000" w:themeColor="text1"/>
        </w:rPr>
        <w:t>余额，</w:t>
      </w:r>
      <w:r w:rsidRPr="00CB4B9E">
        <w:rPr>
          <w:rFonts w:ascii="宋体" w:hAnsi="宋体"/>
          <w:bCs/>
          <w:color w:val="000000" w:themeColor="text1"/>
        </w:rPr>
        <w:t>是指</w:t>
      </w:r>
      <w:hyperlink r:id="rId15" w:history="1">
        <w:r w:rsidRPr="00CB4B9E">
          <w:rPr>
            <w:rStyle w:val="ae"/>
            <w:rFonts w:ascii="宋体" w:hAnsi="宋体"/>
            <w:bCs/>
            <w:color w:val="000000" w:themeColor="text1"/>
            <w:u w:val="none"/>
          </w:rPr>
          <w:t>保险公司</w:t>
        </w:r>
      </w:hyperlink>
      <w:r w:rsidRPr="00CB4B9E">
        <w:rPr>
          <w:rFonts w:ascii="宋体" w:hAnsi="宋体"/>
          <w:bCs/>
          <w:color w:val="000000" w:themeColor="text1"/>
        </w:rPr>
        <w:t>在</w:t>
      </w:r>
      <w:r w:rsidRPr="00CB4B9E">
        <w:rPr>
          <w:rFonts w:ascii="宋体" w:hAnsi="宋体" w:hint="eastAsia"/>
          <w:bCs/>
          <w:color w:val="000000" w:themeColor="text1"/>
        </w:rPr>
        <w:t>当期发</w:t>
      </w:r>
      <w:r w:rsidRPr="00CB4B9E">
        <w:rPr>
          <w:rFonts w:ascii="宋体" w:hAnsi="宋体"/>
          <w:bCs/>
          <w:color w:val="000000" w:themeColor="text1"/>
        </w:rPr>
        <w:t>生</w:t>
      </w:r>
      <w:hyperlink r:id="rId16" w:history="1">
        <w:r w:rsidRPr="00CB4B9E">
          <w:rPr>
            <w:rStyle w:val="ae"/>
            <w:rFonts w:ascii="宋体" w:hAnsi="宋体"/>
            <w:bCs/>
            <w:color w:val="000000" w:themeColor="text1"/>
            <w:u w:val="none"/>
          </w:rPr>
          <w:t>保险责任</w:t>
        </w:r>
      </w:hyperlink>
      <w:r w:rsidRPr="00CB4B9E">
        <w:rPr>
          <w:rFonts w:ascii="宋体" w:hAnsi="宋体"/>
          <w:bCs/>
          <w:color w:val="000000" w:themeColor="text1"/>
        </w:rPr>
        <w:t>而未赔偿或未给付保险金，</w:t>
      </w:r>
      <w:r w:rsidRPr="00CB4B9E">
        <w:rPr>
          <w:rFonts w:ascii="宋体" w:hAnsi="宋体"/>
          <w:color w:val="000000" w:themeColor="text1"/>
        </w:rPr>
        <w:t>在</w:t>
      </w:r>
      <w:r w:rsidRPr="00CB4B9E">
        <w:rPr>
          <w:rFonts w:ascii="宋体" w:hAnsi="宋体" w:hint="eastAsia"/>
          <w:color w:val="000000" w:themeColor="text1"/>
        </w:rPr>
        <w:t>当期</w:t>
      </w:r>
      <w:hyperlink r:id="rId17" w:tgtFrame="_blank" w:history="1">
        <w:r w:rsidRPr="00CB4B9E">
          <w:rPr>
            <w:rStyle w:val="ae"/>
            <w:rFonts w:ascii="宋体" w:hAnsi="宋体"/>
            <w:color w:val="000000" w:themeColor="text1"/>
            <w:u w:val="none"/>
          </w:rPr>
          <w:t>保险费</w:t>
        </w:r>
      </w:hyperlink>
      <w:r w:rsidRPr="00CB4B9E">
        <w:rPr>
          <w:rFonts w:ascii="宋体" w:hAnsi="宋体"/>
          <w:color w:val="000000" w:themeColor="text1"/>
        </w:rPr>
        <w:t>中提取的资金</w:t>
      </w:r>
      <w:r w:rsidRPr="00CB4B9E">
        <w:rPr>
          <w:rFonts w:ascii="宋体" w:hAnsi="宋体" w:hint="eastAsia"/>
          <w:color w:val="000000" w:themeColor="text1"/>
        </w:rPr>
        <w:t>，包括针对已发生已报告的保险事故和已发生未报告的保险事故而计提的准备金</w:t>
      </w:r>
      <w:r w:rsidRPr="00CB4B9E">
        <w:rPr>
          <w:rFonts w:ascii="宋体" w:hAnsi="宋体"/>
          <w:color w:val="000000" w:themeColor="text1"/>
        </w:rPr>
        <w:t>。</w:t>
      </w:r>
      <w:r w:rsidRPr="00CB4B9E">
        <w:rPr>
          <w:rFonts w:ascii="宋体" w:hAnsi="宋体" w:hint="eastAsia"/>
          <w:color w:val="000000" w:themeColor="text1"/>
          <w:szCs w:val="21"/>
        </w:rPr>
        <w:t>未到期责任准备金，</w:t>
      </w:r>
      <w:r w:rsidRPr="00CB4B9E">
        <w:rPr>
          <w:rFonts w:ascii="宋体" w:hAnsi="宋体"/>
          <w:color w:val="000000" w:themeColor="text1"/>
          <w:szCs w:val="21"/>
        </w:rPr>
        <w:t>指</w:t>
      </w:r>
      <w:r w:rsidRPr="00CB4B9E">
        <w:rPr>
          <w:rFonts w:ascii="宋体" w:hAnsi="宋体" w:hint="eastAsia"/>
          <w:color w:val="000000" w:themeColor="text1"/>
          <w:szCs w:val="21"/>
        </w:rPr>
        <w:t>保险公司</w:t>
      </w:r>
      <w:r w:rsidRPr="00CB4B9E">
        <w:rPr>
          <w:rFonts w:ascii="宋体" w:hAnsi="宋体"/>
          <w:color w:val="000000" w:themeColor="text1"/>
          <w:szCs w:val="21"/>
        </w:rPr>
        <w:t>在会计</w:t>
      </w:r>
      <w:r w:rsidRPr="00CB4B9E">
        <w:rPr>
          <w:rFonts w:ascii="宋体" w:hAnsi="宋体" w:hint="eastAsia"/>
          <w:color w:val="000000" w:themeColor="text1"/>
          <w:szCs w:val="21"/>
        </w:rPr>
        <w:t>期核算</w:t>
      </w:r>
      <w:r w:rsidRPr="00CB4B9E">
        <w:rPr>
          <w:rFonts w:ascii="宋体" w:hAnsi="宋体"/>
          <w:color w:val="000000" w:themeColor="text1"/>
          <w:szCs w:val="21"/>
        </w:rPr>
        <w:t>时，将保险责任尚未满期的，应属于下</w:t>
      </w:r>
      <w:r w:rsidRPr="00CB4B9E">
        <w:rPr>
          <w:rFonts w:ascii="宋体" w:hAnsi="宋体" w:hint="eastAsia"/>
          <w:color w:val="000000" w:themeColor="text1"/>
          <w:szCs w:val="21"/>
        </w:rPr>
        <w:t>一期</w:t>
      </w:r>
      <w:r w:rsidRPr="00CB4B9E">
        <w:rPr>
          <w:rFonts w:ascii="宋体" w:hAnsi="宋体"/>
          <w:color w:val="000000" w:themeColor="text1"/>
          <w:szCs w:val="21"/>
        </w:rPr>
        <w:t>的部分保险费提存出来所形成的准备金。</w:t>
      </w:r>
      <w:r w:rsidRPr="00CB4B9E">
        <w:rPr>
          <w:rFonts w:ascii="宋体" w:hAnsi="宋体" w:hint="eastAsia"/>
          <w:color w:val="000000" w:themeColor="text1"/>
          <w:szCs w:val="21"/>
        </w:rPr>
        <w:t>对于寿险而言，包括寿险责任准备金和长期健康险责任准备金。</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I0111.</w:t>
      </w:r>
      <w:r w:rsidRPr="00CB4B9E">
        <w:rPr>
          <w:rFonts w:ascii="黑体" w:eastAsia="黑体" w:hint="eastAsia"/>
          <w:color w:val="000000" w:themeColor="text1"/>
          <w:szCs w:val="21"/>
        </w:rPr>
        <w:t>备注：</w:t>
      </w:r>
      <w:r w:rsidRPr="00CB4B9E">
        <w:rPr>
          <w:rFonts w:ascii="宋体" w:hAnsi="宋体" w:hint="eastAsia"/>
          <w:color w:val="000000" w:themeColor="text1"/>
          <w:szCs w:val="21"/>
        </w:rPr>
        <w:t>指在填报本月数据时，需特别说明的部分。如，是否为与进出口相关的涉外保险业务。</w:t>
      </w:r>
    </w:p>
    <w:p w:rsidR="0071378E" w:rsidRPr="009263D7" w:rsidRDefault="0071378E" w:rsidP="0071378E">
      <w:pPr>
        <w:spacing w:line="360" w:lineRule="auto"/>
        <w:ind w:firstLineChars="200" w:firstLine="420"/>
        <w:rPr>
          <w:rFonts w:ascii="宋体" w:hAnsi="宋体"/>
          <w:color w:val="000000" w:themeColor="text1"/>
          <w:szCs w:val="21"/>
        </w:rPr>
      </w:pPr>
    </w:p>
    <w:p w:rsidR="0071378E" w:rsidRPr="009263D7" w:rsidRDefault="00CB4B9E" w:rsidP="0071378E">
      <w:pPr>
        <w:spacing w:line="360" w:lineRule="auto"/>
        <w:ind w:rightChars="154" w:right="323" w:firstLineChars="200" w:firstLine="480"/>
        <w:rPr>
          <w:rFonts w:ascii="黑体" w:eastAsia="黑体"/>
          <w:color w:val="000000" w:themeColor="text1"/>
          <w:sz w:val="24"/>
        </w:rPr>
      </w:pPr>
      <w:r w:rsidRPr="00CB4B9E">
        <w:rPr>
          <w:rFonts w:ascii="黑体" w:eastAsia="黑体" w:hAnsi="宋体"/>
          <w:color w:val="000000" w:themeColor="text1"/>
          <w:kern w:val="0"/>
          <w:sz w:val="24"/>
        </w:rPr>
        <w:t>I02表：为非居民提供再保险服务（分入保险）</w:t>
      </w:r>
    </w:p>
    <w:p w:rsidR="0071378E" w:rsidRPr="009263D7" w:rsidRDefault="00CB4B9E" w:rsidP="0071378E">
      <w:pPr>
        <w:spacing w:line="360" w:lineRule="auto"/>
        <w:ind w:firstLineChars="200" w:firstLine="420"/>
        <w:rPr>
          <w:color w:val="000000" w:themeColor="text1"/>
        </w:rPr>
      </w:pPr>
      <w:r w:rsidRPr="00CB4B9E">
        <w:rPr>
          <w:rFonts w:ascii="黑体" w:eastAsia="黑体" w:hint="eastAsia"/>
          <w:color w:val="000000" w:themeColor="text1"/>
        </w:rPr>
        <w:t>1．统计内容：</w:t>
      </w:r>
      <w:r w:rsidRPr="00CB4B9E">
        <w:rPr>
          <w:rFonts w:hint="eastAsia"/>
          <w:color w:val="000000" w:themeColor="text1"/>
        </w:rPr>
        <w:t>境内保险公司向非居民保险公司提供再保险而收取的分保费收入、支付的分保费用，以及支付的索赔、福利及相关的保险准备金。</w:t>
      </w:r>
    </w:p>
    <w:tbl>
      <w:tblPr>
        <w:tblW w:w="9440" w:type="dxa"/>
        <w:tblInd w:w="97" w:type="dxa"/>
        <w:tblLook w:val="04A0"/>
      </w:tblPr>
      <w:tblGrid>
        <w:gridCol w:w="4840"/>
        <w:gridCol w:w="4600"/>
      </w:tblGrid>
      <w:tr w:rsidR="0071378E"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71378E" w:rsidRPr="009263D7" w:rsidRDefault="00CB4B9E" w:rsidP="00A63760">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包</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括</w:t>
            </w:r>
          </w:p>
        </w:tc>
        <w:tc>
          <w:tcPr>
            <w:tcW w:w="4600" w:type="dxa"/>
            <w:tcBorders>
              <w:top w:val="single" w:sz="8" w:space="0" w:color="auto"/>
              <w:left w:val="nil"/>
              <w:bottom w:val="single" w:sz="4" w:space="0" w:color="auto"/>
              <w:right w:val="nil"/>
            </w:tcBorders>
            <w:shd w:val="clear" w:color="auto" w:fill="auto"/>
            <w:noWrap/>
            <w:vAlign w:val="center"/>
          </w:tcPr>
          <w:p w:rsidR="0071378E" w:rsidRPr="009263D7" w:rsidRDefault="00CB4B9E" w:rsidP="00A63760">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不</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包</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括</w:t>
            </w:r>
          </w:p>
        </w:tc>
      </w:tr>
      <w:tr w:rsidR="0071378E" w:rsidRPr="009263D7">
        <w:trPr>
          <w:trHeight w:val="285"/>
        </w:trPr>
        <w:tc>
          <w:tcPr>
            <w:tcW w:w="4840" w:type="dxa"/>
            <w:tcBorders>
              <w:top w:val="nil"/>
              <w:left w:val="nil"/>
              <w:bottom w:val="single" w:sz="4" w:space="0" w:color="auto"/>
              <w:right w:val="single" w:sz="4" w:space="0" w:color="auto"/>
            </w:tcBorders>
            <w:shd w:val="clear" w:color="auto" w:fill="auto"/>
            <w:vAlign w:val="center"/>
          </w:tcPr>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1.境内保险机构向非居民保险机构提供的再保险，包括非人寿保险、人寿保险和年金。</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再保险是指</w:t>
            </w:r>
            <w:r w:rsidRPr="00CB4B9E">
              <w:rPr>
                <w:rFonts w:ascii="宋体" w:hAnsi="宋体" w:cs="宋体"/>
                <w:color w:val="000000" w:themeColor="text1"/>
                <w:kern w:val="0"/>
                <w:sz w:val="18"/>
                <w:szCs w:val="18"/>
              </w:rPr>
              <w:t>一个保险人（再保险分出人）分出一定的保费给另一个保险人（再保险接受人），再保险接受人对再保险分出人由原保险合同所引起的赔付成本及其他相关费用进行补偿的保险合同。</w:t>
            </w:r>
          </w:p>
        </w:tc>
        <w:tc>
          <w:tcPr>
            <w:tcW w:w="4600" w:type="dxa"/>
            <w:tcBorders>
              <w:top w:val="nil"/>
              <w:left w:val="nil"/>
              <w:bottom w:val="single" w:sz="4" w:space="0" w:color="auto"/>
              <w:right w:val="nil"/>
            </w:tcBorders>
            <w:shd w:val="clear" w:color="auto" w:fill="auto"/>
            <w:vAlign w:val="center"/>
          </w:tcPr>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1. </w:t>
            </w:r>
            <w:r w:rsidRPr="00CB4B9E">
              <w:rPr>
                <w:rFonts w:ascii="宋体" w:hAnsi="宋体" w:cs="宋体" w:hint="eastAsia"/>
                <w:color w:val="000000" w:themeColor="text1"/>
                <w:kern w:val="0"/>
                <w:sz w:val="18"/>
                <w:szCs w:val="18"/>
              </w:rPr>
              <w:t>境内保险机构向非居民保险公司提供的原保险。</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2. </w:t>
            </w:r>
            <w:r w:rsidRPr="00CB4B9E">
              <w:rPr>
                <w:rFonts w:ascii="宋体" w:hAnsi="宋体" w:cs="宋体" w:hint="eastAsia"/>
                <w:color w:val="000000" w:themeColor="text1"/>
                <w:kern w:val="0"/>
                <w:sz w:val="18"/>
                <w:szCs w:val="18"/>
              </w:rPr>
              <w:t>境内保险机构向居民保险机构提供的再保险。</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3. </w:t>
            </w:r>
            <w:r w:rsidRPr="00CB4B9E">
              <w:rPr>
                <w:rFonts w:ascii="宋体" w:hAnsi="宋体" w:cs="宋体" w:hint="eastAsia"/>
                <w:color w:val="000000" w:themeColor="text1"/>
                <w:kern w:val="0"/>
                <w:sz w:val="18"/>
                <w:szCs w:val="18"/>
              </w:rPr>
              <w:t>与再保险业务密切相关的</w:t>
            </w:r>
            <w:r w:rsidR="00D9568B">
              <w:rPr>
                <w:rFonts w:ascii="宋体" w:hAnsi="宋体" w:cs="宋体" w:hint="eastAsia"/>
                <w:color w:val="000000" w:themeColor="text1"/>
                <w:kern w:val="0"/>
                <w:sz w:val="18"/>
                <w:szCs w:val="18"/>
              </w:rPr>
              <w:t>辅助</w:t>
            </w:r>
            <w:r w:rsidRPr="00CB4B9E">
              <w:rPr>
                <w:rFonts w:ascii="宋体" w:hAnsi="宋体" w:cs="宋体" w:hint="eastAsia"/>
                <w:color w:val="000000" w:themeColor="text1"/>
                <w:kern w:val="0"/>
                <w:sz w:val="18"/>
                <w:szCs w:val="18"/>
              </w:rPr>
              <w:t>服务提供记入</w:t>
            </w:r>
            <w:r w:rsidRPr="00CB4B9E">
              <w:rPr>
                <w:rFonts w:ascii="宋体" w:hAnsi="宋体" w:cs="宋体"/>
                <w:color w:val="000000" w:themeColor="text1"/>
                <w:kern w:val="0"/>
                <w:sz w:val="18"/>
                <w:szCs w:val="18"/>
              </w:rPr>
              <w:t>E表，如代理商佣金、保险经纪和代理服务、保险和养老金咨询服务、评估和损益调整服务、保险精算服务、救助管理服务以及对于赔偿和追偿服务的监管和监控服务等。</w:t>
            </w:r>
          </w:p>
        </w:tc>
      </w:tr>
      <w:tr w:rsidR="0071378E" w:rsidRPr="009263D7">
        <w:trPr>
          <w:trHeight w:val="285"/>
        </w:trPr>
        <w:tc>
          <w:tcPr>
            <w:tcW w:w="4840" w:type="dxa"/>
            <w:tcBorders>
              <w:top w:val="nil"/>
              <w:left w:val="nil"/>
              <w:bottom w:val="single" w:sz="4" w:space="0" w:color="auto"/>
              <w:right w:val="single" w:sz="4" w:space="0" w:color="auto"/>
            </w:tcBorders>
            <w:shd w:val="clear" w:color="auto" w:fill="auto"/>
            <w:vAlign w:val="center"/>
          </w:tcPr>
          <w:p w:rsidR="0071378E" w:rsidRPr="009263D7" w:rsidRDefault="0071378E" w:rsidP="00A63760">
            <w:pPr>
              <w:widowControl/>
              <w:jc w:val="left"/>
              <w:rPr>
                <w:rFonts w:ascii="宋体" w:hAnsi="宋体" w:cs="宋体"/>
                <w:color w:val="000000" w:themeColor="text1"/>
                <w:kern w:val="0"/>
                <w:sz w:val="18"/>
                <w:szCs w:val="18"/>
              </w:rPr>
            </w:pPr>
          </w:p>
        </w:tc>
        <w:tc>
          <w:tcPr>
            <w:tcW w:w="4600" w:type="dxa"/>
            <w:tcBorders>
              <w:top w:val="nil"/>
              <w:left w:val="nil"/>
              <w:bottom w:val="single" w:sz="4" w:space="0" w:color="auto"/>
              <w:right w:val="nil"/>
            </w:tcBorders>
            <w:shd w:val="clear" w:color="auto" w:fill="auto"/>
            <w:vAlign w:val="center"/>
          </w:tcPr>
          <w:p w:rsidR="0071378E" w:rsidRPr="009263D7" w:rsidRDefault="0071378E" w:rsidP="00A63760">
            <w:pPr>
              <w:widowControl/>
              <w:jc w:val="left"/>
              <w:rPr>
                <w:rFonts w:ascii="宋体" w:hAnsi="宋体" w:cs="宋体"/>
                <w:color w:val="000000" w:themeColor="text1"/>
                <w:kern w:val="0"/>
                <w:sz w:val="18"/>
                <w:szCs w:val="18"/>
              </w:rPr>
            </w:pPr>
          </w:p>
        </w:tc>
      </w:tr>
    </w:tbl>
    <w:p w:rsidR="0071378E" w:rsidRPr="009263D7" w:rsidRDefault="0071378E" w:rsidP="0071378E">
      <w:pPr>
        <w:spacing w:line="360" w:lineRule="auto"/>
        <w:jc w:val="left"/>
        <w:rPr>
          <w:rFonts w:ascii="黑体" w:eastAsia="黑体"/>
          <w:color w:val="000000" w:themeColor="text1"/>
        </w:rPr>
      </w:pPr>
    </w:p>
    <w:p w:rsidR="0071378E" w:rsidRPr="009263D7" w:rsidRDefault="00CB4B9E" w:rsidP="0071378E">
      <w:pPr>
        <w:spacing w:line="360" w:lineRule="auto"/>
        <w:ind w:firstLineChars="200" w:firstLine="420"/>
        <w:rPr>
          <w:rFonts w:ascii="黑体" w:eastAsia="黑体"/>
          <w:color w:val="000000" w:themeColor="text1"/>
        </w:rPr>
      </w:pPr>
      <w:r w:rsidRPr="00CB4B9E">
        <w:rPr>
          <w:rFonts w:ascii="黑体" w:eastAsia="黑体"/>
          <w:color w:val="000000" w:themeColor="text1"/>
        </w:rPr>
        <w:t xml:space="preserve">2. </w:t>
      </w:r>
      <w:r w:rsidRPr="00CB4B9E">
        <w:rPr>
          <w:rFonts w:ascii="黑体" w:eastAsia="黑体" w:hint="eastAsia"/>
          <w:color w:val="000000" w:themeColor="text1"/>
        </w:rPr>
        <w:t>相关报表说明：</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int="eastAsia"/>
          <w:color w:val="000000" w:themeColor="text1"/>
        </w:rPr>
        <w:t>I0201.保险类别：</w:t>
      </w:r>
      <w:r w:rsidRPr="00CB4B9E">
        <w:rPr>
          <w:rFonts w:ascii="宋体" w:hAnsi="宋体" w:hint="eastAsia"/>
          <w:color w:val="000000" w:themeColor="text1"/>
          <w:szCs w:val="21"/>
        </w:rPr>
        <w:t>从非居民保险公司分入的保险业务划分为两类，①人寿保险和年金，包括长期人寿保险、储蓄保险、长期健康险，及年金（即养老金）；②非人寿保险，即除①以外的其他保险，如短期健康险、财险等。</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I0202.再保险分出人</w:t>
      </w:r>
      <w:r w:rsidRPr="00CB4B9E">
        <w:rPr>
          <w:rFonts w:ascii="黑体" w:eastAsia="黑体" w:hint="eastAsia"/>
          <w:color w:val="000000" w:themeColor="text1"/>
        </w:rPr>
        <w:t>所属国家/地区</w:t>
      </w:r>
      <w:r w:rsidRPr="00CB4B9E">
        <w:rPr>
          <w:rFonts w:ascii="黑体" w:eastAsia="黑体"/>
          <w:color w:val="000000" w:themeColor="text1"/>
        </w:rPr>
        <w:t>:</w:t>
      </w:r>
      <w:r w:rsidRPr="00CB4B9E">
        <w:rPr>
          <w:rFonts w:ascii="宋体" w:hAnsi="宋体" w:hint="eastAsia"/>
          <w:color w:val="000000" w:themeColor="text1"/>
        </w:rPr>
        <w:t>填报相关非居民保单持有人（即再保险分出人）所属国家</w:t>
      </w:r>
      <w:r w:rsidRPr="00CB4B9E">
        <w:rPr>
          <w:rFonts w:ascii="宋体" w:hAnsi="宋体"/>
          <w:color w:val="000000" w:themeColor="text1"/>
        </w:rPr>
        <w:t>/地区</w:t>
      </w:r>
      <w:r w:rsidRPr="00CB4B9E">
        <w:rPr>
          <w:rFonts w:ascii="宋体" w:hAnsi="宋体" w:hint="eastAsia"/>
          <w:color w:val="000000" w:themeColor="text1"/>
        </w:rPr>
        <w:t>代码。</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rPr>
        <w:t>I0203.再保险分出人</w:t>
      </w:r>
      <w:r w:rsidRPr="00CB4B9E">
        <w:rPr>
          <w:rFonts w:ascii="黑体" w:eastAsia="黑体" w:hint="eastAsia"/>
          <w:color w:val="000000" w:themeColor="text1"/>
        </w:rPr>
        <w:t>所属部门：</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w:t>
      </w:r>
      <w:r w:rsidRPr="00CB4B9E">
        <w:rPr>
          <w:rFonts w:ascii="宋体" w:hAnsi="宋体"/>
          <w:color w:val="000000" w:themeColor="text1"/>
        </w:rPr>
        <w:lastRenderedPageBreak/>
        <w:t>行；④非银行金融机构；⑤其他企业和个人。由于再保险的保单持有人为境外保险公司，因此所属部门为：④非银行金融机构。</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rPr>
        <w:t xml:space="preserve">I0204.再保险分出人与本机构的关系: </w:t>
      </w:r>
      <w:r w:rsidRPr="00CB4B9E">
        <w:rPr>
          <w:rFonts w:ascii="宋体" w:hAnsi="宋体" w:hint="eastAsia"/>
          <w:color w:val="000000" w:themeColor="text1"/>
        </w:rPr>
        <w:t>请按以下四种情况填列：①再保险分出人是本机构的境外直接投资者，即持有本机构表决权≥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；②再保险分出人是本机构的境外直接投资企业，即是本机构持有表决权在</w:t>
      </w:r>
      <w:r w:rsidRPr="00CB4B9E">
        <w:rPr>
          <w:rFonts w:ascii="宋体" w:hAnsi="宋体"/>
          <w:color w:val="000000" w:themeColor="text1"/>
        </w:rPr>
        <w:t>10%及以上的境外分支机构、子机构、联营机构或合营机构</w:t>
      </w:r>
      <w:r w:rsidRPr="00CB4B9E">
        <w:rPr>
          <w:rFonts w:ascii="宋体" w:hAnsi="宋体" w:hint="eastAsia"/>
          <w:color w:val="000000" w:themeColor="text1"/>
        </w:rPr>
        <w:t>；③再保险分出人是本机构的境外联属机构，即双方有共同母公司，但相互持有表决权＜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或相互不持有表决权；④再保险分出人与本机构无关联关系。</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I0205.填表币种：</w:t>
      </w:r>
      <w:r w:rsidRPr="00CB4B9E">
        <w:rPr>
          <w:rFonts w:ascii="宋体" w:hAnsi="宋体" w:hint="eastAsia"/>
          <w:color w:val="000000" w:themeColor="text1"/>
          <w:szCs w:val="21"/>
        </w:rPr>
        <w:t>指报告机构报送本表数据所采用的币种，</w:t>
      </w:r>
      <w:r w:rsidRPr="00CB4B9E">
        <w:rPr>
          <w:rFonts w:ascii="宋体" w:hAnsi="宋体" w:hint="eastAsia"/>
          <w:color w:val="000000" w:themeColor="text1"/>
        </w:rPr>
        <w:t>请参照数据采集规范最新版本中的相关代码表填列</w:t>
      </w:r>
      <w:r w:rsidRPr="00CB4B9E">
        <w:rPr>
          <w:rFonts w:ascii="宋体" w:hAnsi="宋体" w:hint="eastAsia"/>
          <w:color w:val="000000" w:themeColor="text1"/>
          <w:szCs w:val="21"/>
        </w:rPr>
        <w:t>。适用于</w:t>
      </w:r>
      <w:r w:rsidRPr="00CB4B9E">
        <w:rPr>
          <w:rFonts w:ascii="宋体" w:hAnsi="宋体"/>
          <w:color w:val="000000" w:themeColor="text1"/>
          <w:szCs w:val="21"/>
        </w:rPr>
        <w:t>I0206-I0211各项。</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I0206.本月分入业务已赚分保费收入：</w:t>
      </w:r>
      <w:r w:rsidRPr="00CB4B9E">
        <w:rPr>
          <w:rFonts w:ascii="宋体" w:hAnsi="宋体" w:hint="eastAsia"/>
          <w:color w:val="000000" w:themeColor="text1"/>
          <w:szCs w:val="21"/>
        </w:rPr>
        <w:t>指作为本机构（再保险接受人），按照权责发生制原则，当月已实现对非居民</w:t>
      </w:r>
      <w:r w:rsidRPr="00CB4B9E">
        <w:rPr>
          <w:rFonts w:ascii="宋体" w:hAnsi="宋体"/>
          <w:color w:val="000000" w:themeColor="text1"/>
          <w:szCs w:val="21"/>
        </w:rPr>
        <w:t>再保险分出人</w:t>
      </w:r>
      <w:r w:rsidRPr="00CB4B9E">
        <w:rPr>
          <w:rFonts w:ascii="宋体" w:hAnsi="宋体" w:hint="eastAsia"/>
          <w:color w:val="000000" w:themeColor="text1"/>
          <w:szCs w:val="21"/>
        </w:rPr>
        <w:t>的保费收入。</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szCs w:val="21"/>
        </w:rPr>
        <w:t>I0207本月归属于非居民保单持有人的收益（补充保费）</w:t>
      </w:r>
      <w:r w:rsidRPr="00CB4B9E">
        <w:rPr>
          <w:rFonts w:ascii="宋体" w:hAnsi="宋体" w:hint="eastAsia"/>
          <w:color w:val="000000" w:themeColor="text1"/>
          <w:szCs w:val="21"/>
        </w:rPr>
        <w:t>：是指本机构运用准备金进行投资而获取的投资收益，本表将这部分收益视同再保险分出人投入本机构的补充保费。</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rPr>
        <w:t>I0208.本月应付分保费用：</w:t>
      </w:r>
      <w:r w:rsidRPr="00CB4B9E">
        <w:rPr>
          <w:rFonts w:ascii="宋体" w:hAnsi="宋体" w:hint="eastAsia"/>
          <w:color w:val="000000" w:themeColor="text1"/>
        </w:rPr>
        <w:t>指按照权责发生制，本月本机构应向再保险分出人支付的分保费用。</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rPr>
        <w:t>I0209.本月应付分保赔款：</w:t>
      </w:r>
      <w:r w:rsidRPr="00CB4B9E">
        <w:rPr>
          <w:rFonts w:ascii="宋体" w:hAnsi="宋体" w:hint="eastAsia"/>
          <w:color w:val="000000" w:themeColor="text1"/>
        </w:rPr>
        <w:t>指按照权责发生制，本月本机构应向再保险分出人支付的分保索赔</w:t>
      </w:r>
      <w:r w:rsidRPr="00CB4B9E">
        <w:rPr>
          <w:rFonts w:ascii="宋体" w:hAnsi="宋体"/>
          <w:color w:val="000000" w:themeColor="text1"/>
        </w:rPr>
        <w:t>/红利。</w:t>
      </w:r>
    </w:p>
    <w:p w:rsidR="0071378E" w:rsidRPr="009263D7" w:rsidRDefault="00CB4B9E" w:rsidP="0071378E">
      <w:pPr>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I0210.上月末分保责任准备金余额：</w:t>
      </w:r>
      <w:r w:rsidRPr="00CB4B9E">
        <w:rPr>
          <w:rFonts w:ascii="宋体" w:hAnsi="宋体" w:hint="eastAsia"/>
          <w:color w:val="000000" w:themeColor="text1"/>
          <w:szCs w:val="21"/>
        </w:rPr>
        <w:t>指截至上月末，本机构对非居民再保险分出人的责任准备金余额</w:t>
      </w:r>
      <w:r w:rsidRPr="00CB4B9E">
        <w:rPr>
          <w:rFonts w:ascii="宋体" w:hAnsi="宋体" w:hint="eastAsia"/>
          <w:color w:val="000000" w:themeColor="text1"/>
        </w:rPr>
        <w:t>，对于非寿险而言，包括</w:t>
      </w:r>
      <w:r w:rsidRPr="00CB4B9E">
        <w:rPr>
          <w:rFonts w:ascii="宋体" w:hAnsi="宋体"/>
          <w:bCs/>
          <w:color w:val="000000" w:themeColor="text1"/>
        </w:rPr>
        <w:t>未决赔款准备金</w:t>
      </w:r>
      <w:r w:rsidRPr="00CB4B9E">
        <w:rPr>
          <w:rFonts w:ascii="宋体" w:hAnsi="宋体" w:hint="eastAsia"/>
          <w:bCs/>
          <w:color w:val="000000" w:themeColor="text1"/>
        </w:rPr>
        <w:t>余额和未到期责任准备金余额。其中，</w:t>
      </w:r>
      <w:r w:rsidRPr="00CB4B9E">
        <w:rPr>
          <w:rFonts w:ascii="宋体" w:hAnsi="宋体"/>
          <w:bCs/>
          <w:color w:val="000000" w:themeColor="text1"/>
        </w:rPr>
        <w:t>未决赔款准备金</w:t>
      </w:r>
      <w:r w:rsidRPr="00CB4B9E">
        <w:rPr>
          <w:rFonts w:ascii="宋体" w:hAnsi="宋体" w:hint="eastAsia"/>
          <w:bCs/>
          <w:color w:val="000000" w:themeColor="text1"/>
        </w:rPr>
        <w:t>余额，</w:t>
      </w:r>
      <w:r w:rsidRPr="00CB4B9E">
        <w:rPr>
          <w:rFonts w:ascii="宋体" w:hAnsi="宋体"/>
          <w:bCs/>
          <w:color w:val="000000" w:themeColor="text1"/>
        </w:rPr>
        <w:t>是指</w:t>
      </w:r>
      <w:hyperlink r:id="rId18" w:history="1">
        <w:r w:rsidRPr="00CB4B9E">
          <w:rPr>
            <w:rStyle w:val="ae"/>
            <w:rFonts w:ascii="宋体" w:hAnsi="宋体"/>
            <w:bCs/>
            <w:color w:val="000000" w:themeColor="text1"/>
            <w:u w:val="none"/>
          </w:rPr>
          <w:t>保险公司</w:t>
        </w:r>
      </w:hyperlink>
      <w:r w:rsidRPr="00CB4B9E">
        <w:rPr>
          <w:rFonts w:ascii="宋体" w:hAnsi="宋体"/>
          <w:bCs/>
          <w:color w:val="000000" w:themeColor="text1"/>
        </w:rPr>
        <w:t>在</w:t>
      </w:r>
      <w:r w:rsidRPr="00CB4B9E">
        <w:rPr>
          <w:rFonts w:ascii="宋体" w:hAnsi="宋体" w:hint="eastAsia"/>
          <w:bCs/>
          <w:color w:val="000000" w:themeColor="text1"/>
        </w:rPr>
        <w:t>当期发</w:t>
      </w:r>
      <w:r w:rsidRPr="00CB4B9E">
        <w:rPr>
          <w:rFonts w:ascii="宋体" w:hAnsi="宋体"/>
          <w:bCs/>
          <w:color w:val="000000" w:themeColor="text1"/>
        </w:rPr>
        <w:t>生</w:t>
      </w:r>
      <w:hyperlink r:id="rId19" w:history="1">
        <w:r w:rsidRPr="00CB4B9E">
          <w:rPr>
            <w:rStyle w:val="ae"/>
            <w:rFonts w:ascii="宋体" w:hAnsi="宋体"/>
            <w:bCs/>
            <w:color w:val="000000" w:themeColor="text1"/>
            <w:u w:val="none"/>
          </w:rPr>
          <w:t>保险责任</w:t>
        </w:r>
      </w:hyperlink>
      <w:r w:rsidRPr="00CB4B9E">
        <w:rPr>
          <w:rFonts w:ascii="宋体" w:hAnsi="宋体"/>
          <w:bCs/>
          <w:color w:val="000000" w:themeColor="text1"/>
        </w:rPr>
        <w:t>而未赔偿或未给付保险金，</w:t>
      </w:r>
      <w:r w:rsidRPr="00CB4B9E">
        <w:rPr>
          <w:rFonts w:ascii="宋体" w:hAnsi="宋体"/>
          <w:color w:val="000000" w:themeColor="text1"/>
        </w:rPr>
        <w:t>在</w:t>
      </w:r>
      <w:r w:rsidRPr="00CB4B9E">
        <w:rPr>
          <w:rFonts w:ascii="宋体" w:hAnsi="宋体" w:hint="eastAsia"/>
          <w:color w:val="000000" w:themeColor="text1"/>
        </w:rPr>
        <w:t>当期</w:t>
      </w:r>
      <w:hyperlink r:id="rId20" w:tgtFrame="_blank" w:history="1">
        <w:r w:rsidRPr="00CB4B9E">
          <w:rPr>
            <w:rStyle w:val="ae"/>
            <w:rFonts w:ascii="宋体" w:hAnsi="宋体"/>
            <w:color w:val="000000" w:themeColor="text1"/>
            <w:u w:val="none"/>
          </w:rPr>
          <w:t>保险费</w:t>
        </w:r>
      </w:hyperlink>
      <w:r w:rsidRPr="00CB4B9E">
        <w:rPr>
          <w:rFonts w:ascii="宋体" w:hAnsi="宋体"/>
          <w:color w:val="000000" w:themeColor="text1"/>
        </w:rPr>
        <w:t>中提取的资金</w:t>
      </w:r>
      <w:r w:rsidRPr="00CB4B9E">
        <w:rPr>
          <w:rFonts w:ascii="宋体" w:hAnsi="宋体" w:hint="eastAsia"/>
          <w:color w:val="000000" w:themeColor="text1"/>
        </w:rPr>
        <w:t>，包括针对已发生已报告的保险事故和已发生未报告的保险事故而计提的准备金</w:t>
      </w:r>
      <w:r w:rsidRPr="00CB4B9E">
        <w:rPr>
          <w:rFonts w:ascii="宋体" w:hAnsi="宋体"/>
          <w:color w:val="000000" w:themeColor="text1"/>
        </w:rPr>
        <w:t>。</w:t>
      </w:r>
      <w:r w:rsidRPr="00CB4B9E">
        <w:rPr>
          <w:rFonts w:ascii="宋体" w:hAnsi="宋体" w:hint="eastAsia"/>
          <w:color w:val="000000" w:themeColor="text1"/>
          <w:szCs w:val="21"/>
        </w:rPr>
        <w:t>未到期责任准备金，</w:t>
      </w:r>
      <w:r w:rsidRPr="00CB4B9E">
        <w:rPr>
          <w:rFonts w:ascii="宋体" w:hAnsi="宋体"/>
          <w:color w:val="000000" w:themeColor="text1"/>
          <w:szCs w:val="21"/>
        </w:rPr>
        <w:t>指</w:t>
      </w:r>
      <w:r w:rsidRPr="00CB4B9E">
        <w:rPr>
          <w:rFonts w:ascii="宋体" w:hAnsi="宋体" w:hint="eastAsia"/>
          <w:color w:val="000000" w:themeColor="text1"/>
          <w:szCs w:val="21"/>
        </w:rPr>
        <w:t>保险公司</w:t>
      </w:r>
      <w:r w:rsidRPr="00CB4B9E">
        <w:rPr>
          <w:rFonts w:ascii="宋体" w:hAnsi="宋体"/>
          <w:color w:val="000000" w:themeColor="text1"/>
          <w:szCs w:val="21"/>
        </w:rPr>
        <w:t>在会计</w:t>
      </w:r>
      <w:r w:rsidRPr="00CB4B9E">
        <w:rPr>
          <w:rFonts w:ascii="宋体" w:hAnsi="宋体" w:hint="eastAsia"/>
          <w:color w:val="000000" w:themeColor="text1"/>
          <w:szCs w:val="21"/>
        </w:rPr>
        <w:t>期核算</w:t>
      </w:r>
      <w:r w:rsidRPr="00CB4B9E">
        <w:rPr>
          <w:rFonts w:ascii="宋体" w:hAnsi="宋体"/>
          <w:color w:val="000000" w:themeColor="text1"/>
          <w:szCs w:val="21"/>
        </w:rPr>
        <w:t>时，将保险责任尚未满期的，应属于下</w:t>
      </w:r>
      <w:r w:rsidRPr="00CB4B9E">
        <w:rPr>
          <w:rFonts w:ascii="宋体" w:hAnsi="宋体" w:hint="eastAsia"/>
          <w:color w:val="000000" w:themeColor="text1"/>
          <w:szCs w:val="21"/>
        </w:rPr>
        <w:t>一期</w:t>
      </w:r>
      <w:r w:rsidRPr="00CB4B9E">
        <w:rPr>
          <w:rFonts w:ascii="宋体" w:hAnsi="宋体"/>
          <w:color w:val="000000" w:themeColor="text1"/>
          <w:szCs w:val="21"/>
        </w:rPr>
        <w:t>的部分保险费提存出来所形成的准备金。</w:t>
      </w:r>
      <w:r w:rsidRPr="00CB4B9E">
        <w:rPr>
          <w:rFonts w:ascii="宋体" w:hAnsi="宋体" w:hint="eastAsia"/>
          <w:color w:val="000000" w:themeColor="text1"/>
          <w:szCs w:val="21"/>
        </w:rPr>
        <w:t>对于寿险而言，包括寿险责任准备金和长期健康险责任准备金。</w:t>
      </w:r>
    </w:p>
    <w:p w:rsidR="0071378E" w:rsidRPr="009263D7" w:rsidRDefault="00CB4B9E" w:rsidP="0071378E">
      <w:pPr>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 xml:space="preserve">I0211. </w:t>
      </w:r>
      <w:r w:rsidRPr="00CB4B9E">
        <w:rPr>
          <w:rFonts w:ascii="黑体" w:eastAsia="黑体" w:hAnsi="宋体" w:hint="eastAsia"/>
          <w:color w:val="000000" w:themeColor="text1"/>
        </w:rPr>
        <w:t>本月末分保责任准备金余额：</w:t>
      </w:r>
      <w:r w:rsidRPr="00CB4B9E">
        <w:rPr>
          <w:rFonts w:ascii="宋体" w:hAnsi="宋体" w:hint="eastAsia"/>
          <w:color w:val="000000" w:themeColor="text1"/>
          <w:szCs w:val="21"/>
        </w:rPr>
        <w:t>指截至本月末，本机构对非居民再保险分出人的责任准备金余额，</w:t>
      </w:r>
      <w:r w:rsidRPr="00CB4B9E">
        <w:rPr>
          <w:rFonts w:ascii="宋体" w:hAnsi="宋体" w:hint="eastAsia"/>
          <w:color w:val="000000" w:themeColor="text1"/>
        </w:rPr>
        <w:t>对于非寿险而言，包括</w:t>
      </w:r>
      <w:r w:rsidRPr="00CB4B9E">
        <w:rPr>
          <w:rFonts w:ascii="宋体" w:hAnsi="宋体"/>
          <w:bCs/>
          <w:color w:val="000000" w:themeColor="text1"/>
        </w:rPr>
        <w:t>未决赔款准备金</w:t>
      </w:r>
      <w:r w:rsidRPr="00CB4B9E">
        <w:rPr>
          <w:rFonts w:ascii="宋体" w:hAnsi="宋体" w:hint="eastAsia"/>
          <w:bCs/>
          <w:color w:val="000000" w:themeColor="text1"/>
        </w:rPr>
        <w:t>余额和未到期责任准备金余额。其中，</w:t>
      </w:r>
      <w:r w:rsidRPr="00CB4B9E">
        <w:rPr>
          <w:rFonts w:ascii="宋体" w:hAnsi="宋体"/>
          <w:bCs/>
          <w:color w:val="000000" w:themeColor="text1"/>
        </w:rPr>
        <w:t>未决赔款准备金</w:t>
      </w:r>
      <w:r w:rsidRPr="00CB4B9E">
        <w:rPr>
          <w:rFonts w:ascii="宋体" w:hAnsi="宋体" w:hint="eastAsia"/>
          <w:bCs/>
          <w:color w:val="000000" w:themeColor="text1"/>
        </w:rPr>
        <w:t>余额，</w:t>
      </w:r>
      <w:r w:rsidRPr="00CB4B9E">
        <w:rPr>
          <w:rFonts w:ascii="宋体" w:hAnsi="宋体"/>
          <w:bCs/>
          <w:color w:val="000000" w:themeColor="text1"/>
        </w:rPr>
        <w:t>是指</w:t>
      </w:r>
      <w:hyperlink r:id="rId21" w:history="1">
        <w:r w:rsidRPr="00CB4B9E">
          <w:rPr>
            <w:rStyle w:val="ae"/>
            <w:rFonts w:ascii="宋体" w:hAnsi="宋体"/>
            <w:bCs/>
            <w:color w:val="000000" w:themeColor="text1"/>
            <w:u w:val="none"/>
          </w:rPr>
          <w:t>保险公司</w:t>
        </w:r>
      </w:hyperlink>
      <w:r w:rsidRPr="00CB4B9E">
        <w:rPr>
          <w:rFonts w:ascii="宋体" w:hAnsi="宋体"/>
          <w:bCs/>
          <w:color w:val="000000" w:themeColor="text1"/>
        </w:rPr>
        <w:t>在</w:t>
      </w:r>
      <w:r w:rsidRPr="00CB4B9E">
        <w:rPr>
          <w:rFonts w:ascii="宋体" w:hAnsi="宋体" w:hint="eastAsia"/>
          <w:bCs/>
          <w:color w:val="000000" w:themeColor="text1"/>
        </w:rPr>
        <w:t>当期发</w:t>
      </w:r>
      <w:r w:rsidRPr="00CB4B9E">
        <w:rPr>
          <w:rFonts w:ascii="宋体" w:hAnsi="宋体"/>
          <w:bCs/>
          <w:color w:val="000000" w:themeColor="text1"/>
        </w:rPr>
        <w:t>生</w:t>
      </w:r>
      <w:hyperlink r:id="rId22" w:history="1">
        <w:r w:rsidRPr="00CB4B9E">
          <w:rPr>
            <w:rStyle w:val="ae"/>
            <w:rFonts w:ascii="宋体" w:hAnsi="宋体"/>
            <w:bCs/>
            <w:color w:val="000000" w:themeColor="text1"/>
            <w:u w:val="none"/>
          </w:rPr>
          <w:t>保险责任</w:t>
        </w:r>
      </w:hyperlink>
      <w:r w:rsidRPr="00CB4B9E">
        <w:rPr>
          <w:rFonts w:ascii="宋体" w:hAnsi="宋体"/>
          <w:bCs/>
          <w:color w:val="000000" w:themeColor="text1"/>
        </w:rPr>
        <w:t>而未赔偿或未给付保险金，</w:t>
      </w:r>
      <w:r w:rsidRPr="00CB4B9E">
        <w:rPr>
          <w:rFonts w:ascii="宋体" w:hAnsi="宋体"/>
          <w:color w:val="000000" w:themeColor="text1"/>
        </w:rPr>
        <w:t>在</w:t>
      </w:r>
      <w:r w:rsidRPr="00CB4B9E">
        <w:rPr>
          <w:rFonts w:ascii="宋体" w:hAnsi="宋体" w:hint="eastAsia"/>
          <w:color w:val="000000" w:themeColor="text1"/>
        </w:rPr>
        <w:t>当期</w:t>
      </w:r>
      <w:hyperlink r:id="rId23" w:tgtFrame="_blank" w:history="1">
        <w:r w:rsidRPr="00CB4B9E">
          <w:rPr>
            <w:rStyle w:val="ae"/>
            <w:rFonts w:ascii="宋体" w:hAnsi="宋体"/>
            <w:color w:val="000000" w:themeColor="text1"/>
            <w:u w:val="none"/>
          </w:rPr>
          <w:t>保险费</w:t>
        </w:r>
      </w:hyperlink>
      <w:r w:rsidRPr="00CB4B9E">
        <w:rPr>
          <w:rFonts w:ascii="宋体" w:hAnsi="宋体"/>
          <w:color w:val="000000" w:themeColor="text1"/>
        </w:rPr>
        <w:t>中提取的资金</w:t>
      </w:r>
      <w:r w:rsidRPr="00CB4B9E">
        <w:rPr>
          <w:rFonts w:ascii="宋体" w:hAnsi="宋体" w:hint="eastAsia"/>
          <w:color w:val="000000" w:themeColor="text1"/>
        </w:rPr>
        <w:t>，包括针对已发生已报告的保险事故和已发生未报告的保险事故而计提的准备金</w:t>
      </w:r>
      <w:r w:rsidRPr="00CB4B9E">
        <w:rPr>
          <w:rFonts w:ascii="宋体" w:hAnsi="宋体"/>
          <w:color w:val="000000" w:themeColor="text1"/>
        </w:rPr>
        <w:t>。</w:t>
      </w:r>
      <w:r w:rsidRPr="00CB4B9E">
        <w:rPr>
          <w:rFonts w:ascii="宋体" w:hAnsi="宋体" w:hint="eastAsia"/>
          <w:color w:val="000000" w:themeColor="text1"/>
          <w:szCs w:val="21"/>
        </w:rPr>
        <w:t>未到期责任准备金，</w:t>
      </w:r>
      <w:r w:rsidRPr="00CB4B9E">
        <w:rPr>
          <w:rFonts w:ascii="宋体" w:hAnsi="宋体"/>
          <w:color w:val="000000" w:themeColor="text1"/>
          <w:szCs w:val="21"/>
        </w:rPr>
        <w:t>指</w:t>
      </w:r>
      <w:r w:rsidRPr="00CB4B9E">
        <w:rPr>
          <w:rFonts w:ascii="宋体" w:hAnsi="宋体" w:hint="eastAsia"/>
          <w:color w:val="000000" w:themeColor="text1"/>
          <w:szCs w:val="21"/>
        </w:rPr>
        <w:t>保险公司</w:t>
      </w:r>
      <w:r w:rsidRPr="00CB4B9E">
        <w:rPr>
          <w:rFonts w:ascii="宋体" w:hAnsi="宋体"/>
          <w:color w:val="000000" w:themeColor="text1"/>
          <w:szCs w:val="21"/>
        </w:rPr>
        <w:t>在会计</w:t>
      </w:r>
      <w:r w:rsidRPr="00CB4B9E">
        <w:rPr>
          <w:rFonts w:ascii="宋体" w:hAnsi="宋体" w:hint="eastAsia"/>
          <w:color w:val="000000" w:themeColor="text1"/>
          <w:szCs w:val="21"/>
        </w:rPr>
        <w:t>期核算</w:t>
      </w:r>
      <w:r w:rsidRPr="00CB4B9E">
        <w:rPr>
          <w:rFonts w:ascii="宋体" w:hAnsi="宋体"/>
          <w:color w:val="000000" w:themeColor="text1"/>
          <w:szCs w:val="21"/>
        </w:rPr>
        <w:t>时，将保险责任尚未满期的，应属于下</w:t>
      </w:r>
      <w:r w:rsidRPr="00CB4B9E">
        <w:rPr>
          <w:rFonts w:ascii="宋体" w:hAnsi="宋体" w:hint="eastAsia"/>
          <w:color w:val="000000" w:themeColor="text1"/>
          <w:szCs w:val="21"/>
        </w:rPr>
        <w:t>一期</w:t>
      </w:r>
      <w:r w:rsidRPr="00CB4B9E">
        <w:rPr>
          <w:rFonts w:ascii="宋体" w:hAnsi="宋体"/>
          <w:color w:val="000000" w:themeColor="text1"/>
          <w:szCs w:val="21"/>
        </w:rPr>
        <w:t>的部分保险费提存出来所形成的准备金。</w:t>
      </w:r>
      <w:r w:rsidRPr="00CB4B9E">
        <w:rPr>
          <w:rFonts w:ascii="宋体" w:hAnsi="宋体" w:hint="eastAsia"/>
          <w:color w:val="000000" w:themeColor="text1"/>
          <w:szCs w:val="21"/>
        </w:rPr>
        <w:t>对于寿险而言，包括寿险责任准备金和长期健康险责任准备金。</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I0212.</w:t>
      </w:r>
      <w:r w:rsidRPr="00CB4B9E">
        <w:rPr>
          <w:rFonts w:ascii="黑体" w:eastAsia="黑体" w:hint="eastAsia"/>
          <w:color w:val="000000" w:themeColor="text1"/>
          <w:szCs w:val="21"/>
        </w:rPr>
        <w:t>备注：</w:t>
      </w:r>
      <w:r w:rsidRPr="00CB4B9E">
        <w:rPr>
          <w:rFonts w:ascii="宋体" w:hAnsi="宋体" w:hint="eastAsia"/>
          <w:color w:val="000000" w:themeColor="text1"/>
          <w:szCs w:val="21"/>
        </w:rPr>
        <w:t>指在填报本月数据时，需特别说明的部分。包括但不限于本期数据如发生较大变动，填写相关原因等。</w:t>
      </w:r>
    </w:p>
    <w:p w:rsidR="0071378E" w:rsidRPr="009263D7" w:rsidRDefault="0071378E" w:rsidP="0071378E">
      <w:pPr>
        <w:spacing w:line="360" w:lineRule="auto"/>
        <w:rPr>
          <w:rFonts w:ascii="宋体" w:hAnsi="宋体"/>
          <w:color w:val="000000" w:themeColor="text1"/>
          <w:szCs w:val="21"/>
        </w:rPr>
      </w:pPr>
    </w:p>
    <w:p w:rsidR="0071378E" w:rsidRPr="009263D7" w:rsidRDefault="00CB4B9E" w:rsidP="0071378E">
      <w:pPr>
        <w:spacing w:line="360" w:lineRule="auto"/>
        <w:ind w:firstLine="465"/>
        <w:rPr>
          <w:rFonts w:ascii="黑体" w:eastAsia="黑体" w:hAnsi="宋体"/>
          <w:color w:val="000000" w:themeColor="text1"/>
          <w:kern w:val="0"/>
          <w:sz w:val="24"/>
        </w:rPr>
      </w:pPr>
      <w:r w:rsidRPr="00CB4B9E">
        <w:rPr>
          <w:rFonts w:ascii="黑体" w:eastAsia="黑体" w:hAnsi="宋体"/>
          <w:color w:val="000000" w:themeColor="text1"/>
          <w:kern w:val="0"/>
          <w:sz w:val="24"/>
        </w:rPr>
        <w:t>I03表：从非居民保险机构获得再保险服务（分出保险）</w:t>
      </w:r>
    </w:p>
    <w:p w:rsidR="0071378E" w:rsidRPr="009263D7" w:rsidRDefault="00CB4B9E" w:rsidP="0071378E">
      <w:pPr>
        <w:spacing w:line="360" w:lineRule="auto"/>
        <w:ind w:firstLineChars="200" w:firstLine="420"/>
        <w:rPr>
          <w:color w:val="000000" w:themeColor="text1"/>
        </w:rPr>
      </w:pPr>
      <w:r w:rsidRPr="00CB4B9E">
        <w:rPr>
          <w:rFonts w:ascii="黑体" w:eastAsia="黑体" w:hint="eastAsia"/>
          <w:color w:val="000000" w:themeColor="text1"/>
        </w:rPr>
        <w:t>1．统计内容：</w:t>
      </w:r>
      <w:r w:rsidRPr="00CB4B9E">
        <w:rPr>
          <w:rFonts w:hint="eastAsia"/>
          <w:color w:val="000000" w:themeColor="text1"/>
        </w:rPr>
        <w:t>境内保险公司向非居民保险公司分出保险而支付的分出保费、摊回的分保费用，以及摊回的赔付成本、及应收分保任准备金等。</w:t>
      </w:r>
    </w:p>
    <w:tbl>
      <w:tblPr>
        <w:tblW w:w="9440" w:type="dxa"/>
        <w:tblInd w:w="97" w:type="dxa"/>
        <w:tblLook w:val="04A0"/>
      </w:tblPr>
      <w:tblGrid>
        <w:gridCol w:w="4840"/>
        <w:gridCol w:w="4600"/>
      </w:tblGrid>
      <w:tr w:rsidR="0071378E" w:rsidRPr="009263D7">
        <w:trPr>
          <w:trHeight w:val="285"/>
        </w:trPr>
        <w:tc>
          <w:tcPr>
            <w:tcW w:w="4840" w:type="dxa"/>
            <w:tcBorders>
              <w:top w:val="single" w:sz="8" w:space="0" w:color="auto"/>
              <w:left w:val="nil"/>
              <w:bottom w:val="single" w:sz="4" w:space="0" w:color="auto"/>
              <w:right w:val="single" w:sz="4" w:space="0" w:color="auto"/>
            </w:tcBorders>
            <w:shd w:val="clear" w:color="auto" w:fill="auto"/>
            <w:noWrap/>
            <w:vAlign w:val="center"/>
          </w:tcPr>
          <w:p w:rsidR="0071378E" w:rsidRPr="009263D7" w:rsidRDefault="00CB4B9E" w:rsidP="00A63760">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包</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括</w:t>
            </w:r>
          </w:p>
        </w:tc>
        <w:tc>
          <w:tcPr>
            <w:tcW w:w="4600" w:type="dxa"/>
            <w:tcBorders>
              <w:top w:val="single" w:sz="8" w:space="0" w:color="auto"/>
              <w:left w:val="nil"/>
              <w:bottom w:val="single" w:sz="4" w:space="0" w:color="auto"/>
              <w:right w:val="nil"/>
            </w:tcBorders>
            <w:shd w:val="clear" w:color="auto" w:fill="auto"/>
            <w:noWrap/>
            <w:vAlign w:val="center"/>
          </w:tcPr>
          <w:p w:rsidR="0071378E" w:rsidRPr="009263D7" w:rsidRDefault="00CB4B9E" w:rsidP="00A63760">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不</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包</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括</w:t>
            </w:r>
          </w:p>
        </w:tc>
      </w:tr>
      <w:tr w:rsidR="0071378E" w:rsidRPr="009263D7">
        <w:trPr>
          <w:trHeight w:val="285"/>
        </w:trPr>
        <w:tc>
          <w:tcPr>
            <w:tcW w:w="4840" w:type="dxa"/>
            <w:tcBorders>
              <w:top w:val="nil"/>
              <w:left w:val="nil"/>
              <w:bottom w:val="single" w:sz="4" w:space="0" w:color="auto"/>
              <w:right w:val="single" w:sz="4" w:space="0" w:color="auto"/>
            </w:tcBorders>
            <w:shd w:val="clear" w:color="auto" w:fill="auto"/>
            <w:vAlign w:val="center"/>
          </w:tcPr>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1.境内保险机构向非居民保险机构分出保险，包括非人寿保险、人寿保险和年金。</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再保险是指</w:t>
            </w:r>
            <w:r w:rsidRPr="00CB4B9E">
              <w:rPr>
                <w:rFonts w:ascii="宋体" w:hAnsi="宋体" w:cs="宋体"/>
                <w:color w:val="000000" w:themeColor="text1"/>
                <w:kern w:val="0"/>
                <w:sz w:val="18"/>
                <w:szCs w:val="18"/>
              </w:rPr>
              <w:t>一个保险人（再保险分出人）分出一定的保费给另一个保险人（再保险接受人），再保险接受人对再保险分出人由原保险合同所引起的赔付成本及其他相关费用进行补偿的保险合同。</w:t>
            </w:r>
          </w:p>
          <w:p w:rsidR="0071378E" w:rsidRPr="009263D7" w:rsidRDefault="00CB4B9E" w:rsidP="00A33FF1">
            <w:pPr>
              <w:widowControl/>
              <w:jc w:val="left"/>
              <w:rPr>
                <w:rFonts w:ascii="宋体" w:hAnsi="宋体" w:cs="宋体"/>
                <w:color w:val="000000" w:themeColor="text1"/>
                <w:kern w:val="0"/>
                <w:sz w:val="18"/>
                <w:szCs w:val="18"/>
              </w:rPr>
            </w:pPr>
            <w:r w:rsidRPr="00CB4B9E">
              <w:rPr>
                <w:rFonts w:ascii="宋体" w:hAnsi="宋体" w:cs="宋体" w:hint="eastAsia"/>
                <w:b/>
                <w:color w:val="000000" w:themeColor="text1"/>
                <w:kern w:val="0"/>
                <w:sz w:val="18"/>
                <w:szCs w:val="18"/>
              </w:rPr>
              <w:t>说明：</w:t>
            </w:r>
            <w:r w:rsidRPr="00CB4B9E">
              <w:rPr>
                <w:rFonts w:ascii="宋体" w:hAnsi="宋体" w:cs="宋体" w:hint="eastAsia"/>
                <w:color w:val="000000" w:themeColor="text1"/>
                <w:kern w:val="0"/>
                <w:sz w:val="18"/>
                <w:szCs w:val="18"/>
              </w:rPr>
              <w:t>再保险分出业务应独立核算。再保险分出人不应当将再保险合同形成的资产与有关原保险合同形成的负债相互抵销，不应当将再保险合同形成的收入和费用与有关原保险合同形成的费用或收入相互抵销。</w:t>
            </w:r>
          </w:p>
        </w:tc>
        <w:tc>
          <w:tcPr>
            <w:tcW w:w="4600" w:type="dxa"/>
            <w:tcBorders>
              <w:top w:val="nil"/>
              <w:left w:val="nil"/>
              <w:bottom w:val="single" w:sz="4" w:space="0" w:color="auto"/>
              <w:right w:val="nil"/>
            </w:tcBorders>
            <w:shd w:val="clear" w:color="auto" w:fill="auto"/>
            <w:vAlign w:val="center"/>
          </w:tcPr>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1. </w:t>
            </w:r>
            <w:r w:rsidRPr="00CB4B9E">
              <w:rPr>
                <w:rFonts w:ascii="宋体" w:hAnsi="宋体" w:cs="宋体" w:hint="eastAsia"/>
                <w:color w:val="000000" w:themeColor="text1"/>
                <w:kern w:val="0"/>
                <w:sz w:val="18"/>
                <w:szCs w:val="18"/>
              </w:rPr>
              <w:t>境内保险机构向居民保险机构分出的再保险。</w:t>
            </w:r>
          </w:p>
          <w:p w:rsidR="0071378E" w:rsidRPr="009263D7" w:rsidRDefault="00CB4B9E" w:rsidP="00A63760">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2. </w:t>
            </w:r>
            <w:r w:rsidRPr="00CB4B9E">
              <w:rPr>
                <w:rFonts w:ascii="宋体" w:hAnsi="宋体" w:cs="宋体" w:hint="eastAsia"/>
                <w:color w:val="000000" w:themeColor="text1"/>
                <w:kern w:val="0"/>
                <w:sz w:val="18"/>
                <w:szCs w:val="18"/>
              </w:rPr>
              <w:t>与再保险业务密切相关的</w:t>
            </w:r>
            <w:r w:rsidR="00D9568B">
              <w:rPr>
                <w:rFonts w:ascii="宋体" w:hAnsi="宋体" w:cs="宋体" w:hint="eastAsia"/>
                <w:color w:val="000000" w:themeColor="text1"/>
                <w:kern w:val="0"/>
                <w:sz w:val="18"/>
                <w:szCs w:val="18"/>
              </w:rPr>
              <w:t>辅助</w:t>
            </w:r>
            <w:r w:rsidRPr="00CB4B9E">
              <w:rPr>
                <w:rFonts w:ascii="宋体" w:hAnsi="宋体" w:cs="宋体" w:hint="eastAsia"/>
                <w:color w:val="000000" w:themeColor="text1"/>
                <w:kern w:val="0"/>
                <w:sz w:val="18"/>
                <w:szCs w:val="18"/>
              </w:rPr>
              <w:t>服务提供记入</w:t>
            </w:r>
            <w:r w:rsidRPr="00CB4B9E">
              <w:rPr>
                <w:rFonts w:ascii="宋体" w:hAnsi="宋体" w:cs="宋体"/>
                <w:color w:val="000000" w:themeColor="text1"/>
                <w:kern w:val="0"/>
                <w:sz w:val="18"/>
                <w:szCs w:val="18"/>
              </w:rPr>
              <w:t>E表，如代理商佣金、保险经纪和代理服务、保险和养老金咨询服务、评估和损益调整服务、保险精算服务、救助管理服务以及对于赔偿和追偿服务的监管和监控服务等。</w:t>
            </w:r>
          </w:p>
        </w:tc>
      </w:tr>
      <w:tr w:rsidR="0071378E" w:rsidRPr="009263D7">
        <w:trPr>
          <w:trHeight w:val="285"/>
        </w:trPr>
        <w:tc>
          <w:tcPr>
            <w:tcW w:w="4840" w:type="dxa"/>
            <w:tcBorders>
              <w:top w:val="nil"/>
              <w:left w:val="nil"/>
              <w:bottom w:val="single" w:sz="4" w:space="0" w:color="auto"/>
              <w:right w:val="single" w:sz="4" w:space="0" w:color="auto"/>
            </w:tcBorders>
            <w:shd w:val="clear" w:color="auto" w:fill="auto"/>
            <w:vAlign w:val="center"/>
          </w:tcPr>
          <w:p w:rsidR="0071378E" w:rsidRPr="009263D7" w:rsidRDefault="0071378E" w:rsidP="00A63760">
            <w:pPr>
              <w:widowControl/>
              <w:jc w:val="left"/>
              <w:rPr>
                <w:rFonts w:ascii="宋体" w:hAnsi="宋体" w:cs="宋体"/>
                <w:color w:val="000000" w:themeColor="text1"/>
                <w:kern w:val="0"/>
                <w:sz w:val="18"/>
                <w:szCs w:val="18"/>
              </w:rPr>
            </w:pPr>
          </w:p>
        </w:tc>
        <w:tc>
          <w:tcPr>
            <w:tcW w:w="4600" w:type="dxa"/>
            <w:tcBorders>
              <w:top w:val="nil"/>
              <w:left w:val="nil"/>
              <w:bottom w:val="single" w:sz="4" w:space="0" w:color="auto"/>
              <w:right w:val="nil"/>
            </w:tcBorders>
            <w:shd w:val="clear" w:color="auto" w:fill="auto"/>
            <w:vAlign w:val="center"/>
          </w:tcPr>
          <w:p w:rsidR="0071378E" w:rsidRPr="009263D7" w:rsidRDefault="0071378E" w:rsidP="00A63760">
            <w:pPr>
              <w:widowControl/>
              <w:jc w:val="left"/>
              <w:rPr>
                <w:rFonts w:ascii="宋体" w:hAnsi="宋体" w:cs="宋体"/>
                <w:color w:val="000000" w:themeColor="text1"/>
                <w:kern w:val="0"/>
                <w:sz w:val="18"/>
                <w:szCs w:val="18"/>
              </w:rPr>
            </w:pPr>
          </w:p>
        </w:tc>
      </w:tr>
    </w:tbl>
    <w:p w:rsidR="0071378E" w:rsidRPr="009263D7" w:rsidRDefault="0071378E" w:rsidP="0071378E">
      <w:pPr>
        <w:spacing w:line="360" w:lineRule="auto"/>
        <w:jc w:val="left"/>
        <w:rPr>
          <w:rFonts w:ascii="黑体" w:eastAsia="黑体"/>
          <w:color w:val="000000" w:themeColor="text1"/>
        </w:rPr>
      </w:pPr>
    </w:p>
    <w:p w:rsidR="0071378E" w:rsidRPr="009263D7" w:rsidRDefault="00CB4B9E" w:rsidP="0071378E">
      <w:pPr>
        <w:spacing w:line="360" w:lineRule="auto"/>
        <w:ind w:firstLineChars="200" w:firstLine="420"/>
        <w:rPr>
          <w:rFonts w:ascii="黑体" w:eastAsia="黑体"/>
          <w:color w:val="000000" w:themeColor="text1"/>
        </w:rPr>
      </w:pPr>
      <w:r w:rsidRPr="00CB4B9E">
        <w:rPr>
          <w:rFonts w:ascii="黑体" w:eastAsia="黑体"/>
          <w:color w:val="000000" w:themeColor="text1"/>
        </w:rPr>
        <w:t xml:space="preserve">2. </w:t>
      </w:r>
      <w:r w:rsidRPr="00CB4B9E">
        <w:rPr>
          <w:rFonts w:ascii="黑体" w:eastAsia="黑体" w:hint="eastAsia"/>
          <w:color w:val="000000" w:themeColor="text1"/>
        </w:rPr>
        <w:t>相关报表说明：</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int="eastAsia"/>
          <w:color w:val="000000" w:themeColor="text1"/>
        </w:rPr>
        <w:t>I0301.保险类别：</w:t>
      </w:r>
      <w:r w:rsidRPr="00CB4B9E">
        <w:rPr>
          <w:rFonts w:ascii="宋体" w:hAnsi="宋体" w:hint="eastAsia"/>
          <w:color w:val="000000" w:themeColor="text1"/>
          <w:szCs w:val="21"/>
        </w:rPr>
        <w:t>向非居民保险保险公司分出的保险划分为两类，①人寿保险和年金，包括长期人寿保险、储蓄保险、长期健康险，及年金（即养老金）；②非人寿保险，即除①以外的其他保险，如短期健康险、财险等。</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szCs w:val="21"/>
        </w:rPr>
        <w:t>I0302.</w:t>
      </w:r>
      <w:r w:rsidRPr="00CB4B9E">
        <w:rPr>
          <w:color w:val="000000" w:themeColor="text1"/>
          <w:sz w:val="18"/>
          <w:szCs w:val="18"/>
        </w:rPr>
        <w:t xml:space="preserve"> </w:t>
      </w:r>
      <w:r w:rsidRPr="00CB4B9E">
        <w:rPr>
          <w:rFonts w:ascii="黑体" w:eastAsia="黑体" w:hAnsi="宋体" w:hint="eastAsia"/>
          <w:color w:val="000000" w:themeColor="text1"/>
          <w:szCs w:val="21"/>
        </w:rPr>
        <w:t>再保险接受人所属国家</w:t>
      </w:r>
      <w:r w:rsidRPr="00CB4B9E">
        <w:rPr>
          <w:rFonts w:ascii="黑体" w:eastAsia="黑体" w:hAnsi="宋体"/>
          <w:color w:val="000000" w:themeColor="text1"/>
          <w:szCs w:val="21"/>
        </w:rPr>
        <w:t>/地区</w:t>
      </w:r>
      <w:r w:rsidRPr="00CB4B9E">
        <w:rPr>
          <w:rFonts w:ascii="黑体" w:eastAsia="黑体"/>
          <w:color w:val="000000" w:themeColor="text1"/>
        </w:rPr>
        <w:t>:</w:t>
      </w:r>
      <w:r w:rsidRPr="00CB4B9E">
        <w:rPr>
          <w:rFonts w:ascii="宋体" w:hAnsi="宋体" w:hint="eastAsia"/>
          <w:color w:val="000000" w:themeColor="text1"/>
        </w:rPr>
        <w:t>填报相关提供再保险的非居民保险机构（即再保险接受人）所属国家</w:t>
      </w:r>
      <w:r w:rsidRPr="00CB4B9E">
        <w:rPr>
          <w:rFonts w:ascii="宋体" w:hAnsi="宋体"/>
          <w:color w:val="000000" w:themeColor="text1"/>
        </w:rPr>
        <w:t>/地区</w:t>
      </w:r>
      <w:r w:rsidRPr="00CB4B9E">
        <w:rPr>
          <w:rFonts w:ascii="宋体" w:hAnsi="宋体" w:hint="eastAsia"/>
          <w:color w:val="000000" w:themeColor="text1"/>
        </w:rPr>
        <w:t>代码。</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rPr>
        <w:t>I0303.</w:t>
      </w:r>
      <w:r w:rsidRPr="00CB4B9E">
        <w:rPr>
          <w:color w:val="000000" w:themeColor="text1"/>
          <w:sz w:val="18"/>
          <w:szCs w:val="18"/>
        </w:rPr>
        <w:t xml:space="preserve"> </w:t>
      </w:r>
      <w:r w:rsidRPr="00CB4B9E">
        <w:rPr>
          <w:rFonts w:ascii="黑体" w:eastAsia="黑体" w:hAnsi="宋体" w:hint="eastAsia"/>
          <w:color w:val="000000" w:themeColor="text1"/>
        </w:rPr>
        <w:t>再保险接受人所属部门</w:t>
      </w:r>
      <w:r w:rsidRPr="00CB4B9E">
        <w:rPr>
          <w:rFonts w:ascii="黑体" w:eastAsia="黑体" w:hint="eastAsia"/>
          <w:color w:val="000000" w:themeColor="text1"/>
        </w:rPr>
        <w:t>：</w:t>
      </w:r>
      <w:r w:rsidRPr="00CB4B9E">
        <w:rPr>
          <w:rFonts w:ascii="宋体" w:hAnsi="宋体" w:hint="eastAsia"/>
          <w:color w:val="000000" w:themeColor="text1"/>
        </w:rPr>
        <w:t>请按以下五个子部门填列：①政府；②中央银行</w:t>
      </w:r>
      <w:r w:rsidRPr="00CB4B9E">
        <w:rPr>
          <w:rFonts w:ascii="宋体" w:hAnsi="宋体"/>
          <w:color w:val="000000" w:themeColor="text1"/>
        </w:rPr>
        <w:t>/货币当局；③银行；④非银行金融机构；⑤其他企业和个人。由于提供再保险的为境外保险公司，因此所属部门为：④非银行金融机构。</w:t>
      </w:r>
    </w:p>
    <w:p w:rsidR="0071378E" w:rsidRPr="009263D7" w:rsidRDefault="00CB4B9E" w:rsidP="0071378E">
      <w:pPr>
        <w:spacing w:line="360" w:lineRule="auto"/>
        <w:ind w:firstLineChars="200" w:firstLine="420"/>
        <w:rPr>
          <w:rFonts w:ascii="宋体" w:hAnsi="宋体"/>
          <w:color w:val="000000" w:themeColor="text1"/>
        </w:rPr>
      </w:pPr>
      <w:r w:rsidRPr="00CB4B9E">
        <w:rPr>
          <w:rFonts w:ascii="黑体" w:eastAsia="黑体" w:hAnsi="宋体"/>
          <w:color w:val="000000" w:themeColor="text1"/>
        </w:rPr>
        <w:t>I0304.</w:t>
      </w:r>
      <w:r w:rsidRPr="00CB4B9E">
        <w:rPr>
          <w:color w:val="000000" w:themeColor="text1"/>
          <w:sz w:val="18"/>
          <w:szCs w:val="18"/>
        </w:rPr>
        <w:t xml:space="preserve"> </w:t>
      </w:r>
      <w:r w:rsidRPr="00CB4B9E">
        <w:rPr>
          <w:rFonts w:ascii="黑体" w:eastAsia="黑体" w:hAnsi="宋体" w:hint="eastAsia"/>
          <w:color w:val="000000" w:themeColor="text1"/>
        </w:rPr>
        <w:t>再保险接受人与本机构的关系</w:t>
      </w:r>
      <w:r w:rsidRPr="00CB4B9E">
        <w:rPr>
          <w:rFonts w:ascii="黑体" w:eastAsia="黑体" w:hAnsi="宋体"/>
          <w:color w:val="000000" w:themeColor="text1"/>
        </w:rPr>
        <w:t xml:space="preserve">: </w:t>
      </w:r>
      <w:r w:rsidRPr="00CB4B9E">
        <w:rPr>
          <w:rFonts w:ascii="宋体" w:hAnsi="宋体" w:hint="eastAsia"/>
          <w:color w:val="000000" w:themeColor="text1"/>
        </w:rPr>
        <w:t>请按以下四种情况填列：①再保险接受人是本机构的境外直接投资者，即持有本机构表决权≥</w:t>
      </w:r>
      <w:r w:rsidRPr="00CB4B9E">
        <w:rPr>
          <w:rFonts w:ascii="宋体" w:hAnsi="宋体"/>
          <w:color w:val="000000" w:themeColor="text1"/>
        </w:rPr>
        <w:t>10%</w:t>
      </w:r>
      <w:r w:rsidRPr="00CB4B9E">
        <w:rPr>
          <w:rFonts w:ascii="宋体" w:hAnsi="宋体" w:hint="eastAsia"/>
          <w:color w:val="000000" w:themeColor="text1"/>
        </w:rPr>
        <w:t>；②再保险接受人是本机构的境外直接投资企业，即是本机构持有表决权在</w:t>
      </w:r>
      <w:r w:rsidRPr="00CB4B9E">
        <w:rPr>
          <w:rFonts w:ascii="宋体" w:hAnsi="宋体"/>
          <w:color w:val="000000" w:themeColor="text1"/>
        </w:rPr>
        <w:t>10%及以上的境外分支机构、子机构、联营机构或合营机构</w:t>
      </w:r>
      <w:r w:rsidRPr="00CB4B9E">
        <w:rPr>
          <w:rFonts w:ascii="宋体" w:hAnsi="宋体" w:hint="eastAsia"/>
          <w:color w:val="000000" w:themeColor="text1"/>
        </w:rPr>
        <w:t>；③再保险接受人是本机构的境外联属机构，即双方有共同母公司，但相互持有表决权＜</w:t>
      </w:r>
      <w:r w:rsidRPr="00CB4B9E">
        <w:rPr>
          <w:rFonts w:ascii="宋体" w:hAnsi="宋体"/>
          <w:color w:val="000000" w:themeColor="text1"/>
        </w:rPr>
        <w:t>10%</w:t>
      </w:r>
      <w:r w:rsidRPr="00CB4B9E">
        <w:rPr>
          <w:rFonts w:ascii="宋体" w:hAnsi="宋体" w:hint="eastAsia"/>
          <w:color w:val="000000" w:themeColor="text1"/>
        </w:rPr>
        <w:t>或相互不持有表决权；④再保险接受人与本机构无关联关系。</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I0305.填表币种：</w:t>
      </w:r>
      <w:r w:rsidRPr="00CB4B9E">
        <w:rPr>
          <w:rFonts w:ascii="宋体" w:hAnsi="宋体" w:hint="eastAsia"/>
          <w:color w:val="000000" w:themeColor="text1"/>
          <w:szCs w:val="21"/>
        </w:rPr>
        <w:t>指报告机构报送本表数据所采用的币种，</w:t>
      </w:r>
      <w:r w:rsidRPr="00CB4B9E">
        <w:rPr>
          <w:rFonts w:ascii="宋体" w:hAnsi="宋体" w:hint="eastAsia"/>
          <w:color w:val="000000" w:themeColor="text1"/>
        </w:rPr>
        <w:t>请参照数据采集规范最新版本中的相关代码表填列</w:t>
      </w:r>
      <w:r w:rsidRPr="00CB4B9E">
        <w:rPr>
          <w:rFonts w:ascii="宋体" w:hAnsi="宋体" w:hint="eastAsia"/>
          <w:color w:val="000000" w:themeColor="text1"/>
          <w:szCs w:val="21"/>
        </w:rPr>
        <w:t>。适用于</w:t>
      </w:r>
      <w:r w:rsidRPr="00CB4B9E">
        <w:rPr>
          <w:rFonts w:ascii="宋体" w:hAnsi="宋体"/>
          <w:color w:val="000000" w:themeColor="text1"/>
          <w:szCs w:val="21"/>
        </w:rPr>
        <w:t>I0306-I0310各项。</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I0306.本月分出业务保费支出：</w:t>
      </w:r>
      <w:r w:rsidRPr="00CB4B9E">
        <w:rPr>
          <w:rFonts w:ascii="宋体" w:hAnsi="宋体" w:hint="eastAsia"/>
          <w:color w:val="000000" w:themeColor="text1"/>
          <w:szCs w:val="21"/>
        </w:rPr>
        <w:t>指本月本机构向非居民再保险接受人支付的分出保费。</w:t>
      </w:r>
    </w:p>
    <w:p w:rsidR="0071378E" w:rsidRPr="009263D7" w:rsidRDefault="00CB4B9E" w:rsidP="0071378E">
      <w:pPr>
        <w:spacing w:line="360" w:lineRule="auto"/>
        <w:rPr>
          <w:rFonts w:ascii="宋体" w:hAnsi="宋体"/>
          <w:color w:val="000000" w:themeColor="text1"/>
          <w:szCs w:val="21"/>
        </w:rPr>
      </w:pPr>
      <w:r w:rsidRPr="00CB4B9E">
        <w:rPr>
          <w:rFonts w:ascii="黑体" w:eastAsia="黑体" w:hAnsi="宋体"/>
          <w:color w:val="000000" w:themeColor="text1"/>
          <w:szCs w:val="21"/>
        </w:rPr>
        <w:lastRenderedPageBreak/>
        <w:t xml:space="preserve">    I0307.本</w:t>
      </w:r>
      <w:r w:rsidRPr="00CB4B9E">
        <w:rPr>
          <w:rFonts w:ascii="黑体" w:eastAsia="黑体" w:hint="eastAsia"/>
          <w:color w:val="000000" w:themeColor="text1"/>
          <w:szCs w:val="21"/>
        </w:rPr>
        <w:t>月摊回分保费用收入</w:t>
      </w:r>
      <w:r w:rsidRPr="00CB4B9E">
        <w:rPr>
          <w:rFonts w:ascii="宋体" w:hAnsi="宋体" w:hint="eastAsia"/>
          <w:color w:val="000000" w:themeColor="text1"/>
          <w:szCs w:val="21"/>
        </w:rPr>
        <w:t>：指本月本机构从再保险接受人获得的摊回的分保费用，以及退保。</w:t>
      </w:r>
    </w:p>
    <w:p w:rsidR="0071378E" w:rsidRPr="009263D7" w:rsidRDefault="00CB4B9E" w:rsidP="0071378E">
      <w:pPr>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I0308.本月摊回赔付成本收入：</w:t>
      </w:r>
      <w:r w:rsidRPr="00CB4B9E">
        <w:rPr>
          <w:rFonts w:ascii="宋体" w:hAnsi="宋体" w:hint="eastAsia"/>
          <w:color w:val="000000" w:themeColor="text1"/>
        </w:rPr>
        <w:t>指本月本机构从再保险接受人获得的摊回的赔付成本。</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I0309.上月末应收分保责任准备金余额</w:t>
      </w:r>
      <w:r w:rsidRPr="00CB4B9E">
        <w:rPr>
          <w:rFonts w:ascii="黑体" w:eastAsia="黑体" w:hAnsi="宋体" w:hint="eastAsia"/>
          <w:color w:val="000000" w:themeColor="text1"/>
        </w:rPr>
        <w:t>：</w:t>
      </w:r>
      <w:r w:rsidRPr="00CB4B9E">
        <w:rPr>
          <w:rFonts w:ascii="宋体" w:hAnsi="宋体" w:hint="eastAsia"/>
          <w:color w:val="000000" w:themeColor="text1"/>
          <w:szCs w:val="21"/>
        </w:rPr>
        <w:t>指截至上月末，本机构应收非居民再保险接受人的摊回的责任准备金余额，</w:t>
      </w:r>
      <w:r w:rsidRPr="00CB4B9E">
        <w:rPr>
          <w:rFonts w:ascii="宋体" w:hAnsi="宋体" w:hint="eastAsia"/>
          <w:color w:val="000000" w:themeColor="text1"/>
        </w:rPr>
        <w:t>对于非寿险而言，包括</w:t>
      </w:r>
      <w:r w:rsidRPr="00CB4B9E">
        <w:rPr>
          <w:rFonts w:ascii="宋体" w:hAnsi="宋体"/>
          <w:bCs/>
          <w:color w:val="000000" w:themeColor="text1"/>
        </w:rPr>
        <w:t>未决赔款准备金</w:t>
      </w:r>
      <w:r w:rsidRPr="00CB4B9E">
        <w:rPr>
          <w:rFonts w:ascii="宋体" w:hAnsi="宋体" w:hint="eastAsia"/>
          <w:bCs/>
          <w:color w:val="000000" w:themeColor="text1"/>
        </w:rPr>
        <w:t>余额和未到期责任准备金余额。其中，</w:t>
      </w:r>
      <w:r w:rsidRPr="00CB4B9E">
        <w:rPr>
          <w:rFonts w:ascii="宋体" w:hAnsi="宋体"/>
          <w:bCs/>
          <w:color w:val="000000" w:themeColor="text1"/>
        </w:rPr>
        <w:t>未决赔款准备金</w:t>
      </w:r>
      <w:r w:rsidRPr="00CB4B9E">
        <w:rPr>
          <w:rFonts w:ascii="宋体" w:hAnsi="宋体" w:hint="eastAsia"/>
          <w:bCs/>
          <w:color w:val="000000" w:themeColor="text1"/>
        </w:rPr>
        <w:t>余额，</w:t>
      </w:r>
      <w:r w:rsidRPr="00CB4B9E">
        <w:rPr>
          <w:rFonts w:ascii="宋体" w:hAnsi="宋体"/>
          <w:bCs/>
          <w:color w:val="000000" w:themeColor="text1"/>
        </w:rPr>
        <w:t>是指</w:t>
      </w:r>
      <w:hyperlink r:id="rId24" w:history="1">
        <w:r w:rsidRPr="00CB4B9E">
          <w:rPr>
            <w:rStyle w:val="ae"/>
            <w:rFonts w:ascii="宋体" w:hAnsi="宋体"/>
            <w:bCs/>
            <w:color w:val="000000" w:themeColor="text1"/>
            <w:u w:val="none"/>
          </w:rPr>
          <w:t>保险公司</w:t>
        </w:r>
      </w:hyperlink>
      <w:r w:rsidRPr="00CB4B9E">
        <w:rPr>
          <w:rFonts w:ascii="宋体" w:hAnsi="宋体"/>
          <w:bCs/>
          <w:color w:val="000000" w:themeColor="text1"/>
        </w:rPr>
        <w:t>在</w:t>
      </w:r>
      <w:r w:rsidRPr="00CB4B9E">
        <w:rPr>
          <w:rFonts w:ascii="宋体" w:hAnsi="宋体" w:hint="eastAsia"/>
          <w:bCs/>
          <w:color w:val="000000" w:themeColor="text1"/>
        </w:rPr>
        <w:t>当期发</w:t>
      </w:r>
      <w:r w:rsidRPr="00CB4B9E">
        <w:rPr>
          <w:rFonts w:ascii="宋体" w:hAnsi="宋体"/>
          <w:bCs/>
          <w:color w:val="000000" w:themeColor="text1"/>
        </w:rPr>
        <w:t>生</w:t>
      </w:r>
      <w:hyperlink r:id="rId25" w:history="1">
        <w:r w:rsidRPr="00CB4B9E">
          <w:rPr>
            <w:rStyle w:val="ae"/>
            <w:rFonts w:ascii="宋体" w:hAnsi="宋体"/>
            <w:bCs/>
            <w:color w:val="000000" w:themeColor="text1"/>
            <w:u w:val="none"/>
          </w:rPr>
          <w:t>保险责任</w:t>
        </w:r>
      </w:hyperlink>
      <w:r w:rsidRPr="00CB4B9E">
        <w:rPr>
          <w:rFonts w:ascii="宋体" w:hAnsi="宋体"/>
          <w:bCs/>
          <w:color w:val="000000" w:themeColor="text1"/>
        </w:rPr>
        <w:t>而未赔偿或未给付保险金，</w:t>
      </w:r>
      <w:r w:rsidRPr="00CB4B9E">
        <w:rPr>
          <w:rFonts w:ascii="宋体" w:hAnsi="宋体"/>
          <w:color w:val="000000" w:themeColor="text1"/>
        </w:rPr>
        <w:t>在</w:t>
      </w:r>
      <w:r w:rsidRPr="00CB4B9E">
        <w:rPr>
          <w:rFonts w:ascii="宋体" w:hAnsi="宋体" w:hint="eastAsia"/>
          <w:color w:val="000000" w:themeColor="text1"/>
        </w:rPr>
        <w:t>当期</w:t>
      </w:r>
      <w:hyperlink r:id="rId26" w:tgtFrame="_blank" w:history="1">
        <w:r w:rsidRPr="00CB4B9E">
          <w:rPr>
            <w:rStyle w:val="ae"/>
            <w:rFonts w:ascii="宋体" w:hAnsi="宋体"/>
            <w:color w:val="000000" w:themeColor="text1"/>
            <w:u w:val="none"/>
          </w:rPr>
          <w:t>保险费</w:t>
        </w:r>
      </w:hyperlink>
      <w:r w:rsidRPr="00CB4B9E">
        <w:rPr>
          <w:rFonts w:ascii="宋体" w:hAnsi="宋体"/>
          <w:color w:val="000000" w:themeColor="text1"/>
        </w:rPr>
        <w:t>中提取的资金</w:t>
      </w:r>
      <w:r w:rsidRPr="00CB4B9E">
        <w:rPr>
          <w:rFonts w:ascii="宋体" w:hAnsi="宋体" w:hint="eastAsia"/>
          <w:color w:val="000000" w:themeColor="text1"/>
        </w:rPr>
        <w:t>，包括针对已发生已报告的保险事故和已发生未报告的保险事故而计提的准备金</w:t>
      </w:r>
      <w:r w:rsidRPr="00CB4B9E">
        <w:rPr>
          <w:rFonts w:ascii="宋体" w:hAnsi="宋体"/>
          <w:color w:val="000000" w:themeColor="text1"/>
        </w:rPr>
        <w:t>。</w:t>
      </w:r>
      <w:r w:rsidRPr="00CB4B9E">
        <w:rPr>
          <w:rFonts w:ascii="宋体" w:hAnsi="宋体" w:hint="eastAsia"/>
          <w:color w:val="000000" w:themeColor="text1"/>
          <w:szCs w:val="21"/>
        </w:rPr>
        <w:t>未到期责任准备金，</w:t>
      </w:r>
      <w:r w:rsidRPr="00CB4B9E">
        <w:rPr>
          <w:rFonts w:ascii="宋体" w:hAnsi="宋体"/>
          <w:color w:val="000000" w:themeColor="text1"/>
          <w:szCs w:val="21"/>
        </w:rPr>
        <w:t>指</w:t>
      </w:r>
      <w:r w:rsidRPr="00CB4B9E">
        <w:rPr>
          <w:rFonts w:ascii="宋体" w:hAnsi="宋体" w:hint="eastAsia"/>
          <w:color w:val="000000" w:themeColor="text1"/>
          <w:szCs w:val="21"/>
        </w:rPr>
        <w:t>保险公司</w:t>
      </w:r>
      <w:r w:rsidRPr="00CB4B9E">
        <w:rPr>
          <w:rFonts w:ascii="宋体" w:hAnsi="宋体"/>
          <w:color w:val="000000" w:themeColor="text1"/>
          <w:szCs w:val="21"/>
        </w:rPr>
        <w:t>在会计</w:t>
      </w:r>
      <w:r w:rsidRPr="00CB4B9E">
        <w:rPr>
          <w:rFonts w:ascii="宋体" w:hAnsi="宋体" w:hint="eastAsia"/>
          <w:color w:val="000000" w:themeColor="text1"/>
          <w:szCs w:val="21"/>
        </w:rPr>
        <w:t>期核算</w:t>
      </w:r>
      <w:r w:rsidRPr="00CB4B9E">
        <w:rPr>
          <w:rFonts w:ascii="宋体" w:hAnsi="宋体"/>
          <w:color w:val="000000" w:themeColor="text1"/>
          <w:szCs w:val="21"/>
        </w:rPr>
        <w:t>时，将保险责任尚未满期的，应属于下</w:t>
      </w:r>
      <w:r w:rsidRPr="00CB4B9E">
        <w:rPr>
          <w:rFonts w:ascii="宋体" w:hAnsi="宋体" w:hint="eastAsia"/>
          <w:color w:val="000000" w:themeColor="text1"/>
          <w:szCs w:val="21"/>
        </w:rPr>
        <w:t>一期</w:t>
      </w:r>
      <w:r w:rsidRPr="00CB4B9E">
        <w:rPr>
          <w:rFonts w:ascii="宋体" w:hAnsi="宋体"/>
          <w:color w:val="000000" w:themeColor="text1"/>
          <w:szCs w:val="21"/>
        </w:rPr>
        <w:t>的部分保险费提存出来所形成的准备金。</w:t>
      </w:r>
      <w:r w:rsidRPr="00CB4B9E">
        <w:rPr>
          <w:rFonts w:ascii="宋体" w:hAnsi="宋体" w:hint="eastAsia"/>
          <w:color w:val="000000" w:themeColor="text1"/>
          <w:szCs w:val="21"/>
        </w:rPr>
        <w:t>对于寿险而言，包括寿险责任准备金和长期健康险责任准备金</w:t>
      </w:r>
      <w:r w:rsidRPr="00CB4B9E">
        <w:rPr>
          <w:rFonts w:ascii="宋体" w:hAnsi="宋体" w:hint="eastAsia"/>
          <w:bCs/>
          <w:color w:val="000000" w:themeColor="text1"/>
        </w:rPr>
        <w:t>。</w:t>
      </w:r>
    </w:p>
    <w:p w:rsidR="0071378E" w:rsidRPr="009263D7" w:rsidRDefault="00CB4B9E" w:rsidP="0071378E">
      <w:pPr>
        <w:spacing w:line="360" w:lineRule="auto"/>
        <w:ind w:firstLineChars="200" w:firstLine="420"/>
        <w:rPr>
          <w:rFonts w:ascii="黑体" w:eastAsia="黑体" w:hAnsi="宋体"/>
          <w:color w:val="000000" w:themeColor="text1"/>
        </w:rPr>
      </w:pPr>
      <w:r w:rsidRPr="00CB4B9E">
        <w:rPr>
          <w:rFonts w:ascii="黑体" w:eastAsia="黑体" w:hAnsi="宋体"/>
          <w:color w:val="000000" w:themeColor="text1"/>
        </w:rPr>
        <w:t>I0310.本月末应收分保责任准备金余额</w:t>
      </w:r>
      <w:r w:rsidRPr="00CB4B9E">
        <w:rPr>
          <w:rFonts w:ascii="黑体" w:eastAsia="黑体" w:hAnsi="宋体" w:hint="eastAsia"/>
          <w:color w:val="000000" w:themeColor="text1"/>
        </w:rPr>
        <w:t>：</w:t>
      </w:r>
      <w:r w:rsidRPr="00CB4B9E">
        <w:rPr>
          <w:rFonts w:ascii="宋体" w:hAnsi="宋体" w:hint="eastAsia"/>
          <w:color w:val="000000" w:themeColor="text1"/>
          <w:szCs w:val="21"/>
        </w:rPr>
        <w:t>指截至本月末，本机构应收非居民再保险接受人的摊回的责任准备金余额，</w:t>
      </w:r>
      <w:r w:rsidRPr="00CB4B9E">
        <w:rPr>
          <w:rFonts w:ascii="宋体" w:hAnsi="宋体" w:hint="eastAsia"/>
          <w:color w:val="000000" w:themeColor="text1"/>
        </w:rPr>
        <w:t>对于非寿险而言，包括</w:t>
      </w:r>
      <w:r w:rsidRPr="00CB4B9E">
        <w:rPr>
          <w:rFonts w:ascii="宋体" w:hAnsi="宋体"/>
          <w:bCs/>
          <w:color w:val="000000" w:themeColor="text1"/>
        </w:rPr>
        <w:t>未决赔款准备金</w:t>
      </w:r>
      <w:r w:rsidRPr="00CB4B9E">
        <w:rPr>
          <w:rFonts w:ascii="宋体" w:hAnsi="宋体" w:hint="eastAsia"/>
          <w:bCs/>
          <w:color w:val="000000" w:themeColor="text1"/>
        </w:rPr>
        <w:t>余额和未到期责任准备金余额。其中，</w:t>
      </w:r>
      <w:r w:rsidRPr="00CB4B9E">
        <w:rPr>
          <w:rFonts w:ascii="宋体" w:hAnsi="宋体"/>
          <w:bCs/>
          <w:color w:val="000000" w:themeColor="text1"/>
        </w:rPr>
        <w:t>未决赔款准备金</w:t>
      </w:r>
      <w:r w:rsidRPr="00CB4B9E">
        <w:rPr>
          <w:rFonts w:ascii="宋体" w:hAnsi="宋体" w:hint="eastAsia"/>
          <w:bCs/>
          <w:color w:val="000000" w:themeColor="text1"/>
        </w:rPr>
        <w:t>余额，</w:t>
      </w:r>
      <w:r w:rsidRPr="00CB4B9E">
        <w:rPr>
          <w:rFonts w:ascii="宋体" w:hAnsi="宋体"/>
          <w:bCs/>
          <w:color w:val="000000" w:themeColor="text1"/>
        </w:rPr>
        <w:t>是指</w:t>
      </w:r>
      <w:hyperlink r:id="rId27" w:history="1">
        <w:r w:rsidRPr="00CB4B9E">
          <w:rPr>
            <w:rStyle w:val="ae"/>
            <w:rFonts w:ascii="宋体" w:hAnsi="宋体"/>
            <w:bCs/>
            <w:color w:val="000000" w:themeColor="text1"/>
            <w:u w:val="none"/>
          </w:rPr>
          <w:t>保险公司</w:t>
        </w:r>
      </w:hyperlink>
      <w:r w:rsidRPr="00CB4B9E">
        <w:rPr>
          <w:rFonts w:ascii="宋体" w:hAnsi="宋体"/>
          <w:bCs/>
          <w:color w:val="000000" w:themeColor="text1"/>
        </w:rPr>
        <w:t>在</w:t>
      </w:r>
      <w:r w:rsidRPr="00CB4B9E">
        <w:rPr>
          <w:rFonts w:ascii="宋体" w:hAnsi="宋体" w:hint="eastAsia"/>
          <w:bCs/>
          <w:color w:val="000000" w:themeColor="text1"/>
        </w:rPr>
        <w:t>当期发</w:t>
      </w:r>
      <w:r w:rsidRPr="00CB4B9E">
        <w:rPr>
          <w:rFonts w:ascii="宋体" w:hAnsi="宋体"/>
          <w:bCs/>
          <w:color w:val="000000" w:themeColor="text1"/>
        </w:rPr>
        <w:t>生</w:t>
      </w:r>
      <w:hyperlink r:id="rId28" w:history="1">
        <w:r w:rsidRPr="00CB4B9E">
          <w:rPr>
            <w:rStyle w:val="ae"/>
            <w:rFonts w:ascii="宋体" w:hAnsi="宋体"/>
            <w:bCs/>
            <w:color w:val="000000" w:themeColor="text1"/>
            <w:u w:val="none"/>
          </w:rPr>
          <w:t>保险责任</w:t>
        </w:r>
      </w:hyperlink>
      <w:r w:rsidRPr="00CB4B9E">
        <w:rPr>
          <w:rFonts w:ascii="宋体" w:hAnsi="宋体"/>
          <w:bCs/>
          <w:color w:val="000000" w:themeColor="text1"/>
        </w:rPr>
        <w:t>而未赔偿或未给付保险金，</w:t>
      </w:r>
      <w:r w:rsidRPr="00CB4B9E">
        <w:rPr>
          <w:rFonts w:ascii="宋体" w:hAnsi="宋体"/>
          <w:color w:val="000000" w:themeColor="text1"/>
        </w:rPr>
        <w:t>在</w:t>
      </w:r>
      <w:r w:rsidRPr="00CB4B9E">
        <w:rPr>
          <w:rFonts w:ascii="宋体" w:hAnsi="宋体" w:hint="eastAsia"/>
          <w:color w:val="000000" w:themeColor="text1"/>
        </w:rPr>
        <w:t>当期</w:t>
      </w:r>
      <w:hyperlink r:id="rId29" w:tgtFrame="_blank" w:history="1">
        <w:r w:rsidRPr="00CB4B9E">
          <w:rPr>
            <w:rStyle w:val="ae"/>
            <w:rFonts w:ascii="宋体" w:hAnsi="宋体"/>
            <w:color w:val="000000" w:themeColor="text1"/>
            <w:u w:val="none"/>
          </w:rPr>
          <w:t>保险费</w:t>
        </w:r>
      </w:hyperlink>
      <w:r w:rsidRPr="00CB4B9E">
        <w:rPr>
          <w:rFonts w:ascii="宋体" w:hAnsi="宋体"/>
          <w:color w:val="000000" w:themeColor="text1"/>
        </w:rPr>
        <w:t>中提取的资金</w:t>
      </w:r>
      <w:r w:rsidRPr="00CB4B9E">
        <w:rPr>
          <w:rFonts w:ascii="宋体" w:hAnsi="宋体" w:hint="eastAsia"/>
          <w:color w:val="000000" w:themeColor="text1"/>
        </w:rPr>
        <w:t>，包括针对已发生已报告的保险事故和已发生未报告的保险事故而计提的准备金</w:t>
      </w:r>
      <w:r w:rsidRPr="00CB4B9E">
        <w:rPr>
          <w:rFonts w:ascii="宋体" w:hAnsi="宋体"/>
          <w:color w:val="000000" w:themeColor="text1"/>
        </w:rPr>
        <w:t>。</w:t>
      </w:r>
      <w:r w:rsidRPr="00CB4B9E">
        <w:rPr>
          <w:rFonts w:ascii="宋体" w:hAnsi="宋体" w:hint="eastAsia"/>
          <w:color w:val="000000" w:themeColor="text1"/>
          <w:szCs w:val="21"/>
        </w:rPr>
        <w:t>未到期责任准备金，</w:t>
      </w:r>
      <w:r w:rsidRPr="00CB4B9E">
        <w:rPr>
          <w:rFonts w:ascii="宋体" w:hAnsi="宋体"/>
          <w:color w:val="000000" w:themeColor="text1"/>
          <w:szCs w:val="21"/>
        </w:rPr>
        <w:t>指</w:t>
      </w:r>
      <w:r w:rsidRPr="00CB4B9E">
        <w:rPr>
          <w:rFonts w:ascii="宋体" w:hAnsi="宋体" w:hint="eastAsia"/>
          <w:color w:val="000000" w:themeColor="text1"/>
          <w:szCs w:val="21"/>
        </w:rPr>
        <w:t>保险公司</w:t>
      </w:r>
      <w:r w:rsidRPr="00CB4B9E">
        <w:rPr>
          <w:rFonts w:ascii="宋体" w:hAnsi="宋体"/>
          <w:color w:val="000000" w:themeColor="text1"/>
          <w:szCs w:val="21"/>
        </w:rPr>
        <w:t>在会计</w:t>
      </w:r>
      <w:r w:rsidRPr="00CB4B9E">
        <w:rPr>
          <w:rFonts w:ascii="宋体" w:hAnsi="宋体" w:hint="eastAsia"/>
          <w:color w:val="000000" w:themeColor="text1"/>
          <w:szCs w:val="21"/>
        </w:rPr>
        <w:t>期核算</w:t>
      </w:r>
      <w:r w:rsidRPr="00CB4B9E">
        <w:rPr>
          <w:rFonts w:ascii="宋体" w:hAnsi="宋体"/>
          <w:color w:val="000000" w:themeColor="text1"/>
          <w:szCs w:val="21"/>
        </w:rPr>
        <w:t>时，将保险责任尚未满期的，应属于下</w:t>
      </w:r>
      <w:r w:rsidRPr="00CB4B9E">
        <w:rPr>
          <w:rFonts w:ascii="宋体" w:hAnsi="宋体" w:hint="eastAsia"/>
          <w:color w:val="000000" w:themeColor="text1"/>
          <w:szCs w:val="21"/>
        </w:rPr>
        <w:t>一期</w:t>
      </w:r>
      <w:r w:rsidRPr="00CB4B9E">
        <w:rPr>
          <w:rFonts w:ascii="宋体" w:hAnsi="宋体"/>
          <w:color w:val="000000" w:themeColor="text1"/>
          <w:szCs w:val="21"/>
        </w:rPr>
        <w:t>的部分保险费提存出来所形成的准备金。</w:t>
      </w:r>
      <w:r w:rsidRPr="00CB4B9E">
        <w:rPr>
          <w:rFonts w:ascii="宋体" w:hAnsi="宋体" w:hint="eastAsia"/>
          <w:color w:val="000000" w:themeColor="text1"/>
          <w:szCs w:val="21"/>
        </w:rPr>
        <w:t>对于寿险而言，包括寿险责任准备金和长期健康险责任准备金</w:t>
      </w:r>
      <w:r w:rsidRPr="00CB4B9E">
        <w:rPr>
          <w:rFonts w:ascii="宋体" w:hAnsi="宋体" w:hint="eastAsia"/>
          <w:bCs/>
          <w:color w:val="000000" w:themeColor="text1"/>
        </w:rPr>
        <w:t>。</w:t>
      </w:r>
    </w:p>
    <w:p w:rsidR="0071378E" w:rsidRPr="009263D7" w:rsidRDefault="00CB4B9E" w:rsidP="0071378E">
      <w:pPr>
        <w:spacing w:line="360" w:lineRule="auto"/>
        <w:ind w:firstLineChars="200" w:firstLine="420"/>
        <w:rPr>
          <w:rFonts w:ascii="宋体" w:hAnsi="宋体"/>
          <w:color w:val="000000" w:themeColor="text1"/>
          <w:szCs w:val="21"/>
        </w:rPr>
      </w:pPr>
      <w:r w:rsidRPr="00CB4B9E">
        <w:rPr>
          <w:rFonts w:ascii="黑体" w:eastAsia="黑体" w:hAnsi="宋体"/>
          <w:color w:val="000000" w:themeColor="text1"/>
        </w:rPr>
        <w:t>I0311.</w:t>
      </w:r>
      <w:r w:rsidRPr="00CB4B9E">
        <w:rPr>
          <w:rFonts w:ascii="黑体" w:eastAsia="黑体" w:hint="eastAsia"/>
          <w:color w:val="000000" w:themeColor="text1"/>
          <w:szCs w:val="21"/>
        </w:rPr>
        <w:t>备注：</w:t>
      </w:r>
      <w:r w:rsidRPr="00CB4B9E">
        <w:rPr>
          <w:rFonts w:ascii="宋体" w:hAnsi="宋体" w:hint="eastAsia"/>
          <w:color w:val="000000" w:themeColor="text1"/>
          <w:szCs w:val="21"/>
        </w:rPr>
        <w:t>指在填报本月数据时，需特别说明的部分。包括但不限于本期数据如发生较大变动，填写相关原因等。</w:t>
      </w:r>
    </w:p>
    <w:p w:rsidR="003E277A" w:rsidRPr="009263D7" w:rsidRDefault="003E277A" w:rsidP="00590133">
      <w:pPr>
        <w:spacing w:line="360" w:lineRule="auto"/>
        <w:ind w:firstLineChars="200" w:firstLine="420"/>
        <w:rPr>
          <w:rFonts w:ascii="宋体" w:hAnsi="宋体"/>
          <w:color w:val="000000" w:themeColor="text1"/>
          <w:szCs w:val="21"/>
        </w:rPr>
      </w:pPr>
    </w:p>
    <w:p w:rsidR="003E277A" w:rsidRPr="009263D7" w:rsidRDefault="00CB4B9E" w:rsidP="003E277A">
      <w:pPr>
        <w:spacing w:line="360" w:lineRule="auto"/>
        <w:ind w:rightChars="154" w:right="323" w:firstLineChars="200" w:firstLine="480"/>
        <w:rPr>
          <w:rFonts w:ascii="黑体" w:eastAsia="黑体"/>
          <w:color w:val="000000" w:themeColor="text1"/>
          <w:sz w:val="24"/>
        </w:rPr>
      </w:pPr>
      <w:r w:rsidRPr="00CB4B9E">
        <w:rPr>
          <w:rFonts w:ascii="黑体" w:eastAsia="黑体" w:hint="eastAsia"/>
          <w:color w:val="000000" w:themeColor="text1"/>
          <w:sz w:val="24"/>
        </w:rPr>
        <w:t>（十一）补充报表：</w:t>
      </w:r>
      <w:r w:rsidRPr="00CB4B9E">
        <w:rPr>
          <w:rFonts w:ascii="黑体" w:eastAsia="黑体" w:hAnsi="宋体" w:hint="eastAsia"/>
          <w:color w:val="000000" w:themeColor="text1"/>
          <w:kern w:val="0"/>
          <w:sz w:val="24"/>
        </w:rPr>
        <w:t>银行进出口贸易融资余额</w:t>
      </w:r>
    </w:p>
    <w:p w:rsidR="003E277A" w:rsidRPr="009263D7" w:rsidRDefault="00CB4B9E" w:rsidP="00E72ADA">
      <w:pPr>
        <w:spacing w:line="360" w:lineRule="auto"/>
        <w:ind w:firstLineChars="200" w:firstLine="420"/>
        <w:rPr>
          <w:rFonts w:ascii="宋体" w:hAnsi="宋体"/>
          <w:color w:val="000000" w:themeColor="text1"/>
          <w:szCs w:val="21"/>
        </w:rPr>
      </w:pPr>
      <w:r w:rsidRPr="00CB4B9E">
        <w:rPr>
          <w:rFonts w:ascii="宋体" w:hAnsi="宋体" w:hint="eastAsia"/>
          <w:color w:val="000000" w:themeColor="text1"/>
          <w:szCs w:val="21"/>
        </w:rPr>
        <w:t>以下为补充报表，是为特定统计分析目的而采集的专题报表，其在统计内容上与</w:t>
      </w:r>
      <w:r w:rsidRPr="00CB4B9E">
        <w:rPr>
          <w:rFonts w:ascii="宋体" w:hAnsi="宋体"/>
          <w:color w:val="000000" w:themeColor="text1"/>
          <w:szCs w:val="21"/>
        </w:rPr>
        <w:t>A—I类</w:t>
      </w:r>
      <w:r w:rsidRPr="00CB4B9E">
        <w:rPr>
          <w:rFonts w:ascii="宋体" w:hAnsi="宋体" w:hint="eastAsia"/>
          <w:color w:val="000000" w:themeColor="text1"/>
          <w:szCs w:val="21"/>
        </w:rPr>
        <w:t>基本报表可能重合，但角度不同。如海外代付业务，其为境内银行与境外银行之间的同业拆借行为，除需要纳入基本报表</w:t>
      </w:r>
      <w:r w:rsidRPr="00CB4B9E">
        <w:rPr>
          <w:rFonts w:ascii="宋体" w:hAnsi="宋体"/>
          <w:color w:val="000000" w:themeColor="text1"/>
          <w:szCs w:val="21"/>
        </w:rPr>
        <w:t xml:space="preserve"> </w:t>
      </w:r>
      <w:r w:rsidRPr="00CB4B9E">
        <w:rPr>
          <w:rFonts w:ascii="宋体" w:hAnsi="宋体" w:hint="eastAsia"/>
          <w:color w:val="000000" w:themeColor="text1"/>
          <w:szCs w:val="21"/>
        </w:rPr>
        <w:t>“</w:t>
      </w:r>
      <w:r w:rsidRPr="00CB4B9E">
        <w:rPr>
          <w:rFonts w:ascii="宋体" w:hAnsi="宋体"/>
          <w:color w:val="000000" w:themeColor="text1"/>
          <w:szCs w:val="21"/>
        </w:rPr>
        <w:t>D06</w:t>
      </w:r>
      <w:r w:rsidRPr="00CB4B9E">
        <w:rPr>
          <w:rFonts w:ascii="宋体" w:hAnsi="宋体" w:hint="eastAsia"/>
          <w:color w:val="000000" w:themeColor="text1"/>
          <w:szCs w:val="21"/>
        </w:rPr>
        <w:t>表</w:t>
      </w:r>
      <w:r w:rsidRPr="00CB4B9E">
        <w:rPr>
          <w:rFonts w:ascii="宋体" w:hAnsi="宋体"/>
          <w:color w:val="000000" w:themeColor="text1"/>
          <w:szCs w:val="21"/>
        </w:rPr>
        <w:t xml:space="preserve"> </w:t>
      </w:r>
      <w:r w:rsidRPr="00CB4B9E">
        <w:rPr>
          <w:rFonts w:ascii="宋体" w:hAnsi="宋体" w:hint="eastAsia"/>
          <w:color w:val="000000" w:themeColor="text1"/>
          <w:szCs w:val="21"/>
        </w:rPr>
        <w:t>贷款（含银行同业和联行拆借（负债））</w:t>
      </w:r>
      <w:r w:rsidRPr="00CB4B9E">
        <w:rPr>
          <w:rFonts w:ascii="宋体" w:hAnsi="宋体"/>
          <w:color w:val="000000" w:themeColor="text1"/>
          <w:szCs w:val="21"/>
        </w:rPr>
        <w:t>”</w:t>
      </w:r>
      <w:r w:rsidRPr="00CB4B9E">
        <w:rPr>
          <w:rFonts w:ascii="宋体" w:hAnsi="宋体" w:hint="eastAsia"/>
          <w:color w:val="000000" w:themeColor="text1"/>
          <w:szCs w:val="21"/>
        </w:rPr>
        <w:t>统计外，还需要纳入补充报表</w:t>
      </w:r>
      <w:r w:rsidRPr="00CB4B9E">
        <w:rPr>
          <w:rFonts w:ascii="宋体" w:hAnsi="宋体"/>
          <w:color w:val="000000" w:themeColor="text1"/>
          <w:szCs w:val="21"/>
        </w:rPr>
        <w:t xml:space="preserve"> </w:t>
      </w:r>
      <w:r w:rsidRPr="00CB4B9E">
        <w:rPr>
          <w:rFonts w:ascii="宋体" w:hAnsi="宋体" w:hint="eastAsia"/>
          <w:color w:val="000000" w:themeColor="text1"/>
          <w:szCs w:val="21"/>
        </w:rPr>
        <w:t>“</w:t>
      </w:r>
      <w:r w:rsidRPr="00CB4B9E">
        <w:rPr>
          <w:rFonts w:ascii="宋体" w:hAnsi="宋体"/>
          <w:color w:val="000000" w:themeColor="text1"/>
          <w:szCs w:val="21"/>
        </w:rPr>
        <w:t>X01表银行进</w:t>
      </w:r>
      <w:r w:rsidRPr="00CB4B9E">
        <w:rPr>
          <w:rFonts w:ascii="宋体" w:hAnsi="宋体" w:hint="eastAsia"/>
          <w:color w:val="000000" w:themeColor="text1"/>
          <w:szCs w:val="21"/>
        </w:rPr>
        <w:t>出口贸易融资余额”统计。</w:t>
      </w:r>
    </w:p>
    <w:p w:rsidR="003E277A" w:rsidRPr="009263D7" w:rsidRDefault="00CB4B9E" w:rsidP="003E277A">
      <w:pPr>
        <w:spacing w:line="360" w:lineRule="auto"/>
        <w:ind w:firstLineChars="200" w:firstLine="420"/>
        <w:rPr>
          <w:color w:val="000000" w:themeColor="text1"/>
        </w:rPr>
      </w:pPr>
      <w:r w:rsidRPr="00CB4B9E">
        <w:rPr>
          <w:rFonts w:ascii="黑体" w:eastAsia="黑体" w:hint="eastAsia"/>
          <w:color w:val="000000" w:themeColor="text1"/>
        </w:rPr>
        <w:t>1．统计内容：</w:t>
      </w:r>
      <w:r w:rsidRPr="00CB4B9E">
        <w:rPr>
          <w:rFonts w:ascii="宋体" w:hAnsi="宋体" w:hint="eastAsia"/>
          <w:color w:val="000000" w:themeColor="text1"/>
        </w:rPr>
        <w:t>境内银行为进出口企业提供贸易融资等情况。</w:t>
      </w:r>
    </w:p>
    <w:tbl>
      <w:tblPr>
        <w:tblW w:w="9430" w:type="dxa"/>
        <w:tblInd w:w="97" w:type="dxa"/>
        <w:tblLook w:val="04A0"/>
      </w:tblPr>
      <w:tblGrid>
        <w:gridCol w:w="4835"/>
        <w:gridCol w:w="4595"/>
      </w:tblGrid>
      <w:tr w:rsidR="003E277A" w:rsidRPr="009263D7" w:rsidTr="00881CAF">
        <w:trPr>
          <w:trHeight w:val="267"/>
        </w:trPr>
        <w:tc>
          <w:tcPr>
            <w:tcW w:w="4835" w:type="dxa"/>
            <w:tcBorders>
              <w:top w:val="single" w:sz="8" w:space="0" w:color="auto"/>
              <w:left w:val="nil"/>
              <w:bottom w:val="single" w:sz="4" w:space="0" w:color="auto"/>
              <w:right w:val="single" w:sz="4" w:space="0" w:color="auto"/>
            </w:tcBorders>
            <w:shd w:val="clear" w:color="auto" w:fill="auto"/>
            <w:noWrap/>
            <w:vAlign w:val="center"/>
          </w:tcPr>
          <w:p w:rsidR="003E277A" w:rsidRPr="009263D7" w:rsidRDefault="00CB4B9E" w:rsidP="003E277A">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包</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括</w:t>
            </w:r>
          </w:p>
        </w:tc>
        <w:tc>
          <w:tcPr>
            <w:tcW w:w="4595" w:type="dxa"/>
            <w:tcBorders>
              <w:top w:val="single" w:sz="8" w:space="0" w:color="auto"/>
              <w:left w:val="nil"/>
              <w:bottom w:val="single" w:sz="4" w:space="0" w:color="auto"/>
              <w:right w:val="nil"/>
            </w:tcBorders>
            <w:shd w:val="clear" w:color="auto" w:fill="auto"/>
            <w:noWrap/>
            <w:vAlign w:val="center"/>
          </w:tcPr>
          <w:p w:rsidR="003E277A" w:rsidRPr="009263D7" w:rsidRDefault="00CB4B9E" w:rsidP="003E277A">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不</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包</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括</w:t>
            </w:r>
          </w:p>
        </w:tc>
      </w:tr>
      <w:tr w:rsidR="003E277A" w:rsidRPr="009263D7" w:rsidTr="00881CAF">
        <w:trPr>
          <w:trHeight w:val="267"/>
        </w:trPr>
        <w:tc>
          <w:tcPr>
            <w:tcW w:w="4835" w:type="dxa"/>
            <w:tcBorders>
              <w:top w:val="nil"/>
              <w:left w:val="nil"/>
              <w:bottom w:val="single" w:sz="4" w:space="0" w:color="auto"/>
              <w:right w:val="single" w:sz="4" w:space="0" w:color="auto"/>
            </w:tcBorders>
            <w:shd w:val="clear" w:color="auto" w:fill="auto"/>
            <w:vAlign w:val="center"/>
          </w:tcPr>
          <w:p w:rsidR="003E277A" w:rsidRPr="009263D7" w:rsidRDefault="00CB4B9E" w:rsidP="00A21AB5">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1.境内银行进口贸易融资业务余额，及境内银行知悉的境外银行为进口贸易融资情况。</w:t>
            </w:r>
          </w:p>
        </w:tc>
        <w:tc>
          <w:tcPr>
            <w:tcW w:w="4595" w:type="dxa"/>
            <w:tcBorders>
              <w:top w:val="nil"/>
              <w:left w:val="nil"/>
              <w:bottom w:val="single" w:sz="4" w:space="0" w:color="auto"/>
              <w:right w:val="nil"/>
            </w:tcBorders>
            <w:shd w:val="clear" w:color="auto" w:fill="auto"/>
            <w:vAlign w:val="center"/>
          </w:tcPr>
          <w:p w:rsidR="003E277A" w:rsidRPr="009263D7" w:rsidRDefault="00CB4B9E" w:rsidP="003E277A">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1.境内银行对境内货物贸易提供的融资余额。</w:t>
            </w:r>
          </w:p>
        </w:tc>
      </w:tr>
      <w:tr w:rsidR="003E277A" w:rsidRPr="009263D7" w:rsidTr="00881CAF">
        <w:trPr>
          <w:trHeight w:val="267"/>
        </w:trPr>
        <w:tc>
          <w:tcPr>
            <w:tcW w:w="4835" w:type="dxa"/>
            <w:tcBorders>
              <w:top w:val="nil"/>
              <w:left w:val="nil"/>
              <w:bottom w:val="single" w:sz="4" w:space="0" w:color="auto"/>
              <w:right w:val="single" w:sz="4" w:space="0" w:color="auto"/>
            </w:tcBorders>
            <w:shd w:val="clear" w:color="auto" w:fill="auto"/>
            <w:vAlign w:val="center"/>
          </w:tcPr>
          <w:p w:rsidR="003E277A" w:rsidRPr="009263D7" w:rsidRDefault="00CB4B9E" w:rsidP="00A21AB5">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 xml:space="preserve">2. </w:t>
            </w:r>
            <w:r w:rsidRPr="00CB4B9E">
              <w:rPr>
                <w:rFonts w:ascii="宋体" w:hAnsi="宋体" w:cs="宋体" w:hint="eastAsia"/>
                <w:color w:val="000000" w:themeColor="text1"/>
                <w:kern w:val="0"/>
                <w:sz w:val="18"/>
                <w:szCs w:val="18"/>
              </w:rPr>
              <w:t>境内银行提供担保或居间服务下境外银行提供贷款性质融资，及境内银行知悉的境外银行为出口贸易融资情况。</w:t>
            </w:r>
          </w:p>
        </w:tc>
        <w:tc>
          <w:tcPr>
            <w:tcW w:w="4595" w:type="dxa"/>
            <w:tcBorders>
              <w:top w:val="nil"/>
              <w:left w:val="nil"/>
              <w:bottom w:val="single" w:sz="4" w:space="0" w:color="auto"/>
              <w:right w:val="nil"/>
            </w:tcBorders>
            <w:shd w:val="clear" w:color="auto" w:fill="auto"/>
            <w:vAlign w:val="center"/>
          </w:tcPr>
          <w:p w:rsidR="003E277A" w:rsidRPr="009263D7" w:rsidRDefault="003E277A" w:rsidP="003E277A">
            <w:pPr>
              <w:widowControl/>
              <w:jc w:val="left"/>
              <w:rPr>
                <w:rFonts w:ascii="宋体" w:hAnsi="宋体" w:cs="宋体"/>
                <w:color w:val="000000" w:themeColor="text1"/>
                <w:kern w:val="0"/>
                <w:sz w:val="18"/>
                <w:szCs w:val="18"/>
              </w:rPr>
            </w:pPr>
          </w:p>
        </w:tc>
      </w:tr>
    </w:tbl>
    <w:p w:rsidR="003E277A" w:rsidRPr="009263D7" w:rsidRDefault="003E277A" w:rsidP="003E277A">
      <w:pPr>
        <w:rPr>
          <w:color w:val="000000" w:themeColor="text1"/>
        </w:rPr>
      </w:pPr>
    </w:p>
    <w:p w:rsidR="003E277A" w:rsidRPr="009263D7" w:rsidRDefault="00CB4B9E" w:rsidP="003E277A">
      <w:pPr>
        <w:spacing w:line="360" w:lineRule="auto"/>
        <w:ind w:firstLineChars="200" w:firstLine="420"/>
        <w:jc w:val="left"/>
        <w:rPr>
          <w:rFonts w:ascii="黑体" w:eastAsia="黑体"/>
          <w:color w:val="000000" w:themeColor="text1"/>
        </w:rPr>
      </w:pPr>
      <w:r w:rsidRPr="00CB4B9E">
        <w:rPr>
          <w:rFonts w:ascii="黑体" w:eastAsia="黑体"/>
          <w:color w:val="000000" w:themeColor="text1"/>
        </w:rPr>
        <w:t xml:space="preserve">2. </w:t>
      </w:r>
      <w:r w:rsidRPr="00CB4B9E">
        <w:rPr>
          <w:rFonts w:ascii="黑体" w:eastAsia="黑体" w:hint="eastAsia"/>
          <w:color w:val="000000" w:themeColor="text1"/>
        </w:rPr>
        <w:t>相关报表说明：</w:t>
      </w:r>
    </w:p>
    <w:p w:rsidR="003E277A" w:rsidRPr="009263D7" w:rsidRDefault="00CB4B9E" w:rsidP="00823776">
      <w:pPr>
        <w:spacing w:line="360" w:lineRule="auto"/>
        <w:ind w:firstLineChars="200" w:firstLine="480"/>
        <w:jc w:val="left"/>
        <w:rPr>
          <w:rFonts w:ascii="黑体" w:eastAsia="黑体"/>
          <w:color w:val="000000" w:themeColor="text1"/>
          <w:sz w:val="24"/>
        </w:rPr>
      </w:pPr>
      <w:r w:rsidRPr="00CB4B9E">
        <w:rPr>
          <w:rFonts w:ascii="黑体" w:eastAsia="黑体" w:hint="eastAsia"/>
          <w:color w:val="000000" w:themeColor="text1"/>
          <w:sz w:val="24"/>
        </w:rPr>
        <w:t>X01表：银行进出口贸易融资余额</w:t>
      </w:r>
    </w:p>
    <w:p w:rsidR="003E277A" w:rsidRPr="009263D7" w:rsidRDefault="00CB4B9E" w:rsidP="003E277A">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szCs w:val="21"/>
        </w:rPr>
        <w:t xml:space="preserve">1000. </w:t>
      </w:r>
      <w:r w:rsidRPr="00CB4B9E">
        <w:rPr>
          <w:rFonts w:ascii="黑体" w:eastAsia="黑体" w:hAnsi="宋体" w:cs="宋体" w:hint="eastAsia"/>
          <w:color w:val="000000" w:themeColor="text1"/>
          <w:kern w:val="0"/>
          <w:szCs w:val="21"/>
        </w:rPr>
        <w:t>银行进口贸易融资业务——境外银行提供贸易融资</w:t>
      </w:r>
      <w:r w:rsidRPr="00CB4B9E">
        <w:rPr>
          <w:rFonts w:ascii="黑体" w:eastAsia="黑体"/>
          <w:color w:val="000000" w:themeColor="text1"/>
          <w:szCs w:val="21"/>
        </w:rPr>
        <w:t>:</w:t>
      </w:r>
      <w:r w:rsidRPr="00CB4B9E">
        <w:rPr>
          <w:rFonts w:ascii="黑体" w:eastAsia="黑体" w:hAnsi="宋体"/>
          <w:color w:val="000000" w:themeColor="text1"/>
          <w:szCs w:val="21"/>
        </w:rPr>
        <w:t xml:space="preserve"> </w:t>
      </w:r>
      <w:r w:rsidRPr="00CB4B9E">
        <w:rPr>
          <w:rFonts w:ascii="宋体" w:hAnsi="宋体" w:hint="eastAsia"/>
          <w:color w:val="000000" w:themeColor="text1"/>
          <w:szCs w:val="21"/>
        </w:rPr>
        <w:t>指境外银行为境内进口企业向境外出</w:t>
      </w:r>
      <w:r w:rsidRPr="00CB4B9E">
        <w:rPr>
          <w:rFonts w:ascii="宋体" w:hAnsi="宋体" w:hint="eastAsia"/>
          <w:color w:val="000000" w:themeColor="text1"/>
          <w:szCs w:val="21"/>
        </w:rPr>
        <w:lastRenderedPageBreak/>
        <w:t>口企业在境外垫付进口货款。此项目由最终与境外银行发生代付等业务关系的境内银行填报。为</w:t>
      </w:r>
      <w:r w:rsidRPr="00CB4B9E">
        <w:rPr>
          <w:rFonts w:ascii="宋体" w:hAnsi="宋体"/>
          <w:color w:val="000000" w:themeColor="text1"/>
          <w:szCs w:val="21"/>
        </w:rPr>
        <w:t>1100、1200和1300三项合计。</w:t>
      </w:r>
    </w:p>
    <w:p w:rsidR="004375DF" w:rsidRPr="009263D7" w:rsidRDefault="00CB4B9E" w:rsidP="003E277A">
      <w:pPr>
        <w:spacing w:line="360" w:lineRule="auto"/>
        <w:ind w:firstLineChars="200" w:firstLine="420"/>
        <w:jc w:val="left"/>
        <w:rPr>
          <w:rFonts w:ascii="黑体" w:eastAsia="黑体" w:hAnsi="宋体"/>
          <w:color w:val="000000" w:themeColor="text1"/>
          <w:szCs w:val="21"/>
        </w:rPr>
      </w:pPr>
      <w:r w:rsidRPr="00CB4B9E">
        <w:rPr>
          <w:rFonts w:ascii="黑体" w:eastAsia="黑体" w:hAnsi="宋体"/>
          <w:color w:val="000000" w:themeColor="text1"/>
          <w:szCs w:val="21"/>
        </w:rPr>
        <w:t>1001.其中：人民币：</w:t>
      </w:r>
      <w:r w:rsidRPr="00CB4B9E">
        <w:rPr>
          <w:rFonts w:ascii="宋体" w:hAnsi="宋体" w:hint="eastAsia"/>
          <w:color w:val="000000" w:themeColor="text1"/>
          <w:szCs w:val="21"/>
        </w:rPr>
        <w:t>指</w:t>
      </w:r>
      <w:r w:rsidRPr="00CB4B9E">
        <w:rPr>
          <w:rFonts w:ascii="宋体" w:hAnsi="宋体"/>
          <w:color w:val="000000" w:themeColor="text1"/>
          <w:szCs w:val="21"/>
        </w:rPr>
        <w:t>1000项目余额中的人民币部分。</w:t>
      </w:r>
    </w:p>
    <w:p w:rsidR="003E277A" w:rsidRPr="009263D7" w:rsidRDefault="00CB4B9E" w:rsidP="003E277A">
      <w:pPr>
        <w:spacing w:line="360" w:lineRule="auto"/>
        <w:ind w:firstLineChars="200" w:firstLine="420"/>
        <w:jc w:val="left"/>
        <w:rPr>
          <w:rFonts w:ascii="宋体" w:hAnsi="宋体"/>
          <w:color w:val="000000" w:themeColor="text1"/>
        </w:rPr>
      </w:pPr>
      <w:r w:rsidRPr="00CB4B9E">
        <w:rPr>
          <w:rFonts w:ascii="黑体" w:eastAsia="黑体"/>
          <w:color w:val="000000" w:themeColor="text1"/>
          <w:szCs w:val="21"/>
        </w:rPr>
        <w:t xml:space="preserve">1100. </w:t>
      </w:r>
      <w:r w:rsidRPr="00CB4B9E">
        <w:rPr>
          <w:rFonts w:ascii="黑体" w:eastAsia="黑体" w:hAnsi="宋体" w:cs="宋体" w:hint="eastAsia"/>
          <w:color w:val="000000" w:themeColor="text1"/>
          <w:kern w:val="0"/>
          <w:szCs w:val="21"/>
        </w:rPr>
        <w:t>海外代付（境内银行名义融资）：</w:t>
      </w:r>
      <w:r w:rsidRPr="00CB4B9E">
        <w:rPr>
          <w:rFonts w:ascii="宋体" w:hAnsi="宋体" w:hint="eastAsia"/>
          <w:color w:val="000000" w:themeColor="text1"/>
          <w:szCs w:val="21"/>
        </w:rPr>
        <w:t>境内银行以自身名义直接从境外银行融资，委托境外银行为境内进口企业在境外向境外出口企业支付货款；在境内银行以自身名义从境外银行融资时，境内银行与境外代付银行存在债务关系；境内进口企业与境内银行存在债务关系，但与境外银行无直接债务关系。</w:t>
      </w:r>
    </w:p>
    <w:p w:rsidR="004375DF" w:rsidRPr="009263D7" w:rsidRDefault="00CB4B9E" w:rsidP="004375DF">
      <w:pPr>
        <w:spacing w:line="360" w:lineRule="auto"/>
        <w:ind w:firstLineChars="200" w:firstLine="420"/>
        <w:jc w:val="left"/>
        <w:rPr>
          <w:rFonts w:ascii="宋体" w:hAnsi="宋体"/>
          <w:color w:val="000000" w:themeColor="text1"/>
          <w:szCs w:val="21"/>
        </w:rPr>
      </w:pPr>
      <w:r w:rsidRPr="00CB4B9E">
        <w:rPr>
          <w:rFonts w:ascii="黑体" w:eastAsia="黑体"/>
          <w:color w:val="000000" w:themeColor="text1"/>
          <w:szCs w:val="21"/>
        </w:rPr>
        <w:t>1101.</w:t>
      </w:r>
      <w:r w:rsidRPr="00CB4B9E">
        <w:rPr>
          <w:rFonts w:ascii="黑体" w:eastAsia="黑体" w:hAnsi="宋体" w:cs="宋体" w:hint="eastAsia"/>
          <w:color w:val="000000" w:themeColor="text1"/>
          <w:kern w:val="0"/>
          <w:szCs w:val="21"/>
        </w:rPr>
        <w:t>其中：人民币：</w:t>
      </w:r>
      <w:r w:rsidRPr="00CB4B9E">
        <w:rPr>
          <w:rFonts w:ascii="宋体" w:hAnsi="宋体" w:hint="eastAsia"/>
          <w:color w:val="000000" w:themeColor="text1"/>
          <w:szCs w:val="21"/>
        </w:rPr>
        <w:t>指</w:t>
      </w:r>
      <w:r w:rsidRPr="00CB4B9E">
        <w:rPr>
          <w:rFonts w:ascii="宋体" w:hAnsi="宋体"/>
          <w:color w:val="000000" w:themeColor="text1"/>
          <w:szCs w:val="21"/>
        </w:rPr>
        <w:t>1100项目（海外代付，境内银行名义融资）余额中的人民币部分。</w:t>
      </w:r>
    </w:p>
    <w:p w:rsidR="00A07D6A" w:rsidRPr="009263D7" w:rsidRDefault="00CB4B9E" w:rsidP="00A07D6A">
      <w:pPr>
        <w:spacing w:line="360" w:lineRule="auto"/>
        <w:ind w:firstLineChars="200" w:firstLine="420"/>
        <w:jc w:val="left"/>
        <w:rPr>
          <w:rFonts w:ascii="宋体" w:hAnsi="宋体"/>
          <w:color w:val="000000" w:themeColor="text1"/>
        </w:rPr>
      </w:pPr>
      <w:r w:rsidRPr="00CB4B9E">
        <w:rPr>
          <w:rFonts w:ascii="黑体" w:eastAsia="黑体"/>
          <w:color w:val="000000" w:themeColor="text1"/>
          <w:szCs w:val="21"/>
        </w:rPr>
        <w:t xml:space="preserve">1110. </w:t>
      </w:r>
      <w:r w:rsidRPr="00CB4B9E">
        <w:rPr>
          <w:rFonts w:ascii="黑体" w:eastAsia="黑体" w:hAnsi="宋体" w:cs="宋体" w:hint="eastAsia"/>
          <w:color w:val="000000" w:themeColor="text1"/>
          <w:kern w:val="0"/>
          <w:szCs w:val="21"/>
        </w:rPr>
        <w:t>海外代付（境内银行名义融资）（</w:t>
      </w:r>
      <w:r w:rsidRPr="00CB4B9E">
        <w:rPr>
          <w:rFonts w:ascii="黑体" w:eastAsia="黑体" w:hAnsi="宋体" w:cs="宋体"/>
          <w:color w:val="000000" w:themeColor="text1"/>
          <w:kern w:val="0"/>
          <w:szCs w:val="21"/>
        </w:rPr>
        <w:t>90天及以下）：</w:t>
      </w:r>
      <w:r w:rsidRPr="00CB4B9E">
        <w:rPr>
          <w:rFonts w:ascii="宋体" w:hAnsi="宋体" w:hint="eastAsia"/>
          <w:color w:val="000000" w:themeColor="text1"/>
          <w:szCs w:val="21"/>
        </w:rPr>
        <w:t>指</w:t>
      </w:r>
      <w:r w:rsidRPr="00CB4B9E">
        <w:rPr>
          <w:rFonts w:ascii="宋体" w:hAnsi="宋体"/>
          <w:color w:val="000000" w:themeColor="text1"/>
          <w:szCs w:val="21"/>
        </w:rPr>
        <w:t>90天及以下的</w:t>
      </w:r>
      <w:r w:rsidRPr="00CB4B9E">
        <w:rPr>
          <w:rFonts w:ascii="宋体" w:hAnsi="宋体" w:hint="eastAsia"/>
          <w:color w:val="000000" w:themeColor="text1"/>
          <w:szCs w:val="21"/>
        </w:rPr>
        <w:t>境内银行以自身名义直接从境外银行融资，委托境外银行为境内进口企业在境外向境外出口企业支付货款；在境内银行以自身名义从境外银行融资时，境内银行与境外代付银行存在债务关系；境内进口企业与境内银行存在债务关系，但与境外银行无直接债务关系。</w:t>
      </w:r>
    </w:p>
    <w:p w:rsidR="00A07D6A" w:rsidRPr="009263D7" w:rsidRDefault="00CB4B9E" w:rsidP="004375DF">
      <w:pPr>
        <w:spacing w:line="360" w:lineRule="auto"/>
        <w:ind w:firstLineChars="200" w:firstLine="420"/>
        <w:jc w:val="left"/>
        <w:rPr>
          <w:rFonts w:ascii="宋体" w:hAnsi="宋体"/>
          <w:color w:val="000000" w:themeColor="text1"/>
        </w:rPr>
      </w:pPr>
      <w:r w:rsidRPr="00CB4B9E">
        <w:rPr>
          <w:rFonts w:ascii="黑体" w:eastAsia="黑体"/>
          <w:color w:val="000000" w:themeColor="text1"/>
          <w:szCs w:val="21"/>
        </w:rPr>
        <w:t>1111.</w:t>
      </w:r>
      <w:r w:rsidRPr="00CB4B9E">
        <w:rPr>
          <w:rFonts w:ascii="黑体" w:eastAsia="黑体" w:hAnsi="宋体" w:cs="宋体" w:hint="eastAsia"/>
          <w:color w:val="000000" w:themeColor="text1"/>
          <w:kern w:val="0"/>
          <w:szCs w:val="21"/>
        </w:rPr>
        <w:t>其中：人民币：</w:t>
      </w:r>
      <w:r w:rsidRPr="00CB4B9E">
        <w:rPr>
          <w:rFonts w:ascii="宋体" w:hAnsi="宋体" w:hint="eastAsia"/>
          <w:color w:val="000000" w:themeColor="text1"/>
          <w:szCs w:val="21"/>
        </w:rPr>
        <w:t>指</w:t>
      </w:r>
      <w:r w:rsidRPr="00CB4B9E">
        <w:rPr>
          <w:rFonts w:ascii="宋体" w:hAnsi="宋体"/>
          <w:color w:val="000000" w:themeColor="text1"/>
          <w:szCs w:val="21"/>
        </w:rPr>
        <w:t>1110项目（90天及以下</w:t>
      </w:r>
      <w:r w:rsidRPr="00CB4B9E">
        <w:rPr>
          <w:rFonts w:ascii="宋体" w:hAnsi="宋体" w:hint="eastAsia"/>
          <w:color w:val="000000" w:themeColor="text1"/>
          <w:szCs w:val="21"/>
        </w:rPr>
        <w:t>海外代付，境内银行名义融资）余额中的人民币部分。</w:t>
      </w:r>
    </w:p>
    <w:p w:rsidR="003E277A" w:rsidRPr="009263D7" w:rsidRDefault="00CB4B9E" w:rsidP="003E277A">
      <w:pPr>
        <w:spacing w:line="360" w:lineRule="auto"/>
        <w:ind w:firstLineChars="200" w:firstLine="420"/>
        <w:jc w:val="left"/>
        <w:rPr>
          <w:rFonts w:ascii="宋体" w:hAnsi="宋体"/>
          <w:color w:val="000000" w:themeColor="text1"/>
          <w:szCs w:val="21"/>
        </w:rPr>
      </w:pPr>
      <w:r w:rsidRPr="00CB4B9E">
        <w:rPr>
          <w:rFonts w:ascii="黑体" w:eastAsia="黑体"/>
          <w:color w:val="000000" w:themeColor="text1"/>
          <w:szCs w:val="21"/>
        </w:rPr>
        <w:t>1200.</w:t>
      </w:r>
      <w:r w:rsidRPr="00CB4B9E">
        <w:rPr>
          <w:rFonts w:ascii="黑体" w:eastAsia="黑体" w:hAnsi="宋体" w:cs="宋体"/>
          <w:color w:val="000000" w:themeColor="text1"/>
          <w:kern w:val="0"/>
          <w:szCs w:val="21"/>
        </w:rPr>
        <w:t xml:space="preserve"> 境内银行提供担保：</w:t>
      </w:r>
      <w:r w:rsidRPr="00CB4B9E">
        <w:rPr>
          <w:rFonts w:ascii="宋体" w:hAnsi="宋体" w:hint="eastAsia"/>
          <w:color w:val="000000" w:themeColor="text1"/>
          <w:szCs w:val="21"/>
        </w:rPr>
        <w:t>指境内进口企业直接从境外银行融资，委托境外银行为其在境外向境外出口企业支付货款，境内银行为境内进口企业从境外银行融资的行为提供担保；此时，境内进口企业作为主债务人承担对境外银行的债务，其与境内银行无直接债务关系，境内银行作为担保人在境内进口企业无法履行还款义务时承担还款责任。</w:t>
      </w:r>
    </w:p>
    <w:p w:rsidR="004375DF" w:rsidRPr="009263D7" w:rsidRDefault="00CB4B9E" w:rsidP="004375DF">
      <w:pPr>
        <w:spacing w:line="360" w:lineRule="auto"/>
        <w:ind w:firstLineChars="200" w:firstLine="420"/>
        <w:jc w:val="left"/>
        <w:rPr>
          <w:rFonts w:ascii="宋体" w:hAnsi="宋体"/>
          <w:color w:val="000000" w:themeColor="text1"/>
        </w:rPr>
      </w:pPr>
      <w:r w:rsidRPr="00CB4B9E">
        <w:rPr>
          <w:rFonts w:ascii="黑体" w:eastAsia="黑体"/>
          <w:color w:val="000000" w:themeColor="text1"/>
          <w:szCs w:val="21"/>
        </w:rPr>
        <w:t>120</w:t>
      </w:r>
      <w:r w:rsidRPr="00CB4B9E">
        <w:rPr>
          <w:rFonts w:ascii="黑体" w:eastAsia="黑体" w:hint="eastAsia"/>
          <w:color w:val="000000" w:themeColor="text1"/>
          <w:szCs w:val="21"/>
        </w:rPr>
        <w:t>1.其中：人民币：</w:t>
      </w:r>
      <w:r w:rsidRPr="00CB4B9E">
        <w:rPr>
          <w:rFonts w:ascii="宋体" w:hAnsi="宋体" w:hint="eastAsia"/>
          <w:color w:val="000000" w:themeColor="text1"/>
          <w:szCs w:val="21"/>
        </w:rPr>
        <w:t>指</w:t>
      </w:r>
      <w:r w:rsidRPr="00CB4B9E">
        <w:rPr>
          <w:rFonts w:ascii="宋体" w:hAnsi="宋体"/>
          <w:color w:val="000000" w:themeColor="text1"/>
          <w:szCs w:val="21"/>
        </w:rPr>
        <w:t>1200项目（境内银行提供担保）余额中的人民币部分。</w:t>
      </w:r>
    </w:p>
    <w:p w:rsidR="003E277A" w:rsidRPr="009263D7" w:rsidRDefault="00CB4B9E" w:rsidP="003E277A">
      <w:pPr>
        <w:spacing w:line="360" w:lineRule="auto"/>
        <w:ind w:firstLineChars="200" w:firstLine="420"/>
        <w:jc w:val="left"/>
        <w:rPr>
          <w:rFonts w:ascii="宋体" w:hAnsi="宋体"/>
          <w:color w:val="000000" w:themeColor="text1"/>
          <w:szCs w:val="21"/>
        </w:rPr>
      </w:pPr>
      <w:r w:rsidRPr="00CB4B9E">
        <w:rPr>
          <w:rFonts w:ascii="黑体" w:eastAsia="黑体"/>
          <w:color w:val="000000" w:themeColor="text1"/>
          <w:szCs w:val="21"/>
        </w:rPr>
        <w:t xml:space="preserve">1300. </w:t>
      </w:r>
      <w:r w:rsidRPr="00CB4B9E">
        <w:rPr>
          <w:rFonts w:ascii="黑体" w:eastAsia="黑体" w:hint="eastAsia"/>
          <w:color w:val="000000" w:themeColor="text1"/>
          <w:szCs w:val="21"/>
        </w:rPr>
        <w:t>境内银行居间业务：</w:t>
      </w:r>
      <w:r w:rsidRPr="00CB4B9E">
        <w:rPr>
          <w:rFonts w:ascii="宋体" w:hAnsi="宋体" w:hint="eastAsia"/>
          <w:color w:val="000000" w:themeColor="text1"/>
          <w:szCs w:val="21"/>
        </w:rPr>
        <w:t>指境内进口企业直接从境外银行融资，委托境外银行为其在境外向境外出口企业支付货款，境内银行仅为境外银行和境内进口企业提供居间服务；此时，境内进口企业与境外银行存在债务关系，境内银行与境内进口企业、境外银行之间不存在债权债务关系。</w:t>
      </w:r>
    </w:p>
    <w:p w:rsidR="004375DF" w:rsidRPr="009263D7" w:rsidRDefault="00CB4B9E" w:rsidP="004375DF">
      <w:pPr>
        <w:spacing w:line="360" w:lineRule="auto"/>
        <w:ind w:firstLineChars="200" w:firstLine="420"/>
        <w:jc w:val="left"/>
        <w:rPr>
          <w:rFonts w:ascii="宋体" w:hAnsi="宋体"/>
          <w:color w:val="000000" w:themeColor="text1"/>
        </w:rPr>
      </w:pPr>
      <w:r w:rsidRPr="00CB4B9E">
        <w:rPr>
          <w:rFonts w:ascii="黑体" w:eastAsia="黑体"/>
          <w:color w:val="000000" w:themeColor="text1"/>
          <w:szCs w:val="21"/>
        </w:rPr>
        <w:t>13</w:t>
      </w:r>
      <w:r w:rsidRPr="00CB4B9E">
        <w:rPr>
          <w:rFonts w:ascii="黑体" w:eastAsia="黑体" w:hint="eastAsia"/>
          <w:color w:val="000000" w:themeColor="text1"/>
          <w:szCs w:val="21"/>
        </w:rPr>
        <w:t>01.其中：人民币：</w:t>
      </w:r>
      <w:r w:rsidRPr="00CB4B9E">
        <w:rPr>
          <w:rFonts w:ascii="宋体" w:hAnsi="宋体" w:hint="eastAsia"/>
          <w:color w:val="000000" w:themeColor="text1"/>
          <w:szCs w:val="21"/>
        </w:rPr>
        <w:t>指</w:t>
      </w:r>
      <w:r w:rsidRPr="00CB4B9E">
        <w:rPr>
          <w:rFonts w:ascii="宋体" w:hAnsi="宋体"/>
          <w:color w:val="000000" w:themeColor="text1"/>
          <w:szCs w:val="21"/>
        </w:rPr>
        <w:t>1300项目（境内银行居间业务）余额中的人民币部分。</w:t>
      </w:r>
    </w:p>
    <w:p w:rsidR="003E277A" w:rsidRPr="009263D7" w:rsidRDefault="00CB4B9E" w:rsidP="007324E1">
      <w:pPr>
        <w:spacing w:line="360" w:lineRule="auto"/>
        <w:ind w:firstLineChars="200" w:firstLine="420"/>
        <w:jc w:val="left"/>
        <w:rPr>
          <w:rFonts w:ascii="宋体" w:hAnsi="宋体"/>
          <w:color w:val="000000" w:themeColor="text1"/>
          <w:szCs w:val="21"/>
        </w:rPr>
      </w:pPr>
      <w:r w:rsidRPr="00CB4B9E">
        <w:rPr>
          <w:rFonts w:ascii="宋体" w:hAnsi="宋体"/>
          <w:color w:val="000000" w:themeColor="text1"/>
          <w:szCs w:val="21"/>
        </w:rPr>
        <w:t>2</w:t>
      </w:r>
      <w:r w:rsidRPr="00CB4B9E">
        <w:rPr>
          <w:rFonts w:ascii="黑体" w:eastAsia="黑体" w:hAnsi="宋体"/>
          <w:color w:val="000000" w:themeColor="text1"/>
        </w:rPr>
        <w:t xml:space="preserve">000. </w:t>
      </w:r>
      <w:r w:rsidRPr="00CB4B9E">
        <w:rPr>
          <w:rFonts w:ascii="黑体" w:eastAsia="黑体" w:hint="eastAsia"/>
          <w:color w:val="000000" w:themeColor="text1"/>
          <w:szCs w:val="21"/>
        </w:rPr>
        <w:t>银行出口贸易融资业务——境外银行提供贸易融资</w:t>
      </w:r>
      <w:r w:rsidRPr="00CB4B9E">
        <w:rPr>
          <w:rFonts w:ascii="宋体" w:hAnsi="宋体" w:hint="eastAsia"/>
          <w:color w:val="000000" w:themeColor="text1"/>
          <w:szCs w:val="21"/>
        </w:rPr>
        <w:t>：为</w:t>
      </w:r>
      <w:r w:rsidRPr="00CB4B9E">
        <w:rPr>
          <w:rFonts w:ascii="宋体" w:hAnsi="宋体"/>
          <w:color w:val="000000" w:themeColor="text1"/>
          <w:szCs w:val="21"/>
        </w:rPr>
        <w:t>2100</w:t>
      </w:r>
      <w:r w:rsidRPr="00CB4B9E">
        <w:rPr>
          <w:rFonts w:ascii="宋体" w:hAnsi="宋体" w:hint="eastAsia"/>
          <w:color w:val="000000" w:themeColor="text1"/>
          <w:szCs w:val="21"/>
        </w:rPr>
        <w:t>和</w:t>
      </w:r>
      <w:r w:rsidRPr="00CB4B9E">
        <w:rPr>
          <w:rFonts w:ascii="宋体" w:hAnsi="宋体"/>
          <w:color w:val="000000" w:themeColor="text1"/>
          <w:szCs w:val="21"/>
        </w:rPr>
        <w:t>2200</w:t>
      </w:r>
      <w:r w:rsidRPr="00CB4B9E">
        <w:rPr>
          <w:rFonts w:ascii="宋体" w:hAnsi="宋体" w:hint="eastAsia"/>
          <w:color w:val="000000" w:themeColor="text1"/>
          <w:szCs w:val="21"/>
        </w:rPr>
        <w:t>两项目合计。</w:t>
      </w:r>
    </w:p>
    <w:p w:rsidR="004375DF" w:rsidRPr="009263D7" w:rsidRDefault="00CB4B9E" w:rsidP="004375DF">
      <w:pPr>
        <w:spacing w:line="360" w:lineRule="auto"/>
        <w:ind w:firstLineChars="200" w:firstLine="420"/>
        <w:jc w:val="left"/>
        <w:rPr>
          <w:rFonts w:ascii="宋体" w:hAnsi="宋体"/>
          <w:color w:val="000000" w:themeColor="text1"/>
        </w:rPr>
      </w:pPr>
      <w:r w:rsidRPr="00CB4B9E">
        <w:rPr>
          <w:rFonts w:ascii="黑体" w:eastAsia="黑体"/>
          <w:color w:val="000000" w:themeColor="text1"/>
          <w:szCs w:val="21"/>
        </w:rPr>
        <w:t>2001.</w:t>
      </w:r>
      <w:r w:rsidRPr="00CB4B9E">
        <w:rPr>
          <w:rFonts w:ascii="黑体" w:eastAsia="黑体" w:hAnsi="宋体" w:cs="宋体" w:hint="eastAsia"/>
          <w:color w:val="000000" w:themeColor="text1"/>
          <w:kern w:val="0"/>
          <w:szCs w:val="21"/>
        </w:rPr>
        <w:t>其中：人民币：</w:t>
      </w:r>
      <w:r w:rsidRPr="00CB4B9E">
        <w:rPr>
          <w:rFonts w:ascii="宋体" w:hAnsi="宋体" w:hint="eastAsia"/>
          <w:color w:val="000000" w:themeColor="text1"/>
          <w:szCs w:val="21"/>
        </w:rPr>
        <w:t>指</w:t>
      </w:r>
      <w:r w:rsidRPr="00CB4B9E">
        <w:rPr>
          <w:rFonts w:ascii="宋体" w:hAnsi="宋体"/>
          <w:color w:val="000000" w:themeColor="text1"/>
          <w:szCs w:val="21"/>
        </w:rPr>
        <w:t>2000项目余额中的人民币部分。</w:t>
      </w:r>
    </w:p>
    <w:p w:rsidR="00646D88" w:rsidRPr="009263D7" w:rsidRDefault="00CB4B9E" w:rsidP="00646D88">
      <w:pPr>
        <w:spacing w:line="360" w:lineRule="auto"/>
        <w:ind w:firstLineChars="200" w:firstLine="420"/>
        <w:jc w:val="left"/>
        <w:rPr>
          <w:rFonts w:ascii="宋体" w:hAnsi="宋体"/>
          <w:color w:val="000000" w:themeColor="text1"/>
          <w:szCs w:val="21"/>
        </w:rPr>
      </w:pPr>
      <w:r w:rsidRPr="00CB4B9E">
        <w:rPr>
          <w:rFonts w:ascii="黑体" w:eastAsia="黑体" w:hAnsi="宋体"/>
          <w:color w:val="000000" w:themeColor="text1"/>
        </w:rPr>
        <w:t>2100.</w:t>
      </w:r>
      <w:r w:rsidRPr="00CB4B9E">
        <w:rPr>
          <w:rFonts w:ascii="黑体" w:eastAsia="黑体" w:hAnsi="宋体" w:cs="宋体"/>
          <w:color w:val="000000" w:themeColor="text1"/>
          <w:kern w:val="0"/>
          <w:szCs w:val="21"/>
        </w:rPr>
        <w:t xml:space="preserve"> </w:t>
      </w:r>
      <w:r w:rsidRPr="00CB4B9E">
        <w:rPr>
          <w:rFonts w:ascii="黑体" w:eastAsia="黑体" w:hint="eastAsia"/>
          <w:color w:val="000000" w:themeColor="text1"/>
          <w:szCs w:val="21"/>
        </w:rPr>
        <w:t>境外银行提供贷款性质融资：</w:t>
      </w:r>
      <w:r w:rsidRPr="00CB4B9E">
        <w:rPr>
          <w:rFonts w:ascii="宋体" w:hAnsi="宋体" w:hint="eastAsia"/>
          <w:color w:val="000000" w:themeColor="text1"/>
          <w:szCs w:val="21"/>
        </w:rPr>
        <w:t>指经由境内银行提供担保或居间服务，境外银行直接对境内出口企业提供贷款性质的贸易融资，境内出口商从境外进口商收回货款后再向境外银行偿还的行为。</w:t>
      </w:r>
    </w:p>
    <w:p w:rsidR="004375DF" w:rsidRPr="009263D7" w:rsidRDefault="00CB4B9E" w:rsidP="004375DF">
      <w:pPr>
        <w:spacing w:line="360" w:lineRule="auto"/>
        <w:ind w:firstLineChars="200" w:firstLine="420"/>
        <w:jc w:val="left"/>
        <w:rPr>
          <w:rFonts w:ascii="宋体" w:hAnsi="宋体"/>
          <w:color w:val="000000" w:themeColor="text1"/>
        </w:rPr>
      </w:pPr>
      <w:r w:rsidRPr="00CB4B9E">
        <w:rPr>
          <w:rFonts w:ascii="黑体" w:eastAsia="黑体"/>
          <w:color w:val="000000" w:themeColor="text1"/>
          <w:szCs w:val="21"/>
        </w:rPr>
        <w:t>2101.</w:t>
      </w:r>
      <w:r w:rsidRPr="00CB4B9E">
        <w:rPr>
          <w:rFonts w:ascii="黑体" w:eastAsia="黑体" w:hAnsi="宋体" w:cs="宋体" w:hint="eastAsia"/>
          <w:color w:val="000000" w:themeColor="text1"/>
          <w:kern w:val="0"/>
          <w:szCs w:val="21"/>
        </w:rPr>
        <w:t>其中：人民币：</w:t>
      </w:r>
      <w:r w:rsidRPr="00CB4B9E">
        <w:rPr>
          <w:rFonts w:ascii="宋体" w:hAnsi="宋体" w:hint="eastAsia"/>
          <w:color w:val="000000" w:themeColor="text1"/>
          <w:szCs w:val="21"/>
        </w:rPr>
        <w:t>指</w:t>
      </w:r>
      <w:r w:rsidRPr="00CB4B9E">
        <w:rPr>
          <w:rFonts w:ascii="宋体" w:hAnsi="宋体"/>
          <w:color w:val="000000" w:themeColor="text1"/>
          <w:szCs w:val="21"/>
        </w:rPr>
        <w:t>2100项目（境外银行提供贷款性质融资）余额中的人民币部分。</w:t>
      </w:r>
    </w:p>
    <w:p w:rsidR="00646D88" w:rsidRPr="009263D7" w:rsidRDefault="00CB4B9E" w:rsidP="00646D88">
      <w:pPr>
        <w:spacing w:line="360" w:lineRule="auto"/>
        <w:ind w:firstLineChars="200" w:firstLine="420"/>
        <w:jc w:val="left"/>
        <w:rPr>
          <w:rFonts w:ascii="宋体" w:hAnsi="宋体"/>
          <w:color w:val="000000" w:themeColor="text1"/>
          <w:szCs w:val="21"/>
        </w:rPr>
      </w:pPr>
      <w:r w:rsidRPr="00CB4B9E">
        <w:rPr>
          <w:rFonts w:ascii="黑体" w:eastAsia="黑体"/>
          <w:color w:val="000000" w:themeColor="text1"/>
          <w:szCs w:val="21"/>
        </w:rPr>
        <w:t>2200.</w:t>
      </w:r>
      <w:r w:rsidRPr="00CB4B9E">
        <w:rPr>
          <w:rFonts w:ascii="宋体" w:hAnsi="宋体"/>
          <w:color w:val="000000" w:themeColor="text1"/>
          <w:szCs w:val="21"/>
        </w:rPr>
        <w:t xml:space="preserve"> </w:t>
      </w:r>
      <w:r w:rsidRPr="00CB4B9E">
        <w:rPr>
          <w:rFonts w:ascii="黑体" w:eastAsia="黑体" w:hint="eastAsia"/>
          <w:color w:val="000000" w:themeColor="text1"/>
          <w:szCs w:val="21"/>
        </w:rPr>
        <w:t>境外银行承兑远期信用证和应付未付即期信用证（境内银行为交单行）：</w:t>
      </w:r>
      <w:r w:rsidRPr="00CB4B9E">
        <w:rPr>
          <w:rFonts w:ascii="宋体" w:hAnsi="宋体" w:hint="eastAsia"/>
          <w:color w:val="000000" w:themeColor="text1"/>
          <w:szCs w:val="21"/>
        </w:rPr>
        <w:t>指对应月末境内银行作为交单行统计的境外银行向境内出口企业开出信用证并且承兑的余额，以及月末应付未付即期信用证余额。</w:t>
      </w:r>
    </w:p>
    <w:p w:rsidR="009B0574" w:rsidRPr="009263D7" w:rsidRDefault="00CB4B9E" w:rsidP="009C51EC">
      <w:pPr>
        <w:spacing w:line="360" w:lineRule="auto"/>
        <w:ind w:firstLineChars="200" w:firstLine="420"/>
        <w:jc w:val="left"/>
        <w:rPr>
          <w:rFonts w:ascii="仿宋_GB2312" w:eastAsia="仿宋_GB2312"/>
          <w:color w:val="000000" w:themeColor="text1"/>
          <w:sz w:val="30"/>
          <w:szCs w:val="30"/>
        </w:rPr>
      </w:pPr>
      <w:r w:rsidRPr="00CB4B9E">
        <w:rPr>
          <w:rFonts w:ascii="黑体" w:eastAsia="黑体"/>
          <w:color w:val="000000" w:themeColor="text1"/>
          <w:szCs w:val="21"/>
        </w:rPr>
        <w:lastRenderedPageBreak/>
        <w:t>2201.</w:t>
      </w:r>
      <w:r w:rsidRPr="00CB4B9E">
        <w:rPr>
          <w:rFonts w:ascii="黑体" w:eastAsia="黑体" w:hAnsi="宋体" w:cs="宋体" w:hint="eastAsia"/>
          <w:color w:val="000000" w:themeColor="text1"/>
          <w:kern w:val="0"/>
          <w:szCs w:val="21"/>
        </w:rPr>
        <w:t>其中：人民币：</w:t>
      </w:r>
      <w:r w:rsidRPr="00CB4B9E">
        <w:rPr>
          <w:rFonts w:ascii="宋体" w:hAnsi="宋体" w:hint="eastAsia"/>
          <w:color w:val="000000" w:themeColor="text1"/>
          <w:szCs w:val="21"/>
        </w:rPr>
        <w:t>指</w:t>
      </w:r>
      <w:r w:rsidRPr="00CB4B9E">
        <w:rPr>
          <w:rFonts w:ascii="宋体" w:hAnsi="宋体"/>
          <w:color w:val="000000" w:themeColor="text1"/>
          <w:szCs w:val="21"/>
        </w:rPr>
        <w:t>2200项目（境外银行承兑远期信用证和应付未付即期信用证（境内银行为交单行）</w:t>
      </w:r>
      <w:r w:rsidRPr="00CB4B9E">
        <w:rPr>
          <w:rFonts w:ascii="宋体" w:hAnsi="宋体" w:hint="eastAsia"/>
          <w:color w:val="000000" w:themeColor="text1"/>
          <w:szCs w:val="21"/>
        </w:rPr>
        <w:t>）余额中的人民币部分。</w:t>
      </w:r>
    </w:p>
    <w:p w:rsidR="009B0574" w:rsidRPr="009263D7" w:rsidRDefault="009B0574" w:rsidP="009B0574">
      <w:pPr>
        <w:ind w:firstLineChars="200" w:firstLine="420"/>
        <w:jc w:val="left"/>
        <w:rPr>
          <w:rFonts w:ascii="黑体" w:eastAsia="黑体"/>
          <w:color w:val="000000" w:themeColor="text1"/>
        </w:rPr>
        <w:sectPr w:rsidR="009B0574" w:rsidRPr="009263D7" w:rsidSect="00B154A0">
          <w:pgSz w:w="11907" w:h="16840" w:code="9"/>
          <w:pgMar w:top="1418" w:right="1247" w:bottom="1247" w:left="1247" w:header="851" w:footer="992" w:gutter="0"/>
          <w:cols w:space="425"/>
          <w:titlePg/>
          <w:docGrid w:type="lines" w:linePitch="312"/>
        </w:sectPr>
      </w:pPr>
    </w:p>
    <w:p w:rsidR="00A92645" w:rsidRPr="009263D7" w:rsidRDefault="00A92645" w:rsidP="00AC1CEC">
      <w:pPr>
        <w:ind w:firstLineChars="200" w:firstLine="482"/>
        <w:jc w:val="left"/>
        <w:rPr>
          <w:rFonts w:ascii="黑体" w:eastAsia="黑体" w:hAnsi="宋体"/>
          <w:b/>
          <w:color w:val="000000" w:themeColor="text1"/>
          <w:sz w:val="24"/>
        </w:rPr>
      </w:pPr>
    </w:p>
    <w:p w:rsidR="000C3B63" w:rsidRPr="009263D7" w:rsidRDefault="00CB4B9E" w:rsidP="00B11245">
      <w:pPr>
        <w:pStyle w:val="10"/>
        <w:rPr>
          <w:rFonts w:ascii="黑体" w:eastAsia="黑体"/>
          <w:b w:val="0"/>
          <w:color w:val="000000" w:themeColor="text1"/>
          <w:sz w:val="32"/>
        </w:rPr>
      </w:pPr>
      <w:bookmarkStart w:id="58" w:name="_Toc340494462"/>
      <w:bookmarkStart w:id="59" w:name="_Toc452017163"/>
      <w:r w:rsidRPr="00CB4B9E">
        <w:rPr>
          <w:rFonts w:ascii="黑体" w:eastAsia="黑体" w:hint="eastAsia"/>
          <w:b w:val="0"/>
          <w:color w:val="000000" w:themeColor="text1"/>
          <w:sz w:val="32"/>
        </w:rPr>
        <w:t>五、附</w:t>
      </w:r>
      <w:r w:rsidRPr="00CB4B9E">
        <w:rPr>
          <w:rFonts w:ascii="黑体" w:eastAsia="黑体"/>
          <w:b w:val="0"/>
          <w:color w:val="000000" w:themeColor="text1"/>
          <w:sz w:val="32"/>
        </w:rPr>
        <w:t xml:space="preserve"> </w:t>
      </w:r>
      <w:r w:rsidRPr="00CB4B9E">
        <w:rPr>
          <w:rFonts w:ascii="黑体" w:eastAsia="黑体" w:hint="eastAsia"/>
          <w:b w:val="0"/>
          <w:color w:val="000000" w:themeColor="text1"/>
          <w:sz w:val="32"/>
        </w:rPr>
        <w:t>录</w:t>
      </w:r>
      <w:bookmarkEnd w:id="58"/>
      <w:bookmarkEnd w:id="59"/>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60" w:name="_Toc451964553"/>
      <w:bookmarkStart w:id="61" w:name="_Toc451967400"/>
      <w:bookmarkStart w:id="62" w:name="_Toc451970243"/>
      <w:bookmarkStart w:id="63" w:name="_Toc451973085"/>
      <w:bookmarkStart w:id="64" w:name="_Toc451975924"/>
      <w:bookmarkStart w:id="65" w:name="_Toc451978763"/>
      <w:bookmarkStart w:id="66" w:name="_Toc452017164"/>
      <w:bookmarkStart w:id="67" w:name="_Toc452017165"/>
      <w:bookmarkStart w:id="68" w:name="_Toc340494463"/>
      <w:bookmarkEnd w:id="60"/>
      <w:bookmarkEnd w:id="61"/>
      <w:bookmarkEnd w:id="62"/>
      <w:bookmarkEnd w:id="63"/>
      <w:bookmarkEnd w:id="64"/>
      <w:bookmarkEnd w:id="65"/>
      <w:bookmarkEnd w:id="66"/>
      <w:r w:rsidRPr="00CB4B9E">
        <w:rPr>
          <w:rFonts w:ascii="宋体" w:hAnsi="宋体" w:hint="eastAsia"/>
          <w:b w:val="0"/>
          <w:color w:val="000000" w:themeColor="text1"/>
          <w:sz w:val="28"/>
          <w:szCs w:val="28"/>
        </w:rPr>
        <w:t>行业属性代码表</w:t>
      </w:r>
      <w:bookmarkEnd w:id="67"/>
    </w:p>
    <w:tbl>
      <w:tblPr>
        <w:tblW w:w="837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6039"/>
      </w:tblGrid>
      <w:tr w:rsidR="00853669" w:rsidRPr="009263D7" w:rsidTr="00600876">
        <w:trPr>
          <w:trHeight w:val="270"/>
          <w:jc w:val="center"/>
        </w:trPr>
        <w:tc>
          <w:tcPr>
            <w:tcW w:w="2340" w:type="dxa"/>
            <w:shd w:val="clear" w:color="000000" w:fill="BFBFBF"/>
            <w:noWrap/>
            <w:vAlign w:val="bottom"/>
            <w:hideMark/>
          </w:tcPr>
          <w:p w:rsidR="00853669" w:rsidRPr="009263D7" w:rsidRDefault="00CB4B9E" w:rsidP="00E25984">
            <w:pPr>
              <w:widowControl/>
              <w:jc w:val="center"/>
              <w:rPr>
                <w:rFonts w:ascii="黑体" w:eastAsia="黑体" w:hAnsi="宋体" w:cs="Arial"/>
                <w:b/>
                <w:bCs/>
                <w:color w:val="000000" w:themeColor="text1"/>
                <w:kern w:val="0"/>
                <w:sz w:val="20"/>
                <w:szCs w:val="20"/>
              </w:rPr>
            </w:pPr>
            <w:r w:rsidRPr="00CB4B9E">
              <w:rPr>
                <w:rFonts w:ascii="黑体" w:eastAsia="黑体" w:hAnsi="宋体" w:cs="Arial" w:hint="eastAsia"/>
                <w:b/>
                <w:bCs/>
                <w:color w:val="000000" w:themeColor="text1"/>
                <w:kern w:val="0"/>
                <w:sz w:val="20"/>
                <w:szCs w:val="20"/>
              </w:rPr>
              <w:t>行业属性代码（新）</w:t>
            </w:r>
          </w:p>
        </w:tc>
        <w:tc>
          <w:tcPr>
            <w:tcW w:w="6039" w:type="dxa"/>
            <w:shd w:val="clear" w:color="000000" w:fill="BFBFBF"/>
            <w:noWrap/>
            <w:vAlign w:val="bottom"/>
            <w:hideMark/>
          </w:tcPr>
          <w:p w:rsidR="00853669" w:rsidRPr="009263D7" w:rsidRDefault="00CB4B9E" w:rsidP="00E25984">
            <w:pPr>
              <w:widowControl/>
              <w:jc w:val="center"/>
              <w:rPr>
                <w:rFonts w:ascii="黑体" w:eastAsia="黑体" w:hAnsi="宋体" w:cs="Arial"/>
                <w:b/>
                <w:bCs/>
                <w:color w:val="000000" w:themeColor="text1"/>
                <w:kern w:val="0"/>
                <w:sz w:val="20"/>
                <w:szCs w:val="20"/>
              </w:rPr>
            </w:pPr>
            <w:r w:rsidRPr="00CB4B9E">
              <w:rPr>
                <w:rFonts w:ascii="黑体" w:eastAsia="黑体" w:hAnsi="宋体" w:cs="Arial" w:hint="eastAsia"/>
                <w:b/>
                <w:bCs/>
                <w:color w:val="000000" w:themeColor="text1"/>
                <w:kern w:val="0"/>
                <w:sz w:val="20"/>
                <w:szCs w:val="20"/>
              </w:rPr>
              <w:t>行业属性名称（新）</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0101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农业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0102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林业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0103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畜牧业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0104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渔业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0105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农、林、牧、渔服务业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0206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煤炭开采和洗选业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0207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石油和天然气开采业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0208</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黑色金属矿采选业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0209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有色金属矿采选业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0210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非金属矿采选业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0211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开采辅助活动</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0212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其他采矿业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0313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农副食品加工业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0314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食品制造业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0315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酒、饮料和精制茶制造业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0316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烟草制品业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0317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纺织业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0318</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纺织服装、服饰业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0319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皮革、毛皮、羽毛及其制品和制鞋业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木材加工和木、竹、藤、棕、草制品业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家具制造业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造纸和纸制品业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印刷和记录媒介复制业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文教、工美、体育和娱乐用品制造业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石油加工、炼焦和核燃料加工业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化学原料和化学制品制造业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医药制造业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tabs>
                <w:tab w:val="center" w:pos="4153"/>
                <w:tab w:val="right" w:pos="8306"/>
              </w:tabs>
              <w:snapToGrid w:val="0"/>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0328</w:t>
            </w:r>
          </w:p>
        </w:tc>
        <w:tc>
          <w:tcPr>
            <w:tcW w:w="6039" w:type="dxa"/>
            <w:shd w:val="clear" w:color="auto" w:fill="auto"/>
            <w:noWrap/>
            <w:vAlign w:val="bottom"/>
            <w:hideMark/>
          </w:tcPr>
          <w:p w:rsidR="00853669" w:rsidRPr="009263D7" w:rsidRDefault="00CB4B9E" w:rsidP="00E25984">
            <w:pPr>
              <w:widowControl/>
              <w:tabs>
                <w:tab w:val="center" w:pos="4153"/>
                <w:tab w:val="right" w:pos="8306"/>
              </w:tabs>
              <w:snapToGrid w:val="0"/>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化学纤维制造业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0329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橡胶和塑料制品业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非金属矿物制品业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黑色金属冶炼和压延加工业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有色金属冶炼和压延加工业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金属制品业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通用设备制造业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tabs>
                <w:tab w:val="center" w:pos="4153"/>
                <w:tab w:val="right" w:pos="8306"/>
              </w:tabs>
              <w:snapToGrid w:val="0"/>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0335</w:t>
            </w:r>
          </w:p>
        </w:tc>
        <w:tc>
          <w:tcPr>
            <w:tcW w:w="6039" w:type="dxa"/>
            <w:shd w:val="clear" w:color="auto" w:fill="auto"/>
            <w:noWrap/>
            <w:vAlign w:val="bottom"/>
            <w:hideMark/>
          </w:tcPr>
          <w:p w:rsidR="00853669" w:rsidRPr="009263D7" w:rsidRDefault="00CB4B9E" w:rsidP="00E25984">
            <w:pPr>
              <w:widowControl/>
              <w:tabs>
                <w:tab w:val="center" w:pos="4153"/>
                <w:tab w:val="right" w:pos="8306"/>
              </w:tabs>
              <w:snapToGrid w:val="0"/>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专用设备制造业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汽车制造业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铁路、船舶、航空航天和其他运输设备制造业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lastRenderedPageBreak/>
              <w:t>0338</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电气机械和器材制造业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0339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计算机、通信和其他电子设备制造业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0340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仪器仪表制造业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0341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其他制造业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0342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废弃资源综合利用业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0343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金属制品、机械和设备修理业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0444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电力、热力生产和供应业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0445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燃气生产和供应业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0446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水的生产和供应业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0547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房屋建筑业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0548</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土木工程建筑业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0549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建筑安装业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0550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建筑装饰和其他建筑业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0753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铁路运输业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0754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道路运输业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0755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水上运输业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0756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航空运输业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0757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管道运输业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0758</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装卸搬运和运输代理业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0759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仓储业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0760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邮政业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0963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电信、广播电视和卫星传输服务</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0964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互联网和相关服务</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0965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软件和信息技术服务业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0651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批发业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0652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零售业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0861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住宿业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0862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餐饮业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1066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货币金融服务</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1067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资本市场服务</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1068</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保险业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1069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其他金融业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1170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房地产业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1271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租赁业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1272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商务服务业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1373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研究和试验发展</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1374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专业技术服务业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1375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科技推广和应用服务业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1476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水利管理业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1477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生态保护和环境治理业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1478</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公共设施管理业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1579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居民服务业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1580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机动车、电子产品和日用产品修理业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lastRenderedPageBreak/>
              <w:t>1581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其他服务业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1682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教育</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1783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卫生</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1784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社会工作</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1885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新闻和出版业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1886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广播、电视、电影和影视录音制作业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1887</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文化艺术业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1888</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体育</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1889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娱乐业</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1990</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中国共产党机关</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1991</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国家机构</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1992</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人民政协、民主党派</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1993</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社会保障</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1994</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群众团体、社会团体和其他成员组织</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1995</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基层群众自治组织</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2096</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国际组织</w:t>
            </w:r>
          </w:p>
        </w:tc>
      </w:tr>
      <w:tr w:rsidR="00853669" w:rsidRPr="009263D7" w:rsidTr="00600876">
        <w:trPr>
          <w:trHeight w:val="270"/>
          <w:jc w:val="center"/>
        </w:trPr>
        <w:tc>
          <w:tcPr>
            <w:tcW w:w="2340" w:type="dxa"/>
            <w:shd w:val="clear" w:color="auto" w:fill="auto"/>
            <w:noWrap/>
            <w:vAlign w:val="bottom"/>
            <w:hideMark/>
          </w:tcPr>
          <w:p w:rsidR="00853669" w:rsidRPr="009263D7" w:rsidRDefault="00CB4B9E" w:rsidP="00E25984">
            <w:pPr>
              <w:widowControl/>
              <w:jc w:val="center"/>
              <w:rPr>
                <w:rFonts w:ascii="黑体" w:eastAsia="黑体" w:hAnsi="宋体" w:cs="Arial"/>
                <w:color w:val="000000" w:themeColor="text1"/>
                <w:kern w:val="0"/>
                <w:sz w:val="20"/>
                <w:szCs w:val="20"/>
              </w:rPr>
            </w:pPr>
            <w:r w:rsidRPr="00CB4B9E">
              <w:rPr>
                <w:rFonts w:ascii="黑体" w:eastAsia="黑体" w:hAnsi="宋体" w:cs="Arial"/>
                <w:color w:val="000000" w:themeColor="text1"/>
                <w:kern w:val="0"/>
                <w:sz w:val="20"/>
                <w:szCs w:val="20"/>
              </w:rPr>
              <w:t>2099</w:t>
            </w:r>
          </w:p>
        </w:tc>
        <w:tc>
          <w:tcPr>
            <w:tcW w:w="6039" w:type="dxa"/>
            <w:shd w:val="clear" w:color="auto" w:fill="auto"/>
            <w:noWrap/>
            <w:vAlign w:val="bottom"/>
            <w:hideMark/>
          </w:tcPr>
          <w:p w:rsidR="00853669" w:rsidRPr="009263D7" w:rsidRDefault="00CB4B9E" w:rsidP="00E25984">
            <w:pPr>
              <w:widowControl/>
              <w:jc w:val="left"/>
              <w:rPr>
                <w:rFonts w:ascii="黑体" w:eastAsia="黑体" w:hAnsi="宋体" w:cs="Arial"/>
                <w:color w:val="000000" w:themeColor="text1"/>
                <w:kern w:val="0"/>
                <w:sz w:val="20"/>
                <w:szCs w:val="20"/>
              </w:rPr>
            </w:pPr>
            <w:r w:rsidRPr="00CB4B9E">
              <w:rPr>
                <w:rFonts w:ascii="黑体" w:eastAsia="黑体" w:hAnsi="宋体" w:cs="Arial" w:hint="eastAsia"/>
                <w:color w:val="000000" w:themeColor="text1"/>
                <w:kern w:val="0"/>
                <w:sz w:val="20"/>
                <w:szCs w:val="20"/>
              </w:rPr>
              <w:t>使领馆</w:t>
            </w:r>
          </w:p>
        </w:tc>
      </w:tr>
    </w:tbl>
    <w:p w:rsidR="00E25984" w:rsidRPr="009263D7" w:rsidRDefault="00E25984" w:rsidP="00E25984">
      <w:pPr>
        <w:pStyle w:val="2"/>
        <w:numPr>
          <w:ilvl w:val="0"/>
          <w:numId w:val="28"/>
        </w:numPr>
        <w:rPr>
          <w:rFonts w:ascii="宋体" w:hAnsi="宋体"/>
          <w:color w:val="000000" w:themeColor="text1"/>
        </w:rPr>
        <w:sectPr w:rsidR="00E25984" w:rsidRPr="009263D7" w:rsidSect="00B154A0">
          <w:pgSz w:w="11907" w:h="16840" w:code="9"/>
          <w:pgMar w:top="1418" w:right="1247" w:bottom="1247" w:left="1247" w:header="851" w:footer="992" w:gutter="0"/>
          <w:cols w:space="425"/>
          <w:titlePg/>
          <w:docGrid w:type="lines" w:linePitch="312"/>
        </w:sectPr>
      </w:pP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69" w:name="_Toc452017166"/>
      <w:r w:rsidRPr="00CB4B9E">
        <w:rPr>
          <w:rFonts w:ascii="宋体" w:hAnsi="宋体" w:hint="eastAsia"/>
          <w:b w:val="0"/>
          <w:color w:val="000000" w:themeColor="text1"/>
          <w:sz w:val="28"/>
          <w:szCs w:val="28"/>
        </w:rPr>
        <w:lastRenderedPageBreak/>
        <w:t>金融业代码表</w:t>
      </w:r>
      <w:bookmarkEnd w:id="68"/>
      <w:bookmarkEnd w:id="69"/>
    </w:p>
    <w:tbl>
      <w:tblPr>
        <w:tblW w:w="0" w:type="auto"/>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709"/>
        <w:gridCol w:w="1276"/>
        <w:gridCol w:w="5720"/>
      </w:tblGrid>
      <w:tr w:rsidR="00E25984" w:rsidRPr="009263D7" w:rsidTr="00E25984">
        <w:trPr>
          <w:trHeight w:val="1092"/>
          <w:jc w:val="center"/>
        </w:trPr>
        <w:tc>
          <w:tcPr>
            <w:tcW w:w="720" w:type="dxa"/>
            <w:shd w:val="clear" w:color="auto" w:fill="auto"/>
            <w:vAlign w:val="center"/>
            <w:hideMark/>
          </w:tcPr>
          <w:p w:rsidR="001A6A9D" w:rsidRPr="001A6A9D" w:rsidRDefault="00CB4B9E" w:rsidP="00D1396C">
            <w:pPr>
              <w:widowControl/>
              <w:adjustRightInd w:val="0"/>
              <w:snapToGrid w:val="0"/>
              <w:spacing w:beforeLines="20" w:afterLines="20"/>
              <w:jc w:val="center"/>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金融业代码</w:t>
            </w: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金融业子类代码</w:t>
            </w:r>
          </w:p>
        </w:tc>
        <w:tc>
          <w:tcPr>
            <w:tcW w:w="1276"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金融业子类名称</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包括</w:t>
            </w:r>
            <w:r w:rsidRPr="00CB4B9E">
              <w:rPr>
                <w:rFonts w:ascii="黑体" w:eastAsia="黑体" w:hAnsi="黑体" w:cs="宋体"/>
                <w:color w:val="000000" w:themeColor="text1"/>
                <w:kern w:val="0"/>
                <w:sz w:val="20"/>
                <w:szCs w:val="20"/>
              </w:rPr>
              <w:t>1066～1069大类</w:t>
            </w:r>
            <w:r w:rsidRPr="00CB4B9E">
              <w:rPr>
                <w:rFonts w:ascii="黑体" w:eastAsia="黑体" w:hAnsi="黑体" w:cs="宋体" w:hint="eastAsia"/>
                <w:color w:val="000000" w:themeColor="text1"/>
                <w:kern w:val="0"/>
                <w:sz w:val="20"/>
                <w:szCs w:val="20"/>
              </w:rPr>
              <w:t>。</w:t>
            </w:r>
          </w:p>
        </w:tc>
      </w:tr>
      <w:tr w:rsidR="00E25984" w:rsidRPr="009263D7" w:rsidTr="00E25984">
        <w:trPr>
          <w:trHeight w:val="768"/>
          <w:jc w:val="center"/>
        </w:trPr>
        <w:tc>
          <w:tcPr>
            <w:tcW w:w="720" w:type="dxa"/>
            <w:vMerge w:val="restart"/>
            <w:shd w:val="clear" w:color="auto" w:fill="auto"/>
            <w:vAlign w:val="center"/>
            <w:hideMark/>
          </w:tcPr>
          <w:p w:rsidR="001A6A9D" w:rsidRPr="001A6A9D"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1066</w:t>
            </w: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s="宋体"/>
                <w:color w:val="000000" w:themeColor="text1"/>
                <w:kern w:val="0"/>
                <w:sz w:val="20"/>
                <w:szCs w:val="20"/>
              </w:rPr>
            </w:pPr>
            <w:r w:rsidRPr="00CB4B9E">
              <w:rPr>
                <w:rFonts w:ascii="黑体" w:eastAsia="黑体" w:hAnsi="宋体" w:cs="宋体" w:hint="eastAsia"/>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货币金融服务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包括</w:t>
            </w:r>
            <w:r w:rsidRPr="00CB4B9E">
              <w:rPr>
                <w:rFonts w:ascii="黑体" w:eastAsia="黑体" w:hAnsi="黑体" w:cs="宋体"/>
                <w:color w:val="000000" w:themeColor="text1"/>
                <w:kern w:val="0"/>
                <w:sz w:val="20"/>
                <w:szCs w:val="20"/>
              </w:rPr>
              <w:t>6610-6640子类</w:t>
            </w:r>
            <w:r w:rsidRPr="00CB4B9E">
              <w:rPr>
                <w:rFonts w:ascii="黑体" w:eastAsia="黑体" w:hAnsi="黑体" w:cs="宋体" w:hint="eastAsia"/>
                <w:color w:val="000000" w:themeColor="text1"/>
                <w:kern w:val="0"/>
                <w:sz w:val="20"/>
                <w:szCs w:val="20"/>
              </w:rPr>
              <w:t>。</w:t>
            </w:r>
          </w:p>
        </w:tc>
      </w:tr>
      <w:tr w:rsidR="00E25984" w:rsidRPr="009263D7" w:rsidTr="00E25984">
        <w:trPr>
          <w:trHeight w:val="708"/>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6610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中央银行服务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指代表政府管理金融活动，并制定和执行货币政策，维护金融稳定，管理金融市场的特殊金融机构的活动。</w:t>
            </w:r>
          </w:p>
        </w:tc>
      </w:tr>
      <w:tr w:rsidR="00E25984" w:rsidRPr="009263D7" w:rsidTr="00E25984">
        <w:trPr>
          <w:trHeight w:val="832"/>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6620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货币银行服务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指除中央银行以外的各类银行所从事存款、贷款和信用卡等货币媒介活动，还包括在中国开展货币业务的外资银行及分支机构的活动。</w:t>
            </w:r>
          </w:p>
        </w:tc>
      </w:tr>
      <w:tr w:rsidR="00E25984" w:rsidRPr="009263D7" w:rsidTr="00E25984">
        <w:trPr>
          <w:trHeight w:val="775"/>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非货币银行服务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指主要与非货币媒介机构以各种方式发放贷款有关的金融服务。包括</w:t>
            </w:r>
            <w:r w:rsidRPr="00CB4B9E">
              <w:rPr>
                <w:rFonts w:ascii="黑体" w:eastAsia="黑体" w:hAnsi="黑体" w:cs="宋体"/>
                <w:color w:val="000000" w:themeColor="text1"/>
                <w:kern w:val="0"/>
                <w:sz w:val="20"/>
                <w:szCs w:val="20"/>
              </w:rPr>
              <w:t>6631-6639子类。</w:t>
            </w:r>
          </w:p>
        </w:tc>
      </w:tr>
      <w:tr w:rsidR="00E25984" w:rsidRPr="009263D7" w:rsidTr="00E25984">
        <w:trPr>
          <w:trHeight w:val="858"/>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6631</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金融租赁服务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指经</w:t>
            </w:r>
            <w:r w:rsidR="00C572F8">
              <w:rPr>
                <w:rFonts w:ascii="黑体" w:eastAsia="黑体" w:hAnsi="黑体" w:cs="宋体" w:hint="eastAsia"/>
                <w:color w:val="000000" w:themeColor="text1"/>
                <w:kern w:val="0"/>
                <w:sz w:val="20"/>
                <w:szCs w:val="20"/>
              </w:rPr>
              <w:t>中国银行业监督管理委员会</w:t>
            </w:r>
            <w:r w:rsidRPr="00CB4B9E">
              <w:rPr>
                <w:rFonts w:ascii="黑体" w:eastAsia="黑体" w:hAnsi="黑体" w:cs="宋体" w:hint="eastAsia"/>
                <w:color w:val="000000" w:themeColor="text1"/>
                <w:kern w:val="0"/>
                <w:sz w:val="20"/>
                <w:szCs w:val="20"/>
              </w:rPr>
              <w:t>批准以经营融资租赁业务为主的非银行金融机构的活动。</w:t>
            </w:r>
          </w:p>
        </w:tc>
      </w:tr>
      <w:tr w:rsidR="00E25984" w:rsidRPr="009263D7" w:rsidTr="00E25984">
        <w:trPr>
          <w:trHeight w:val="671"/>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6632</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财务公司</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指经</w:t>
            </w:r>
            <w:r w:rsidR="00C572F8">
              <w:rPr>
                <w:rFonts w:ascii="黑体" w:eastAsia="黑体" w:hAnsi="黑体" w:cs="宋体" w:hint="eastAsia"/>
                <w:color w:val="000000" w:themeColor="text1"/>
                <w:kern w:val="0"/>
                <w:sz w:val="20"/>
                <w:szCs w:val="20"/>
              </w:rPr>
              <w:t>中国银行业监督管理委员会</w:t>
            </w:r>
            <w:r w:rsidRPr="00CB4B9E">
              <w:rPr>
                <w:rFonts w:ascii="黑体" w:eastAsia="黑体" w:hAnsi="黑体" w:cs="宋体" w:hint="eastAsia"/>
                <w:color w:val="000000" w:themeColor="text1"/>
                <w:kern w:val="0"/>
                <w:sz w:val="20"/>
                <w:szCs w:val="20"/>
              </w:rPr>
              <w:t>批准，为企业融资提供的金融活动。</w:t>
            </w:r>
          </w:p>
        </w:tc>
      </w:tr>
      <w:tr w:rsidR="00E25984" w:rsidRPr="009263D7" w:rsidTr="00E25984">
        <w:trPr>
          <w:trHeight w:val="708"/>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6633</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典当</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指以实物、财产权利质押或抵押的放款活动。</w:t>
            </w:r>
          </w:p>
        </w:tc>
      </w:tr>
      <w:tr w:rsidR="00E25984" w:rsidRPr="009263D7" w:rsidTr="00E25984">
        <w:trPr>
          <w:trHeight w:val="832"/>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6639</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其他非货币银行服务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指上述未包括的从事融资、抵押等非货币银行的服务，包括小额贷款公司、农村合作基金会等融资活动，以及各种消费信贷、国际贸易融资、公积金房屋信贷、抵押顾问和经纪人的活动。</w:t>
            </w:r>
          </w:p>
        </w:tc>
      </w:tr>
      <w:tr w:rsidR="00E25984" w:rsidRPr="009263D7" w:rsidTr="00E25984">
        <w:trPr>
          <w:trHeight w:val="633"/>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6640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银行监管服务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指代表政府管理银行业活动，制定并发布对银行业金融机构及其业务活动监督管理的规章、规则。</w:t>
            </w:r>
          </w:p>
        </w:tc>
      </w:tr>
      <w:tr w:rsidR="00E25984" w:rsidRPr="009263D7" w:rsidTr="00E25984">
        <w:trPr>
          <w:trHeight w:val="684"/>
          <w:jc w:val="center"/>
        </w:trPr>
        <w:tc>
          <w:tcPr>
            <w:tcW w:w="720" w:type="dxa"/>
            <w:vMerge w:val="restart"/>
            <w:shd w:val="clear" w:color="auto" w:fill="auto"/>
            <w:vAlign w:val="center"/>
            <w:hideMark/>
          </w:tcPr>
          <w:p w:rsidR="001A6A9D" w:rsidRPr="001A6A9D"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1067</w:t>
            </w: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资本市场服务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包括</w:t>
            </w:r>
            <w:r w:rsidRPr="00CB4B9E">
              <w:rPr>
                <w:rFonts w:ascii="黑体" w:eastAsia="黑体" w:hAnsi="黑体" w:cs="宋体"/>
                <w:color w:val="000000" w:themeColor="text1"/>
                <w:kern w:val="0"/>
                <w:sz w:val="20"/>
                <w:szCs w:val="20"/>
              </w:rPr>
              <w:t>6711-6790子类</w:t>
            </w:r>
            <w:r w:rsidRPr="00CB4B9E">
              <w:rPr>
                <w:rFonts w:ascii="黑体" w:eastAsia="黑体" w:hAnsi="黑体" w:cs="宋体" w:hint="eastAsia"/>
                <w:color w:val="000000" w:themeColor="text1"/>
                <w:kern w:val="0"/>
                <w:sz w:val="20"/>
                <w:szCs w:val="20"/>
              </w:rPr>
              <w:t>。</w:t>
            </w:r>
          </w:p>
        </w:tc>
      </w:tr>
      <w:tr w:rsidR="00E25984" w:rsidRPr="009263D7" w:rsidTr="00E25984">
        <w:trPr>
          <w:trHeight w:val="56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证券市场服务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jc w:val="left"/>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包括</w:t>
            </w:r>
            <w:r w:rsidRPr="00CB4B9E">
              <w:rPr>
                <w:rFonts w:ascii="黑体" w:eastAsia="黑体" w:hAnsi="黑体" w:cs="宋体"/>
                <w:color w:val="000000" w:themeColor="text1"/>
                <w:kern w:val="0"/>
                <w:sz w:val="20"/>
                <w:szCs w:val="20"/>
              </w:rPr>
              <w:t>6711-6713子类。</w:t>
            </w:r>
          </w:p>
        </w:tc>
      </w:tr>
      <w:tr w:rsidR="00E25984" w:rsidRPr="009263D7" w:rsidTr="00E25984">
        <w:trPr>
          <w:trHeight w:val="902"/>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6711</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证券市场管理服务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指非政府机关进行的证券市场经营和监管，包括证券交易所、登记结算机构的活动。</w:t>
            </w:r>
          </w:p>
        </w:tc>
      </w:tr>
      <w:tr w:rsidR="00E25984" w:rsidRPr="009263D7" w:rsidTr="00E25984">
        <w:trPr>
          <w:trHeight w:val="561"/>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6712</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证券经纪交易服务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指在金融市场上代他人进行交易、代理发行证券和其他有关活动，包括证券经纪、证券承销与保荐、融资融券业务、客户资产管理业务等活动。</w:t>
            </w:r>
          </w:p>
        </w:tc>
      </w:tr>
      <w:tr w:rsidR="00E25984" w:rsidRPr="009263D7" w:rsidTr="00E25984">
        <w:trPr>
          <w:trHeight w:val="927"/>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6713</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基金管理服务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指在收费或合同基础上为个人、企业及其他客户进行的资产组合和基金管理活动，包括证券投资基金、企业年金、社保基金、专户理财、国内资本境外投资管理（</w:t>
            </w:r>
            <w:r w:rsidRPr="00CB4B9E">
              <w:rPr>
                <w:rFonts w:ascii="黑体" w:eastAsia="黑体" w:hAnsi="黑体" w:cs="宋体"/>
                <w:color w:val="000000" w:themeColor="text1"/>
                <w:kern w:val="0"/>
                <w:sz w:val="20"/>
                <w:szCs w:val="20"/>
              </w:rPr>
              <w:t>QDII）等活动。</w:t>
            </w:r>
          </w:p>
        </w:tc>
      </w:tr>
      <w:tr w:rsidR="00E25984" w:rsidRPr="009263D7" w:rsidTr="00E25984">
        <w:trPr>
          <w:trHeight w:val="699"/>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期货市场服务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包括</w:t>
            </w:r>
            <w:r w:rsidRPr="00CB4B9E">
              <w:rPr>
                <w:rFonts w:ascii="黑体" w:eastAsia="黑体" w:hAnsi="黑体" w:cs="宋体"/>
                <w:color w:val="000000" w:themeColor="text1"/>
                <w:kern w:val="0"/>
                <w:sz w:val="20"/>
                <w:szCs w:val="20"/>
              </w:rPr>
              <w:t>6721-6729子类。</w:t>
            </w:r>
          </w:p>
        </w:tc>
      </w:tr>
      <w:tr w:rsidR="00E25984" w:rsidRPr="009263D7" w:rsidTr="00E25984">
        <w:trPr>
          <w:trHeight w:val="557"/>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6721</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期货市场管理服务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指非政府机关进行的期货市场经营和监管，包括商品期货交易所、金融期货交易所、期货保证金监控中心的活动。</w:t>
            </w:r>
          </w:p>
        </w:tc>
      </w:tr>
      <w:tr w:rsidR="00E25984" w:rsidRPr="009263D7" w:rsidTr="00E25984">
        <w:trPr>
          <w:trHeight w:val="765"/>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6729</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其他期货市场服务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指商品合约经纪及其他未列明的期货市场的服务。</w:t>
            </w:r>
          </w:p>
        </w:tc>
      </w:tr>
      <w:tr w:rsidR="00E25984" w:rsidRPr="009263D7" w:rsidTr="00E25984">
        <w:trPr>
          <w:trHeight w:val="705"/>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6730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证券期货监管服务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指由政府或行业自律组织进行的对证券期货市场的监管活动。</w:t>
            </w:r>
          </w:p>
        </w:tc>
      </w:tr>
      <w:tr w:rsidR="00E25984" w:rsidRPr="009263D7" w:rsidTr="00E25984">
        <w:trPr>
          <w:trHeight w:val="68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6740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资本投资服务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指经批准的证券投资机构的自营投资、直接投资活动，以及风险投资和其他投资活动。</w:t>
            </w:r>
          </w:p>
        </w:tc>
      </w:tr>
      <w:tr w:rsidR="00E25984" w:rsidRPr="009263D7" w:rsidTr="00E25984">
        <w:trPr>
          <w:trHeight w:val="710"/>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6790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其他资本市场服务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指投资咨询服务、财务咨询服务、资信评级服务，以及其他未列明的资本市场的服务。</w:t>
            </w:r>
          </w:p>
        </w:tc>
      </w:tr>
      <w:tr w:rsidR="00E25984" w:rsidRPr="009263D7" w:rsidTr="00E25984">
        <w:trPr>
          <w:trHeight w:val="834"/>
          <w:jc w:val="center"/>
        </w:trPr>
        <w:tc>
          <w:tcPr>
            <w:tcW w:w="720" w:type="dxa"/>
            <w:vMerge w:val="restart"/>
            <w:shd w:val="clear" w:color="auto" w:fill="auto"/>
            <w:vAlign w:val="center"/>
            <w:hideMark/>
          </w:tcPr>
          <w:p w:rsidR="001A6A9D" w:rsidRPr="001A6A9D"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1068</w:t>
            </w: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保险业</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包括</w:t>
            </w:r>
            <w:r w:rsidRPr="00CB4B9E">
              <w:rPr>
                <w:rFonts w:ascii="黑体" w:eastAsia="黑体" w:hAnsi="黑体" w:cs="宋体"/>
                <w:color w:val="000000" w:themeColor="text1"/>
                <w:kern w:val="0"/>
                <w:sz w:val="20"/>
                <w:szCs w:val="20"/>
              </w:rPr>
              <w:t>6811-6899子类</w:t>
            </w:r>
            <w:r w:rsidRPr="00CB4B9E">
              <w:rPr>
                <w:rFonts w:ascii="黑体" w:eastAsia="黑体" w:hAnsi="黑体" w:cs="宋体" w:hint="eastAsia"/>
                <w:color w:val="000000" w:themeColor="text1"/>
                <w:kern w:val="0"/>
                <w:sz w:val="20"/>
                <w:szCs w:val="20"/>
              </w:rPr>
              <w:t>。</w:t>
            </w:r>
          </w:p>
        </w:tc>
      </w:tr>
      <w:tr w:rsidR="00E25984" w:rsidRPr="009263D7" w:rsidTr="00E25984">
        <w:trPr>
          <w:trHeight w:val="84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人身保险</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指以人的寿命和身体为保险标的的保险活动，包括人寿保险、健康保险和意外伤害保险。包括</w:t>
            </w:r>
            <w:r w:rsidRPr="00CB4B9E">
              <w:rPr>
                <w:rFonts w:ascii="黑体" w:eastAsia="黑体" w:hAnsi="黑体" w:cs="宋体"/>
                <w:color w:val="000000" w:themeColor="text1"/>
                <w:kern w:val="0"/>
                <w:sz w:val="20"/>
                <w:szCs w:val="20"/>
              </w:rPr>
              <w:t>6811-6812子类。</w:t>
            </w:r>
          </w:p>
        </w:tc>
      </w:tr>
      <w:tr w:rsidR="00E25984" w:rsidRPr="009263D7" w:rsidTr="00E25984">
        <w:trPr>
          <w:trHeight w:val="844"/>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6811</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人寿保险</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指普通寿险、分红寿险、万能寿险、投资连结保险等活动</w:t>
            </w:r>
            <w:r w:rsidRPr="00CB4B9E">
              <w:rPr>
                <w:rFonts w:ascii="黑体" w:eastAsia="黑体" w:hAnsi="黑体" w:cs="宋体"/>
                <w:color w:val="000000" w:themeColor="text1"/>
                <w:kern w:val="0"/>
                <w:sz w:val="20"/>
                <w:szCs w:val="20"/>
              </w:rPr>
              <w:t>(不论是否带有实质性的储蓄成分)</w:t>
            </w:r>
          </w:p>
        </w:tc>
      </w:tr>
      <w:tr w:rsidR="00E25984" w:rsidRPr="009263D7" w:rsidTr="00E25984">
        <w:trPr>
          <w:trHeight w:val="700"/>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6812</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健康和意外保险</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指疾病保险、医疗保险、失能收入损失保险、护理保险以及意外伤害保险的活动。</w:t>
            </w:r>
          </w:p>
        </w:tc>
      </w:tr>
      <w:tr w:rsidR="00E25984" w:rsidRPr="009263D7" w:rsidTr="00E25984">
        <w:trPr>
          <w:trHeight w:val="838"/>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6820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财产保险</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指除人身保险外的保险活动，包括财产损失保险、责任保险、信用保险、保证保险等。</w:t>
            </w:r>
          </w:p>
        </w:tc>
      </w:tr>
      <w:tr w:rsidR="00E25984" w:rsidRPr="009263D7" w:rsidTr="00E25984">
        <w:trPr>
          <w:trHeight w:val="552"/>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6830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再保险</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指承担与其他保险公司承保的现有保单相关的所有或部分风险的活动。</w:t>
            </w:r>
          </w:p>
        </w:tc>
      </w:tr>
      <w:tr w:rsidR="00E25984" w:rsidRPr="009263D7" w:rsidTr="00E25984">
        <w:trPr>
          <w:trHeight w:val="848"/>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6840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养老金</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指专为单位雇员或成员提供退休金补贴而设立的法定实体的活动</w:t>
            </w:r>
            <w:r w:rsidRPr="00CB4B9E">
              <w:rPr>
                <w:rFonts w:ascii="黑体" w:eastAsia="黑体" w:hAnsi="黑体" w:cs="宋体"/>
                <w:color w:val="000000" w:themeColor="text1"/>
                <w:kern w:val="0"/>
                <w:sz w:val="20"/>
                <w:szCs w:val="20"/>
              </w:rPr>
              <w:t>(如基金、计划和/或项目等)，包括养老金定额补贴计划以及完全根据成员贡献确定补贴数额的个人养老金计划等。</w:t>
            </w:r>
          </w:p>
        </w:tc>
      </w:tr>
      <w:tr w:rsidR="00E25984" w:rsidRPr="009263D7" w:rsidTr="00E25984">
        <w:trPr>
          <w:trHeight w:val="830"/>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6850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保险经纪与代理服务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指保险代理人和经纪人进行的年金、保单和分保单的销售、谈判或促合活动。</w:t>
            </w:r>
          </w:p>
        </w:tc>
      </w:tr>
      <w:tr w:rsidR="00E25984" w:rsidRPr="009263D7" w:rsidTr="00E25984">
        <w:trPr>
          <w:trHeight w:val="700"/>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6860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保险监管服务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指根据国务院授权及相关法律、法规规定所履行的对保险市场的监督、管理活动。</w:t>
            </w:r>
          </w:p>
        </w:tc>
      </w:tr>
      <w:tr w:rsidR="00E25984" w:rsidRPr="009263D7" w:rsidTr="00E25984">
        <w:trPr>
          <w:trHeight w:val="647"/>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其他保险活动</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包括</w:t>
            </w:r>
            <w:r w:rsidRPr="00CB4B9E">
              <w:rPr>
                <w:rFonts w:ascii="黑体" w:eastAsia="黑体" w:hAnsi="黑体" w:cs="宋体"/>
                <w:color w:val="000000" w:themeColor="text1"/>
                <w:kern w:val="0"/>
                <w:sz w:val="20"/>
                <w:szCs w:val="20"/>
              </w:rPr>
              <w:t>6891-6899子类。</w:t>
            </w:r>
          </w:p>
        </w:tc>
      </w:tr>
      <w:tr w:rsidR="00E25984" w:rsidRPr="009263D7" w:rsidTr="00E25984">
        <w:trPr>
          <w:trHeight w:val="890"/>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6891</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风险和损失评估</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指保险标的或保险事故的评估、鉴定、勘验、估损或理算等活动，包括索赔处理、风险评估、风险和损失核定、海损理算和损失理算，以及保险理赔等活动。</w:t>
            </w:r>
          </w:p>
        </w:tc>
      </w:tr>
      <w:tr w:rsidR="00E25984" w:rsidRPr="009263D7" w:rsidTr="00E25984">
        <w:trPr>
          <w:trHeight w:val="67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6899</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其他未列明保险活动</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指与保险和养老金相关或密切相关的活动</w:t>
            </w:r>
            <w:r w:rsidRPr="00CB4B9E">
              <w:rPr>
                <w:rFonts w:ascii="黑体" w:eastAsia="黑体" w:hAnsi="黑体" w:cs="宋体"/>
                <w:color w:val="000000" w:themeColor="text1"/>
                <w:kern w:val="0"/>
                <w:sz w:val="20"/>
                <w:szCs w:val="20"/>
              </w:rPr>
              <w:t xml:space="preserve">(理 </w:t>
            </w:r>
            <w:r w:rsidRPr="00CB4B9E">
              <w:rPr>
                <w:rFonts w:ascii="黑体" w:eastAsia="黑体" w:hAnsi="黑体" w:cs="宋体" w:hint="eastAsia"/>
                <w:color w:val="000000" w:themeColor="text1"/>
                <w:kern w:val="0"/>
                <w:sz w:val="20"/>
                <w:szCs w:val="20"/>
              </w:rPr>
              <w:t>赔和保险代理人、经纪人的活动除外</w:t>
            </w:r>
            <w:r w:rsidRPr="00CB4B9E">
              <w:rPr>
                <w:rFonts w:ascii="黑体" w:eastAsia="黑体" w:hAnsi="黑体" w:cs="宋体"/>
                <w:color w:val="000000" w:themeColor="text1"/>
                <w:kern w:val="0"/>
                <w:sz w:val="20"/>
                <w:szCs w:val="20"/>
              </w:rPr>
              <w:t>)，包括救助管理、保险精算等活动。</w:t>
            </w:r>
          </w:p>
        </w:tc>
      </w:tr>
      <w:tr w:rsidR="00E25984" w:rsidRPr="009263D7" w:rsidTr="00E25984">
        <w:trPr>
          <w:trHeight w:val="1176"/>
          <w:jc w:val="center"/>
        </w:trPr>
        <w:tc>
          <w:tcPr>
            <w:tcW w:w="720" w:type="dxa"/>
            <w:vMerge w:val="restart"/>
            <w:shd w:val="clear" w:color="auto" w:fill="auto"/>
            <w:vAlign w:val="center"/>
            <w:hideMark/>
          </w:tcPr>
          <w:p w:rsidR="001A6A9D" w:rsidRPr="001A6A9D"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lastRenderedPageBreak/>
              <w:t>1069</w:t>
            </w: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 xml:space="preserve">　</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其他金融业</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包括</w:t>
            </w:r>
            <w:r w:rsidRPr="00CB4B9E">
              <w:rPr>
                <w:rFonts w:ascii="黑体" w:eastAsia="黑体" w:hAnsi="黑体" w:cs="宋体"/>
                <w:color w:val="000000" w:themeColor="text1"/>
                <w:kern w:val="0"/>
                <w:sz w:val="20"/>
                <w:szCs w:val="20"/>
              </w:rPr>
              <w:t>6910-6990子类</w:t>
            </w:r>
            <w:r w:rsidRPr="00CB4B9E">
              <w:rPr>
                <w:rFonts w:ascii="黑体" w:eastAsia="黑体" w:hAnsi="黑体" w:cs="宋体" w:hint="eastAsia"/>
                <w:color w:val="000000" w:themeColor="text1"/>
                <w:kern w:val="0"/>
                <w:sz w:val="20"/>
                <w:szCs w:val="20"/>
              </w:rPr>
              <w:t>。</w:t>
            </w:r>
          </w:p>
        </w:tc>
      </w:tr>
      <w:tr w:rsidR="00E25984" w:rsidRPr="009263D7" w:rsidTr="00E25984">
        <w:trPr>
          <w:trHeight w:val="117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6910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金融信托与管理服务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指根据委托书、遗嘱或代理协议代表受益人管理的信托基金、房地产账户或代理账户等活动，还包括单位投资信托管理。</w:t>
            </w:r>
          </w:p>
        </w:tc>
      </w:tr>
      <w:tr w:rsidR="00E25984" w:rsidRPr="009263D7" w:rsidTr="00E25984">
        <w:trPr>
          <w:trHeight w:val="117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6920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控股公司服务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指通过一定比例股份，控制某个公司或多个公司的集团，控股公司仅控制股权，不直接参与经营管理，以及其他类似的活动。</w:t>
            </w:r>
          </w:p>
        </w:tc>
      </w:tr>
      <w:tr w:rsidR="00E25984" w:rsidRPr="009263D7" w:rsidTr="00E25984">
        <w:trPr>
          <w:trHeight w:val="117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6930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非金融机构支付服务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指非金融机构在收付款人之间作为中介机构提供下列部分或全部货币资金转移服务，包括网络支付、预付卡的发行与受理、银行卡收单及中国人民银行确定的其他支付等服务。</w:t>
            </w:r>
          </w:p>
        </w:tc>
      </w:tr>
      <w:tr w:rsidR="00E25984" w:rsidRPr="009263D7" w:rsidTr="00E25984">
        <w:trPr>
          <w:trHeight w:val="117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6940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金融信息服务</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指向从事金融分析、金融交易、金融决策或者其他金融活动的用户提供可能影响金融市场的信息（或者金融数据）的服务。</w:t>
            </w:r>
          </w:p>
        </w:tc>
      </w:tr>
      <w:tr w:rsidR="00E25984" w:rsidRPr="009263D7" w:rsidTr="00E25984">
        <w:trPr>
          <w:trHeight w:val="1176"/>
          <w:jc w:val="center"/>
        </w:trPr>
        <w:tc>
          <w:tcPr>
            <w:tcW w:w="720" w:type="dxa"/>
            <w:vMerge/>
            <w:vAlign w:val="center"/>
            <w:hideMark/>
          </w:tcPr>
          <w:p w:rsidR="00000000" w:rsidRDefault="00C97103" w:rsidP="00D1396C">
            <w:pPr>
              <w:widowControl/>
              <w:adjustRightInd w:val="0"/>
              <w:snapToGrid w:val="0"/>
              <w:spacing w:beforeLines="20" w:afterLines="20"/>
              <w:jc w:val="left"/>
              <w:rPr>
                <w:rFonts w:ascii="黑体" w:eastAsia="黑体" w:hAnsi="宋体"/>
                <w:b/>
                <w:bCs/>
                <w:color w:val="000000" w:themeColor="text1"/>
                <w:kern w:val="0"/>
                <w:sz w:val="20"/>
                <w:szCs w:val="20"/>
              </w:rPr>
            </w:pPr>
          </w:p>
        </w:tc>
        <w:tc>
          <w:tcPr>
            <w:tcW w:w="709" w:type="dxa"/>
            <w:shd w:val="clear" w:color="auto" w:fill="auto"/>
            <w:noWrap/>
            <w:vAlign w:val="center"/>
            <w:hideMark/>
          </w:tcPr>
          <w:p w:rsidR="00000000" w:rsidRDefault="00CB4B9E" w:rsidP="00D1396C">
            <w:pPr>
              <w:widowControl/>
              <w:adjustRightInd w:val="0"/>
              <w:snapToGrid w:val="0"/>
              <w:spacing w:beforeLines="20" w:afterLines="20"/>
              <w:jc w:val="center"/>
              <w:rPr>
                <w:rFonts w:ascii="黑体" w:eastAsia="黑体" w:hAnsi="宋体"/>
                <w:color w:val="000000" w:themeColor="text1"/>
                <w:kern w:val="0"/>
                <w:sz w:val="20"/>
                <w:szCs w:val="20"/>
              </w:rPr>
            </w:pPr>
            <w:r w:rsidRPr="00CB4B9E">
              <w:rPr>
                <w:rFonts w:ascii="黑体" w:eastAsia="黑体" w:hAnsi="宋体"/>
                <w:color w:val="000000" w:themeColor="text1"/>
                <w:kern w:val="0"/>
                <w:sz w:val="20"/>
                <w:szCs w:val="20"/>
              </w:rPr>
              <w:t>6990</w:t>
            </w:r>
          </w:p>
        </w:tc>
        <w:tc>
          <w:tcPr>
            <w:tcW w:w="1276"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其他未列明金融业</w:t>
            </w:r>
          </w:p>
        </w:tc>
        <w:tc>
          <w:tcPr>
            <w:tcW w:w="5720" w:type="dxa"/>
            <w:shd w:val="clear" w:color="auto" w:fill="auto"/>
            <w:noWrap/>
            <w:vAlign w:val="center"/>
            <w:hideMark/>
          </w:tcPr>
          <w:p w:rsidR="00000000" w:rsidRDefault="00CB4B9E" w:rsidP="00D1396C">
            <w:pPr>
              <w:widowControl/>
              <w:adjustRightInd w:val="0"/>
              <w:snapToGrid w:val="0"/>
              <w:spacing w:beforeLines="20" w:afterLines="20"/>
              <w:rPr>
                <w:rFonts w:ascii="黑体" w:eastAsia="黑体" w:hAnsi="黑体" w:cs="宋体"/>
                <w:color w:val="000000" w:themeColor="text1"/>
                <w:kern w:val="0"/>
                <w:sz w:val="20"/>
                <w:szCs w:val="20"/>
              </w:rPr>
            </w:pPr>
            <w:r w:rsidRPr="00CB4B9E">
              <w:rPr>
                <w:rFonts w:ascii="黑体" w:eastAsia="黑体" w:hAnsi="黑体" w:cs="宋体" w:hint="eastAsia"/>
                <w:color w:val="000000" w:themeColor="text1"/>
                <w:kern w:val="0"/>
                <w:sz w:val="20"/>
                <w:szCs w:val="20"/>
              </w:rPr>
              <w:t>指主要与除提供贷款以外的资金分配有关的其他金融媒介活动，包括保理活动、掉期、期权和其他套期保值安排、保单贴现公司的活动、金融资产的管理、金融交易处理与结算等活动，还包括信用卡交易的处理与结算、外币兑换等活动。</w:t>
            </w:r>
          </w:p>
        </w:tc>
      </w:tr>
    </w:tbl>
    <w:p w:rsidR="00000000" w:rsidRDefault="00C97103">
      <w:pPr>
        <w:rPr>
          <w:color w:val="000000" w:themeColor="text1"/>
        </w:rPr>
      </w:pPr>
    </w:p>
    <w:p w:rsidR="00E25984" w:rsidRPr="009263D7" w:rsidRDefault="00E25984" w:rsidP="00E25984">
      <w:pPr>
        <w:pStyle w:val="2"/>
        <w:numPr>
          <w:ilvl w:val="0"/>
          <w:numId w:val="28"/>
        </w:numPr>
        <w:jc w:val="center"/>
        <w:rPr>
          <w:rFonts w:ascii="宋体" w:hAnsi="宋体"/>
          <w:color w:val="000000" w:themeColor="text1"/>
        </w:rPr>
        <w:sectPr w:rsidR="00E25984" w:rsidRPr="009263D7" w:rsidSect="00B154A0">
          <w:pgSz w:w="11907" w:h="16840" w:code="9"/>
          <w:pgMar w:top="1418" w:right="1247" w:bottom="1247" w:left="1247" w:header="851" w:footer="992" w:gutter="0"/>
          <w:cols w:space="425"/>
          <w:titlePg/>
          <w:docGrid w:type="lines" w:linePitch="312"/>
        </w:sectPr>
      </w:pP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70" w:name="_Toc452017167"/>
      <w:r w:rsidRPr="00CB4B9E">
        <w:rPr>
          <w:rFonts w:ascii="宋体" w:hAnsi="宋体" w:hint="eastAsia"/>
          <w:b w:val="0"/>
          <w:color w:val="000000" w:themeColor="text1"/>
          <w:sz w:val="28"/>
          <w:szCs w:val="28"/>
        </w:rPr>
        <w:lastRenderedPageBreak/>
        <w:t>国家和地区代码表</w:t>
      </w:r>
      <w:bookmarkEnd w:id="70"/>
    </w:p>
    <w:tbl>
      <w:tblPr>
        <w:tblW w:w="8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09"/>
        <w:gridCol w:w="1671"/>
        <w:gridCol w:w="1417"/>
        <w:gridCol w:w="1688"/>
        <w:gridCol w:w="1985"/>
      </w:tblGrid>
      <w:tr w:rsidR="00E25984" w:rsidRPr="009263D7" w:rsidTr="00E25984">
        <w:trPr>
          <w:trHeight w:val="284"/>
          <w:tblHeader/>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rFonts w:hint="eastAsia"/>
                <w:color w:val="000000" w:themeColor="text1"/>
              </w:rPr>
              <w:t>国家地区代码</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rFonts w:hint="eastAsia"/>
                <w:color w:val="000000" w:themeColor="text1"/>
              </w:rPr>
              <w:t>数字代码</w:t>
            </w:r>
          </w:p>
        </w:tc>
        <w:tc>
          <w:tcPr>
            <w:tcW w:w="1671" w:type="dxa"/>
            <w:shd w:val="clear" w:color="auto" w:fill="auto"/>
            <w:vAlign w:val="center"/>
          </w:tcPr>
          <w:p w:rsidR="00E25984" w:rsidRPr="009263D7" w:rsidRDefault="00CB4B9E" w:rsidP="00E25984">
            <w:pPr>
              <w:pStyle w:val="B"/>
              <w:jc w:val="center"/>
              <w:rPr>
                <w:color w:val="000000" w:themeColor="text1"/>
              </w:rPr>
            </w:pPr>
            <w:r w:rsidRPr="00CB4B9E">
              <w:rPr>
                <w:rFonts w:hint="eastAsia"/>
                <w:color w:val="000000" w:themeColor="text1"/>
              </w:rPr>
              <w:t>中文全称</w:t>
            </w:r>
          </w:p>
        </w:tc>
        <w:tc>
          <w:tcPr>
            <w:tcW w:w="1417" w:type="dxa"/>
            <w:shd w:val="clear" w:color="auto" w:fill="auto"/>
            <w:vAlign w:val="center"/>
          </w:tcPr>
          <w:p w:rsidR="00E25984" w:rsidRPr="009263D7" w:rsidRDefault="00CB4B9E" w:rsidP="00E25984">
            <w:pPr>
              <w:pStyle w:val="B"/>
              <w:jc w:val="center"/>
              <w:rPr>
                <w:color w:val="000000" w:themeColor="text1"/>
              </w:rPr>
            </w:pPr>
            <w:r w:rsidRPr="00CB4B9E">
              <w:rPr>
                <w:rFonts w:hint="eastAsia"/>
                <w:color w:val="000000" w:themeColor="text1"/>
              </w:rPr>
              <w:t>中文简称</w:t>
            </w:r>
          </w:p>
        </w:tc>
        <w:tc>
          <w:tcPr>
            <w:tcW w:w="1688" w:type="dxa"/>
            <w:shd w:val="clear" w:color="auto" w:fill="auto"/>
            <w:vAlign w:val="center"/>
          </w:tcPr>
          <w:p w:rsidR="00E25984" w:rsidRPr="009263D7" w:rsidRDefault="00CB4B9E" w:rsidP="00E25984">
            <w:pPr>
              <w:pStyle w:val="B"/>
              <w:jc w:val="center"/>
              <w:rPr>
                <w:color w:val="000000" w:themeColor="text1"/>
              </w:rPr>
            </w:pPr>
            <w:r w:rsidRPr="00CB4B9E">
              <w:rPr>
                <w:rFonts w:hint="eastAsia"/>
                <w:color w:val="000000" w:themeColor="text1"/>
              </w:rPr>
              <w:t>英文全称</w:t>
            </w:r>
          </w:p>
        </w:tc>
        <w:tc>
          <w:tcPr>
            <w:tcW w:w="1985" w:type="dxa"/>
            <w:shd w:val="clear" w:color="auto" w:fill="auto"/>
            <w:vAlign w:val="center"/>
          </w:tcPr>
          <w:p w:rsidR="00E25984" w:rsidRPr="009263D7" w:rsidRDefault="00CB4B9E" w:rsidP="00E25984">
            <w:pPr>
              <w:pStyle w:val="B"/>
              <w:jc w:val="center"/>
              <w:rPr>
                <w:color w:val="000000" w:themeColor="text1"/>
              </w:rPr>
            </w:pPr>
            <w:r w:rsidRPr="00CB4B9E">
              <w:rPr>
                <w:rFonts w:hint="eastAsia"/>
                <w:color w:val="000000" w:themeColor="text1"/>
              </w:rPr>
              <w:t>英文简称</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ABW</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533</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阿鲁巴</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阿鲁巴</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Aruba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ARUBA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AFG</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004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阿富汗</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阿富汗</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Afghanista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AFGHANISTAN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AGO</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024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安哥拉共和国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安哥拉</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Angola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ANGOLA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AIA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660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安圭拉</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安圭拉</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Anguill</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ANGUILLA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ALA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248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奥兰群岛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奥兰群岛</w:t>
            </w:r>
          </w:p>
        </w:tc>
        <w:tc>
          <w:tcPr>
            <w:tcW w:w="1688" w:type="dxa"/>
            <w:shd w:val="clear" w:color="auto" w:fill="auto"/>
            <w:vAlign w:val="center"/>
          </w:tcPr>
          <w:p w:rsidR="00E25984" w:rsidRPr="009263D7" w:rsidRDefault="00CB4B9E" w:rsidP="00E25984">
            <w:pPr>
              <w:pStyle w:val="B"/>
              <w:rPr>
                <w:color w:val="000000" w:themeColor="text1"/>
              </w:rPr>
            </w:pPr>
            <w:r w:rsidRPr="00CB4B9E">
              <w:rPr>
                <w:rFonts w:ascii="Arial" w:hAnsi="Arial" w:cs="Arial"/>
                <w:color w:val="000000" w:themeColor="text1"/>
                <w:szCs w:val="20"/>
              </w:rPr>
              <w:t>Aland Islands</w:t>
            </w:r>
          </w:p>
        </w:tc>
        <w:tc>
          <w:tcPr>
            <w:tcW w:w="1985" w:type="dxa"/>
            <w:shd w:val="clear" w:color="auto" w:fill="auto"/>
            <w:vAlign w:val="bottom"/>
          </w:tcPr>
          <w:p w:rsidR="00E25984" w:rsidRPr="009263D7" w:rsidRDefault="00CB4B9E" w:rsidP="00E25984">
            <w:pPr>
              <w:pStyle w:val="B"/>
              <w:rPr>
                <w:color w:val="000000" w:themeColor="text1"/>
              </w:rPr>
            </w:pPr>
            <w:r w:rsidRPr="00CB4B9E">
              <w:rPr>
                <w:rFonts w:ascii="Arial" w:hAnsi="Arial" w:cs="Arial"/>
                <w:color w:val="000000" w:themeColor="text1"/>
                <w:szCs w:val="20"/>
              </w:rPr>
              <w:t>ALAND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ALB</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008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阿尔巴尼亚共和国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阿尔巴尼亚</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Albani</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ALBANIA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AND</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020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安道尔公国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安道尔</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Principality of Andorra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ANDORRA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ANT</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530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荷属安的列斯</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荷属安的列斯</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Netherlands Antilles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NETHERLANDS ANTILLES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ARE</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784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阿拉伯联合酋长国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阿联酋</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United Arab Emirates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UNITED ARAB EMIRATES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ARG</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032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阿根廷共和国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阿根廷</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Argentine Republic</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ARGENTINA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ARM</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051</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亚美尼亚共和国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亚美尼亚</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Armenia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ARMENIA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ASM</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016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美属萨摩亚</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美属萨摩亚</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American Samoa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AMERICAN SAMOA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ATA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010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南极洲</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南极洲</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Antarctica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ANTARCTICA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ATF</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260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法属南部领地</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法属南部领地</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French Southern Territories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FRENCH SOUTHERN TERRITORIES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ATG</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028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安提瓜和巴布达</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安提瓜和巴布达</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Antigua and Barbuda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ANTIGUA AND BARBUDA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AUS</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036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澳大利亚联邦</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澳大利亚</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Commonwealth of Australia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AUSTRALIA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AUT</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040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奥地利共和国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奥地利</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Austria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AUSTRIA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AZE</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031</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阿塞拜疆共和国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阿塞拜疆</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Azerbaijan</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AZERBAIJAN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BDI</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108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布隆迪共和国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布隆迪</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Burundi</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BURUNDI</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BEL</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056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比利时王国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比利时</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Kingdom of Belgium</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BELGIUM</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BEN</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204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贝宁共和国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贝宁</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Benin</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BENIN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BES</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535</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博奈尔、圣尤斯特歇斯和萨巴岛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博奈尔、圣尤斯特歇斯和萨巴岛</w:t>
            </w:r>
          </w:p>
        </w:tc>
        <w:tc>
          <w:tcPr>
            <w:tcW w:w="1688" w:type="dxa"/>
            <w:shd w:val="clear" w:color="auto" w:fill="auto"/>
            <w:vAlign w:val="center"/>
          </w:tcPr>
          <w:p w:rsidR="00E25984" w:rsidRPr="009263D7" w:rsidRDefault="00CB4B9E" w:rsidP="00E25984">
            <w:pPr>
              <w:pStyle w:val="B"/>
              <w:rPr>
                <w:color w:val="000000" w:themeColor="text1"/>
              </w:rPr>
            </w:pPr>
            <w:r w:rsidRPr="00CB4B9E">
              <w:rPr>
                <w:rFonts w:ascii="Arial" w:hAnsi="Arial" w:cs="Arial"/>
                <w:color w:val="000000" w:themeColor="text1"/>
                <w:szCs w:val="20"/>
              </w:rPr>
              <w:t>Bonaire, Sint Eustatius and Saba</w:t>
            </w:r>
          </w:p>
        </w:tc>
        <w:tc>
          <w:tcPr>
            <w:tcW w:w="1985" w:type="dxa"/>
            <w:shd w:val="clear" w:color="auto" w:fill="auto"/>
            <w:vAlign w:val="bottom"/>
          </w:tcPr>
          <w:p w:rsidR="00E25984" w:rsidRPr="009263D7" w:rsidRDefault="00CB4B9E" w:rsidP="00E25984">
            <w:pPr>
              <w:pStyle w:val="B"/>
              <w:rPr>
                <w:color w:val="000000" w:themeColor="text1"/>
              </w:rPr>
            </w:pPr>
            <w:r w:rsidRPr="00CB4B9E">
              <w:rPr>
                <w:rFonts w:cs="Arial"/>
                <w:color w:val="000000" w:themeColor="text1"/>
                <w:szCs w:val="20"/>
              </w:rPr>
              <w:t>BONAIRE, SINT EUSTATIUS AND SABA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lastRenderedPageBreak/>
              <w:t>BFA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854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布基纳法索</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布基纳法索</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Burkina Faso</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BURKINA FASO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BGD</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050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孟加拉人民共和国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孟加拉国</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People's Republic of Bangladesh</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BANGLADESH</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BGR</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100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保加利亚共和国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保加利亚</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Bulgaria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BULGARIA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BHR</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048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巴林国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巴林</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State of Bahrain</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BAHRAIN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BHS</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044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巴哈马联邦</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巴哈马</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Commonwealth of the Bahamas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BAHAMAS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BIH</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070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波斯尼亚和黑塞哥维那</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波黑</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Bosnia and Herzegovina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BOSNIA AND HERZEGOVINA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BLM</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652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圣巴泰勒米岛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圣巴泰勒米岛</w:t>
            </w:r>
          </w:p>
        </w:tc>
        <w:tc>
          <w:tcPr>
            <w:tcW w:w="1688" w:type="dxa"/>
            <w:shd w:val="clear" w:color="auto" w:fill="auto"/>
            <w:vAlign w:val="center"/>
          </w:tcPr>
          <w:p w:rsidR="00000000" w:rsidRDefault="00CB4B9E">
            <w:pPr>
              <w:pStyle w:val="B"/>
              <w:spacing w:line="240" w:lineRule="exact"/>
              <w:rPr>
                <w:color w:val="000000" w:themeColor="text1"/>
              </w:rPr>
            </w:pPr>
            <w:r w:rsidRPr="00CB4B9E">
              <w:rPr>
                <w:rFonts w:ascii="Arial" w:hAnsi="Arial" w:cs="Arial"/>
                <w:color w:val="000000" w:themeColor="text1"/>
                <w:szCs w:val="20"/>
              </w:rPr>
              <w:t>Saint Barthelemy</w:t>
            </w:r>
          </w:p>
        </w:tc>
        <w:tc>
          <w:tcPr>
            <w:tcW w:w="1985" w:type="dxa"/>
            <w:shd w:val="clear" w:color="auto" w:fill="auto"/>
            <w:vAlign w:val="center"/>
          </w:tcPr>
          <w:p w:rsidR="00E25984" w:rsidRPr="009263D7" w:rsidRDefault="00CB4B9E" w:rsidP="00E25984">
            <w:pPr>
              <w:pStyle w:val="B"/>
              <w:rPr>
                <w:color w:val="000000" w:themeColor="text1"/>
              </w:rPr>
            </w:pPr>
            <w:r w:rsidRPr="00CB4B9E">
              <w:rPr>
                <w:rFonts w:ascii="Arial" w:hAnsi="Arial" w:cs="Arial"/>
                <w:color w:val="000000" w:themeColor="text1"/>
                <w:szCs w:val="20"/>
              </w:rPr>
              <w:t>SAINT BARTHELEMY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BLR</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112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白俄罗斯共和国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白俄罗斯</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Belarus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BELARUS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BLZ</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084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伯利兹</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伯利兹</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Belize</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BELIZE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BMU</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060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百慕大</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百慕大</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Bermuda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BERMUDA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BOL</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068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玻利维亚共和国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玻利维亚</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Bolivia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BOLIVIA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BRA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076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巴西联邦共和国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巴西</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Federative Republic of Brazil</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BRAZIL</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BRB</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052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巴巴多斯</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巴巴多斯</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Barbados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BARBADOS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BRN</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096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文莱达鲁萨兰国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文莱</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Brunei Darussalam</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BRUNEI</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BTN</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064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不丹王国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不丹</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Kingdom of Bhutan</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BHUTAN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BVT</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074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布维岛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布维岛</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Bouvet Island</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BOUVET ISLAND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BWA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072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博茨瓦纳共和国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博茨瓦纳</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Botswana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BOTSWANA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CAF</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140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中非共和国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中非</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Central African Republic</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CENTRAL AFRICAN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CAN</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124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加拿大</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加拿大</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Canada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CCK</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166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科科斯</w:t>
            </w:r>
            <w:r w:rsidRPr="00CB4B9E">
              <w:rPr>
                <w:color w:val="000000" w:themeColor="text1"/>
              </w:rPr>
              <w:t>(</w:t>
            </w:r>
            <w:r w:rsidRPr="00CB4B9E">
              <w:rPr>
                <w:rFonts w:hint="eastAsia"/>
                <w:color w:val="000000" w:themeColor="text1"/>
              </w:rPr>
              <w:t>基林</w:t>
            </w:r>
            <w:r w:rsidRPr="00CB4B9E">
              <w:rPr>
                <w:color w:val="000000" w:themeColor="text1"/>
              </w:rPr>
              <w:t>)</w:t>
            </w:r>
            <w:r w:rsidRPr="00CB4B9E">
              <w:rPr>
                <w:rFonts w:hint="eastAsia"/>
                <w:color w:val="000000" w:themeColor="text1"/>
              </w:rPr>
              <w:t>群岛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科科斯</w:t>
            </w:r>
            <w:r w:rsidRPr="00CB4B9E">
              <w:rPr>
                <w:color w:val="000000" w:themeColor="text1"/>
              </w:rPr>
              <w:t>(</w:t>
            </w:r>
            <w:r w:rsidRPr="00CB4B9E">
              <w:rPr>
                <w:rFonts w:hint="eastAsia"/>
                <w:color w:val="000000" w:themeColor="text1"/>
              </w:rPr>
              <w:t>基林</w:t>
            </w:r>
            <w:r w:rsidRPr="00CB4B9E">
              <w:rPr>
                <w:color w:val="000000" w:themeColor="text1"/>
              </w:rPr>
              <w:t>)</w:t>
            </w:r>
            <w:r w:rsidRPr="00CB4B9E">
              <w:rPr>
                <w:rFonts w:hint="eastAsia"/>
                <w:color w:val="000000" w:themeColor="text1"/>
              </w:rPr>
              <w:t>群岛</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Cocos(Keeling) Islands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COCOS(KEELING)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CHE</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756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瑞士联邦</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瑞士</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Swiss Confederation</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SW ITZERLAND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CHL</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152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智利共和国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智利</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Chile</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CHILE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CHN</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156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中华人民共和国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中国</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People's Republic of China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CHINA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CIV</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384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科特迪瓦共和国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科特迪瓦</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Cote d'Ivoire</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COTE D'IVOIRE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CMR</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120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喀麦隆共和国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喀麦隆</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Cameroon</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CAMEROON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COD</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180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刚果民主共和国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刚果（金）</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Democratic Republic of Congo</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 xml:space="preserve">CONGO,THE DEMOCRATIC REPUBLIC OF THE </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lastRenderedPageBreak/>
              <w:t>COG</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178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刚果共和国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刚果（布）</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Congo</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CONGO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COK</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184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库克群岛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库克群岛</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Cook Islands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COOK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COL</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170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哥伦比亚共和国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哥伦比亚</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Colombia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COLOMBIA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COM</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174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科摩罗伊斯兰联邦共和国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科摩罗</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Islamic Federal Republic of the Comoros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COMOROS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CPV</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132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佛得角共和国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佛得角</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Cape Verd</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CAPE VERDE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CRI</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188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哥斯达黎加共和国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哥斯达黎加</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Costa Rica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COSTA RICA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CUB</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192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古巴共和国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古巴</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Cuba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CUBA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CUW</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531</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库拉索</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库拉索</w:t>
            </w:r>
          </w:p>
        </w:tc>
        <w:tc>
          <w:tcPr>
            <w:tcW w:w="1688" w:type="dxa"/>
            <w:shd w:val="clear" w:color="auto" w:fill="auto"/>
            <w:vAlign w:val="center"/>
          </w:tcPr>
          <w:p w:rsidR="00E25984" w:rsidRPr="009263D7" w:rsidRDefault="00CB4B9E" w:rsidP="00E25984">
            <w:pPr>
              <w:pStyle w:val="B"/>
              <w:rPr>
                <w:color w:val="000000" w:themeColor="text1"/>
              </w:rPr>
            </w:pPr>
            <w:r w:rsidRPr="00CB4B9E">
              <w:rPr>
                <w:rFonts w:ascii="Arial" w:hAnsi="Arial" w:cs="Arial"/>
                <w:color w:val="000000" w:themeColor="text1"/>
                <w:szCs w:val="20"/>
              </w:rPr>
              <w:t>Curacao</w:t>
            </w:r>
          </w:p>
        </w:tc>
        <w:tc>
          <w:tcPr>
            <w:tcW w:w="1985" w:type="dxa"/>
            <w:shd w:val="clear" w:color="auto" w:fill="auto"/>
            <w:vAlign w:val="bottom"/>
          </w:tcPr>
          <w:p w:rsidR="00E25984" w:rsidRPr="009263D7" w:rsidRDefault="00CB4B9E" w:rsidP="00E25984">
            <w:pPr>
              <w:pStyle w:val="B"/>
              <w:rPr>
                <w:color w:val="000000" w:themeColor="text1"/>
              </w:rPr>
            </w:pPr>
            <w:r w:rsidRPr="00CB4B9E">
              <w:rPr>
                <w:rFonts w:cs="Arial"/>
                <w:color w:val="000000" w:themeColor="text1"/>
                <w:szCs w:val="20"/>
              </w:rPr>
              <w:t>CURACAO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CXR</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162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圣诞岛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圣诞岛</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Christmas Island</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CHRISTMAS ISLAND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CYM</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136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开曼群岛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开曼群岛</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Cayman Islands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CAYMAN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CYP</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196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塞浦路斯共和国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塞浦路斯</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Republic of Cyprus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CYPRUS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CZE</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203</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捷克共和国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捷克</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Czech Republic</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CZECH REPUBLIC</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DEU</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276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德意志联邦共和国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德国</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Federal Republic of Germany</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GERMANY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DJI</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262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吉布提共和国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吉布提</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Republic of Djibouti</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DJIBOUTI</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DMA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212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多米尼克国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多米尼克</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Commonwealth of Dominica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DOMINICA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DNK</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208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丹麦王国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丹麦</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Kingdom of Denmark</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DENMARK</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DOM</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214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多米尼加共和国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多米尼加</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Dominican Republic</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DOMINICAN REPUBLIC</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DZA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012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阿尔及利亚民主人民共和国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阿尔及利亚</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Democratic People's Republic of Algeri</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ALGERIA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ECU</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218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厄瓜多尔共和国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厄瓜多尔</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Republic of Ecuador</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ECUADOR</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EGY</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818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阿拉伯埃及共和国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埃及</w:t>
            </w:r>
          </w:p>
        </w:tc>
        <w:tc>
          <w:tcPr>
            <w:tcW w:w="1688" w:type="dxa"/>
            <w:shd w:val="clear" w:color="auto" w:fill="auto"/>
            <w:vAlign w:val="center"/>
          </w:tcPr>
          <w:p w:rsidR="00000000" w:rsidRDefault="00CB4B9E">
            <w:pPr>
              <w:pStyle w:val="B"/>
              <w:spacing w:line="260" w:lineRule="exact"/>
              <w:rPr>
                <w:color w:val="000000" w:themeColor="text1"/>
              </w:rPr>
            </w:pPr>
            <w:r w:rsidRPr="00CB4B9E">
              <w:rPr>
                <w:color w:val="000000" w:themeColor="text1"/>
              </w:rPr>
              <w:t>Arab Republic of Egypt</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EGYPT</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ERI</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232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厄立特里亚国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厄立特里亚</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State of Eritrea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ERITREA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ESH</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732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西撒哈拉</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西撒哈拉</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Western Sahara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WESTERN SAHARA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ESP</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724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西班牙王国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西班牙</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Kingdom of Spain</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SPAIN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lastRenderedPageBreak/>
              <w:t>EST</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233</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爱沙尼亚共和国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爱沙尼亚</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Estonia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ESTONIA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ETH</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231</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埃塞俄比亚联邦民主共和国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埃塞俄比亚</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Federal Democratic Republic of Ethiopia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ETHIOPIA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FIN</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246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芬兰共和国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芬兰</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Finland</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FINLAND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FJI</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242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斐济群岛共和国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斐济</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the Fiji Islands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FIJI</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FLK</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238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福克兰群岛</w:t>
            </w:r>
            <w:r w:rsidRPr="00CB4B9E">
              <w:rPr>
                <w:color w:val="000000" w:themeColor="text1"/>
              </w:rPr>
              <w:t>(</w:t>
            </w:r>
            <w:r w:rsidRPr="00CB4B9E">
              <w:rPr>
                <w:rFonts w:hint="eastAsia"/>
                <w:color w:val="000000" w:themeColor="text1"/>
              </w:rPr>
              <w:t>马尔维纳斯群岛</w:t>
            </w:r>
            <w:r w:rsidRPr="00CB4B9E">
              <w:rPr>
                <w:color w:val="000000" w:themeColor="text1"/>
              </w:rPr>
              <w:t>)</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福克兰群岛（马尔维纳斯群岛）</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Falkland Islands (Malvinas)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FALKLAND ISLANDS(MALVINAS)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FRA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250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法兰西共和国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法国</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French Republic</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FRANCE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FRO</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234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法罗群岛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法罗群岛</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Faroe Islands</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FAROE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FSM</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583</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密克罗尼西亚联邦</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密克罗尼西亚联邦</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Federated States of Micronesia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MICRONESIA,FEDERATED STATES OF</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GAB</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266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加蓬共和国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加蓬</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Gabonese Republic</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GABON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GBR</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826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大不列颠及北爱尔兰联合王国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英国</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United Kingdom of Great Britain and Northern lreland</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UNITED KINGDOM</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GEO</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268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格鲁吉亚</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格鲁吉亚</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Georgia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GEORGIA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rFonts w:cs="Arial"/>
                <w:color w:val="000000" w:themeColor="text1"/>
                <w:szCs w:val="20"/>
              </w:rPr>
              <w:t>GGY</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rFonts w:ascii="Arial" w:hAnsi="Arial" w:cs="Arial"/>
                <w:color w:val="000000" w:themeColor="text1"/>
                <w:szCs w:val="20"/>
              </w:rPr>
              <w:t>831</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根西岛</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ascii="Arial" w:hAnsi="Arial" w:cs="Arial" w:hint="eastAsia"/>
                <w:color w:val="000000" w:themeColor="text1"/>
                <w:szCs w:val="20"/>
              </w:rPr>
              <w:t>根西岛</w:t>
            </w:r>
          </w:p>
        </w:tc>
        <w:tc>
          <w:tcPr>
            <w:tcW w:w="1688" w:type="dxa"/>
            <w:shd w:val="clear" w:color="auto" w:fill="auto"/>
            <w:vAlign w:val="center"/>
          </w:tcPr>
          <w:p w:rsidR="00000000" w:rsidRDefault="00CB4B9E">
            <w:pPr>
              <w:pStyle w:val="B"/>
              <w:spacing w:line="240" w:lineRule="exact"/>
              <w:rPr>
                <w:color w:val="000000" w:themeColor="text1"/>
              </w:rPr>
            </w:pPr>
            <w:r w:rsidRPr="00CB4B9E">
              <w:rPr>
                <w:rFonts w:ascii="Arial" w:hAnsi="Arial" w:cs="Arial"/>
                <w:color w:val="000000" w:themeColor="text1"/>
                <w:szCs w:val="20"/>
              </w:rPr>
              <w:t>Guernsey</w:t>
            </w:r>
          </w:p>
        </w:tc>
        <w:tc>
          <w:tcPr>
            <w:tcW w:w="1985" w:type="dxa"/>
            <w:shd w:val="clear" w:color="auto" w:fill="auto"/>
            <w:vAlign w:val="bottom"/>
          </w:tcPr>
          <w:p w:rsidR="00E25984" w:rsidRPr="009263D7" w:rsidRDefault="00CB4B9E" w:rsidP="00E25984">
            <w:pPr>
              <w:pStyle w:val="B"/>
              <w:rPr>
                <w:color w:val="000000" w:themeColor="text1"/>
              </w:rPr>
            </w:pPr>
            <w:r w:rsidRPr="00CB4B9E">
              <w:rPr>
                <w:rFonts w:ascii="Arial" w:hAnsi="Arial" w:cs="Arial"/>
                <w:color w:val="000000" w:themeColor="text1"/>
                <w:szCs w:val="20"/>
              </w:rPr>
              <w:t>GUERNSEY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GHA</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288</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加纳共和国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加纳</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Ghana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GHANA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GIB</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292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直布罗陀</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直布罗陀</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Gibraltar</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GIBRALTAR</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GIN</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324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几内亚共和国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几内亚</w:t>
            </w:r>
          </w:p>
        </w:tc>
        <w:tc>
          <w:tcPr>
            <w:tcW w:w="1688" w:type="dxa"/>
            <w:shd w:val="clear" w:color="auto" w:fill="auto"/>
            <w:vAlign w:val="center"/>
          </w:tcPr>
          <w:p w:rsidR="00000000" w:rsidRDefault="00CB4B9E">
            <w:pPr>
              <w:pStyle w:val="B"/>
              <w:spacing w:line="240" w:lineRule="exact"/>
              <w:rPr>
                <w:color w:val="000000" w:themeColor="text1"/>
              </w:rPr>
            </w:pPr>
            <w:r w:rsidRPr="00CB4B9E">
              <w:rPr>
                <w:color w:val="000000" w:themeColor="text1"/>
              </w:rPr>
              <w:t>Republic of Guinea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GUINEA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GLP</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312</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瓜德罗普</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瓜德罗普</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Guadeloupe</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GUADELOUPE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GMB</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270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冈比亚共和国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冈比亚</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the Gambia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GAMBIA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GNB</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624</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几内亚比绍共和国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几内亚比绍</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Guinea-Bissau</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GUINEA-BISSAU</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GNQ</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226</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赤道几内亚共和国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赤道几内亚</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Republic of Equatorial Guinea</w:t>
            </w:r>
          </w:p>
        </w:tc>
        <w:tc>
          <w:tcPr>
            <w:tcW w:w="1985" w:type="dxa"/>
            <w:shd w:val="clear" w:color="auto" w:fill="auto"/>
            <w:vAlign w:val="center"/>
          </w:tcPr>
          <w:p w:rsidR="00E25984" w:rsidRPr="009263D7" w:rsidRDefault="00CB4B9E" w:rsidP="00E25984">
            <w:pPr>
              <w:pStyle w:val="B"/>
              <w:rPr>
                <w:color w:val="000000" w:themeColor="text1"/>
              </w:rPr>
            </w:pPr>
            <w:r w:rsidRPr="00CB4B9E">
              <w:rPr>
                <w:color w:val="000000" w:themeColor="text1"/>
              </w:rPr>
              <w:t>EQUATORIAL GUINEA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GRC</w:t>
            </w:r>
          </w:p>
        </w:tc>
        <w:tc>
          <w:tcPr>
            <w:tcW w:w="709" w:type="dxa"/>
            <w:shd w:val="clear" w:color="auto" w:fill="auto"/>
            <w:vAlign w:val="center"/>
          </w:tcPr>
          <w:p w:rsidR="00E25984" w:rsidRPr="009263D7" w:rsidRDefault="00CB4B9E" w:rsidP="00E25984">
            <w:pPr>
              <w:pStyle w:val="B"/>
              <w:jc w:val="center"/>
              <w:rPr>
                <w:color w:val="000000" w:themeColor="text1"/>
              </w:rPr>
            </w:pPr>
            <w:r w:rsidRPr="00CB4B9E">
              <w:rPr>
                <w:color w:val="000000" w:themeColor="text1"/>
              </w:rPr>
              <w:t>300</w:t>
            </w:r>
          </w:p>
        </w:tc>
        <w:tc>
          <w:tcPr>
            <w:tcW w:w="1671"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希腊共和国</w:t>
            </w:r>
          </w:p>
        </w:tc>
        <w:tc>
          <w:tcPr>
            <w:tcW w:w="1417" w:type="dxa"/>
            <w:shd w:val="clear" w:color="auto" w:fill="auto"/>
            <w:vAlign w:val="center"/>
          </w:tcPr>
          <w:p w:rsidR="00E25984" w:rsidRPr="009263D7" w:rsidRDefault="00CB4B9E" w:rsidP="00E25984">
            <w:pPr>
              <w:pStyle w:val="B"/>
              <w:rPr>
                <w:color w:val="000000" w:themeColor="text1"/>
              </w:rPr>
            </w:pPr>
            <w:r w:rsidRPr="00CB4B9E">
              <w:rPr>
                <w:rFonts w:hint="eastAsia"/>
                <w:color w:val="000000" w:themeColor="text1"/>
              </w:rPr>
              <w:t>希腊</w:t>
            </w:r>
          </w:p>
        </w:tc>
        <w:tc>
          <w:tcPr>
            <w:tcW w:w="1688" w:type="dxa"/>
            <w:shd w:val="clear" w:color="auto" w:fill="auto"/>
            <w:vAlign w:val="center"/>
          </w:tcPr>
          <w:p w:rsidR="00E25984" w:rsidRPr="009263D7" w:rsidRDefault="00CB4B9E" w:rsidP="00E25984">
            <w:pPr>
              <w:pStyle w:val="B"/>
              <w:rPr>
                <w:color w:val="000000" w:themeColor="text1"/>
              </w:rPr>
            </w:pPr>
            <w:r w:rsidRPr="00CB4B9E">
              <w:rPr>
                <w:color w:val="000000" w:themeColor="text1"/>
              </w:rPr>
              <w:t>Hellenic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GREECE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GRD</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308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格林纳达</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格林纳达</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Grenada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GRENADA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GRL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304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格陵兰</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格陵兰</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Greenland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GREENLAND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GTM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320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危地马拉共和国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危地马拉</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Guatemala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GUATEMALA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GUF</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254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法属圭亚那</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法属圭亚那</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French Guiana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FRENCH GUIANA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GUM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316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关岛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关岛</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Guam</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GUAM</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lastRenderedPageBreak/>
              <w:t>GUY</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328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圭亚那合作共和国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圭亚那</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Cooperative Republic of Guyana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GUYANA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HKG</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344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中国香港特别行政区</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香港</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Hong Kong Special Administrative Region of China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HONG KONG</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HMD</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334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赫德岛和麦克唐纳岛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赫德岛和麦克唐纳岛</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Heard Island and Mcdonald Islands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HEARD ISLAND AND MCDONALD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HND</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340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洪都拉斯共和国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洪都拉斯</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Honduras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HONDURAS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HRV</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191</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克罗地亚共和国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克罗地亚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Croatia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CROATIA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HTI</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332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海地共和国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海地</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Haiti</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HAITI</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HUN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348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匈牙利共和国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匈牙利</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Hungary</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HUNGARY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IDN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360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印度尼西亚共和国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印度尼西亚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Indonesia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INDONESIA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IMN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833</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英属马恩岛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马恩岛</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Isle of Man</w:t>
            </w:r>
            <w:r w:rsidRPr="00CB4B9E">
              <w:rPr>
                <w:rFonts w:hint="eastAsia"/>
                <w:color w:val="000000" w:themeColor="text1"/>
              </w:rPr>
              <w:t>，</w:t>
            </w:r>
            <w:r w:rsidRPr="00CB4B9E">
              <w:rPr>
                <w:color w:val="000000" w:themeColor="text1"/>
              </w:rPr>
              <w:t>British Independency</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ISLE OF MAN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IND</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356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印度共和国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印度</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India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INDIA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IOT</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086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英属印度洋领地</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英属印度洋领地</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British Indian Ocean Territory</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BRITISH INDIAN OCEAN TERRITORY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IRL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372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爱尔兰</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爱尔兰</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Ireland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IRELAND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IRN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364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伊朗伊斯兰共和国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伊朗</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Islamic Republic of Iran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IRAN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IRQ</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368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伊拉克共和国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伊拉克</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Iraq</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IRAQ</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ISL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352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冰岛共和国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冰岛</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Iceland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ICELAND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ISR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376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以色列国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以色列</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State of Israel</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ISRAEL</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ITA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380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意大利共和国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意大利</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Italian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ITALY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JAM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388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牙买加</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牙买加</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Jamaica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JAMAICA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rFonts w:cs="Arial"/>
                <w:color w:val="000000" w:themeColor="text1"/>
                <w:szCs w:val="20"/>
              </w:rPr>
              <w:t>JEY</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rFonts w:ascii="Arial" w:hAnsi="Arial" w:cs="Arial"/>
                <w:color w:val="000000" w:themeColor="text1"/>
                <w:szCs w:val="20"/>
              </w:rPr>
              <w:t>832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hint="eastAsia"/>
                <w:color w:val="000000" w:themeColor="text1"/>
                <w:szCs w:val="20"/>
              </w:rPr>
              <w:t>泽西岛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hint="eastAsia"/>
                <w:color w:val="000000" w:themeColor="text1"/>
                <w:szCs w:val="20"/>
              </w:rPr>
              <w:t>泽西岛</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rFonts w:ascii="Arial" w:hAnsi="Arial" w:cs="Arial"/>
                <w:color w:val="000000" w:themeColor="text1"/>
                <w:szCs w:val="20"/>
              </w:rPr>
              <w:t>Jersey</w:t>
            </w:r>
          </w:p>
        </w:tc>
        <w:tc>
          <w:tcPr>
            <w:tcW w:w="1985" w:type="dxa"/>
            <w:shd w:val="clear" w:color="auto" w:fill="auto"/>
            <w:vAlign w:val="bottom"/>
          </w:tcPr>
          <w:p w:rsidR="00E25984" w:rsidRPr="009263D7" w:rsidRDefault="00CB4B9E" w:rsidP="00E25984">
            <w:pPr>
              <w:pStyle w:val="B"/>
              <w:widowControl w:val="0"/>
              <w:rPr>
                <w:color w:val="000000" w:themeColor="text1"/>
              </w:rPr>
            </w:pPr>
            <w:r w:rsidRPr="00CB4B9E">
              <w:rPr>
                <w:rFonts w:ascii="Arial" w:hAnsi="Arial" w:cs="Arial"/>
                <w:color w:val="000000" w:themeColor="text1"/>
                <w:szCs w:val="20"/>
              </w:rPr>
              <w:t>JERSEY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JOR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400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约旦哈希姆王国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约旦</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Hashemite Kingdom of Jordan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JORDAN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JPN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392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日本国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日本</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Japan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JAPAN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lastRenderedPageBreak/>
              <w:t>KAZ</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398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哈萨克斯坦共和国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哈萨克斯坦</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Kazakhstan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KAZAKHSTAN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KEN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404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肯尼亚共和国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肯尼亚</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Kenya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KENYA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KGZ</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417</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吉尔吉斯共和国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吉尔吉斯斯坦</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Kyrgyz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KYRGYZSTAN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KHM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116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柬埔寨王国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柬埔寨</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Kingdom of Cambodia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CAMBODIA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KIR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296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基里巴斯共和国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基里巴斯</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Kiribati</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KIRIBATI</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KNA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659</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圣基茨和尼维斯联邦</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圣基茨和尼维斯</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Federation of Saint Kitts and Nevis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SAINT KITTS AND NEVIS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KOR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410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大韩民国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韩国</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Korea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KOREA,REPUBLIC OF KOREA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KWT</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414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科威特国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科威特</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State of Kuwait</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KUWAIT</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LAO</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418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老挝人民民主共和国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老挝</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Lao People's Democratic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LAOS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LBN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422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黎巴嫩共和国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黎巴嫩</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Lebanese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LEBANON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LBR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430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利比里亚共和国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利比里亚</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Liberia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LIBERIA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LBY</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434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大阿拉伯利比亚人民社会主义民众国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利比亚</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Great Socialist People's Libyan Arab Jamahiriya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LIBYA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LCA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662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圣卢西亚</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圣卢西亚</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Saint Lucia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SAINT LUCIA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LIE</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438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列支敦士登公国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列支敦士登</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Principality of Liechtenstein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LIECHTENSTEIN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LKA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144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斯里兰卡民主社会主义共和国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斯里兰卡</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Democratic Socialist Republic of Sri Lanka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SRI LANKA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LSO</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426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莱索托王国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莱索托</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Kingdom of Lesotho</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LESOTHO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LTU</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440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立陶宛共和国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立陶宛</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Lithuania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LITHUANIA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LUX</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442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卢森堡大公国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卢森堡</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Grand Duchy of Luxembourg</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LUXEMBOURG</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LVA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428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拉脱维亚共和国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拉脱维亚</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Latvia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LATVIA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MAC</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446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中国澳门特别行政区</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澳门</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Macau Special Administrative Region of China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MACAU</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rFonts w:ascii="Arial" w:hAnsi="Arial" w:cs="Arial"/>
                <w:color w:val="000000" w:themeColor="text1"/>
                <w:szCs w:val="20"/>
              </w:rPr>
              <w:t>MAF</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rFonts w:ascii="Arial" w:hAnsi="Arial" w:cs="Arial"/>
                <w:color w:val="000000" w:themeColor="text1"/>
                <w:szCs w:val="20"/>
              </w:rPr>
              <w:t>663</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hint="eastAsia"/>
                <w:color w:val="000000" w:themeColor="text1"/>
                <w:szCs w:val="20"/>
              </w:rPr>
              <w:t>法属圣马丁</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hint="eastAsia"/>
                <w:color w:val="000000" w:themeColor="text1"/>
                <w:szCs w:val="20"/>
              </w:rPr>
              <w:t>法属圣马丁</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rFonts w:ascii="Arial" w:hAnsi="Arial" w:cs="Arial"/>
                <w:color w:val="000000" w:themeColor="text1"/>
                <w:szCs w:val="20"/>
              </w:rPr>
              <w:t>Saint Martin (French part)</w:t>
            </w:r>
          </w:p>
        </w:tc>
        <w:tc>
          <w:tcPr>
            <w:tcW w:w="1985" w:type="dxa"/>
            <w:shd w:val="clear" w:color="auto" w:fill="auto"/>
            <w:vAlign w:val="bottom"/>
          </w:tcPr>
          <w:p w:rsidR="00E25984" w:rsidRPr="009263D7" w:rsidRDefault="00CB4B9E" w:rsidP="00E25984">
            <w:pPr>
              <w:pStyle w:val="B"/>
              <w:widowControl w:val="0"/>
              <w:rPr>
                <w:color w:val="000000" w:themeColor="text1"/>
              </w:rPr>
            </w:pPr>
            <w:r w:rsidRPr="00CB4B9E">
              <w:rPr>
                <w:rFonts w:cs="Arial"/>
                <w:color w:val="000000" w:themeColor="text1"/>
                <w:szCs w:val="20"/>
              </w:rPr>
              <w:t>SAINT MARTIN(FRENCH PART)</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MAR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504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摩洛哥王国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摩洛哥</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Kingdom of Morocco</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MOROCCO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lastRenderedPageBreak/>
              <w:t>MCO</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492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摩纳哥公国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摩纳哥</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Principality of Monaco</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MONACO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MDA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498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摩尔多瓦共和国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摩尔多瓦</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Moldova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MOLDOVA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MDG</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450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马达加斯加共和国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马达加斯加</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Madagascar</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MADAGASCAR</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MDV</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462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马尔代夫共和国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马尔代夫</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Maldives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MALDIVES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MEX</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484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墨西哥合众国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墨西哥</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United States of Mexico</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MEXICO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MHL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584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马绍尔群岛共和国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马绍尔群岛</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the Marshall Islands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MARSHALL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MKD</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807</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前南斯拉夫马其顿共和国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前南马其顿</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The former Yugoslav Republic of Macedonia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MACEDONIA,THE FORMER YUGOSLAV REPUBLIC OF</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MLI</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466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马里共和国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马里</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Mali</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MALI</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MLT</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470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马耳他共和国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马耳他</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Republic of Malta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MALTA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MMR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104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缅甸联邦</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缅甸</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Union of Myanmar</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MYANMAR</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MNE</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499</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黑山</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黑山</w:t>
            </w:r>
          </w:p>
        </w:tc>
        <w:tc>
          <w:tcPr>
            <w:tcW w:w="1688" w:type="dxa"/>
            <w:shd w:val="clear" w:color="auto" w:fill="auto"/>
            <w:vAlign w:val="bottom"/>
          </w:tcPr>
          <w:p w:rsidR="00000000" w:rsidRDefault="00CB4B9E">
            <w:pPr>
              <w:pStyle w:val="B"/>
              <w:widowControl w:val="0"/>
              <w:spacing w:line="260" w:lineRule="exact"/>
              <w:rPr>
                <w:color w:val="000000" w:themeColor="text1"/>
              </w:rPr>
            </w:pPr>
            <w:r w:rsidRPr="00CB4B9E">
              <w:rPr>
                <w:color w:val="000000" w:themeColor="text1"/>
              </w:rPr>
              <w:t>Republic of Montenegro</w:t>
            </w:r>
          </w:p>
        </w:tc>
        <w:tc>
          <w:tcPr>
            <w:tcW w:w="1985" w:type="dxa"/>
            <w:shd w:val="clear" w:color="auto" w:fill="auto"/>
            <w:vAlign w:val="bottom"/>
          </w:tcPr>
          <w:p w:rsidR="00E25984" w:rsidRPr="009263D7" w:rsidRDefault="00CB4B9E" w:rsidP="00E25984">
            <w:pPr>
              <w:pStyle w:val="B"/>
              <w:widowControl w:val="0"/>
              <w:rPr>
                <w:color w:val="000000" w:themeColor="text1"/>
              </w:rPr>
            </w:pPr>
            <w:r w:rsidRPr="00CB4B9E">
              <w:rPr>
                <w:color w:val="000000" w:themeColor="text1"/>
              </w:rPr>
              <w:t>MONTENEGRO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MNG</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496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蒙古国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蒙古</w:t>
            </w:r>
          </w:p>
        </w:tc>
        <w:tc>
          <w:tcPr>
            <w:tcW w:w="1688" w:type="dxa"/>
            <w:shd w:val="clear" w:color="auto" w:fill="auto"/>
            <w:vAlign w:val="center"/>
          </w:tcPr>
          <w:p w:rsidR="00000000" w:rsidRDefault="00CB4B9E">
            <w:pPr>
              <w:pStyle w:val="B"/>
              <w:widowControl w:val="0"/>
              <w:spacing w:line="260" w:lineRule="exact"/>
              <w:rPr>
                <w:color w:val="000000" w:themeColor="text1"/>
              </w:rPr>
            </w:pPr>
            <w:r w:rsidRPr="00CB4B9E">
              <w:rPr>
                <w:color w:val="000000" w:themeColor="text1"/>
              </w:rPr>
              <w:t>Mongolia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MONGOLIA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MNP</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580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北马里亚纳自由联邦</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北马里亚纳</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Commonwealth of the IVIariana Islands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NORTHERN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MOZ</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508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莫桑比克共和国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莫桑比克</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Mozambique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MOZAMBIQUE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MRT</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478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毛里塔尼亚伊斯兰共和国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毛里塔尼亚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Islamic Republic of Mauritania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MAURITANIA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MSR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500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蒙特塞拉特</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蒙特塞拉特</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Montserrat</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MONTSERRAT</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MTQ</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474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马提尼克</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马提尼克</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Martinique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MARTINIQUE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MUS</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480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毛里求斯共和国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毛里求斯</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Mauritius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MAURITIUS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MWI</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454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马拉维共和国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马拉维</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Malawi</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MALAWI</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MYS</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458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马来西亚</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马来西亚</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Malaysia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MALAYSIA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MYT</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175</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马约特</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马约特</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Mayotte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MAYOTTE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NAM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516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纳米比亚共和国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纳米比亚</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Namibia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NAMIBIA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NCL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540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新喀里多尼亚</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新喀里多尼亚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New Caledonia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NEW CALEDONIA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NER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562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尼日尔共和国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尼日尔</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Niger</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NIGER</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lastRenderedPageBreak/>
              <w:t>NFK</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574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诺福克岛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诺福克岛</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Norfolk Island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NORFOLK ISLAND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NGA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566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尼日利亚联邦共和国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尼日利亚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Federal Republic of Nigeria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NIGERIA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NIC</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558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尼加拉瓜共和国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尼加拉瓜</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Nicaragua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NICARAGUA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NIU</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570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纽埃</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纽埃</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Niue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NIUE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NLD</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528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荷兰王国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荷兰</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Kingdom of the Netherlands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NETHERLANDS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NOR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578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挪威王国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挪威</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Kingdom of Norway</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NORWAY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NPL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524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尼泊尔王国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尼泊尔</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Kingdom of Nepal</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NEPAL</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NRU</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520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瑙鲁共和国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瑙鲁</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Nauru</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NAURU</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NZL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554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新西兰</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新西兰</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New Zealand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NEW ZEALAND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OMN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512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阿曼苏丹国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阿曼</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Sultanate of Oman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OMAN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PAK</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586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巴基斯坦伊斯兰共和国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巴基斯坦</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Islamic Republic of Pakistan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PAKISTAN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PAN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591</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巴拿马共和国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巴拿马</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Panama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PANAMA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PCN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612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皮特凯恩</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皮特凯恩</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Pitcairn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PITCAIRN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PER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604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秘鲁共和国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秘鲁</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Peru</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PERU</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PHL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608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菲律宾共和国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菲律宾</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the Philippines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PHILIPPINES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PLW</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585</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帕劳共和国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帕劳</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Republie of Palau</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PALAU</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PNG</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598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巴布亚新几内亚独立国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巴布亚新几内亚</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Independent State of Papua New Guinea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PAPUA NEW GUINEA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POL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616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波兰共和国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波兰</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Poland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POLAND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PRI</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630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波多黎各自由联邦</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波多黎各</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Puerto Rico</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PUERTO  RICO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PRK</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408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朝鲜民主主义人民共和国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朝鲜</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Democratic People's Republic of Korea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KOREA,DEMOCRATIC PEOPLE'S REPUBLIC OF</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PRT</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620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葡萄牙共和国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葡萄牙</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Portuguese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PORTUGAL</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PRY</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600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巴拉圭共和国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巴拉圭</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Paraguay</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PARAGUAY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lastRenderedPageBreak/>
              <w:t>PSE</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275</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巴勒斯坦国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巴勒斯坦</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State of Palestine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PALESTINE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PYF</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258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法属波利尼西亚</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法属波利尼西亚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French Polynesia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FRENCH POLYNESIA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QAT</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634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卡塔尔国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卡塔尔</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State of Qatar</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QATAR</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REU</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638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留尼汪</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留尼汪</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Reunion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REUNION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ROM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642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罗马尼亚</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罗马尼亚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Romania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ROMANIA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RUS</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643</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俄罗斯联邦</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俄罗斯联邦</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Russian Federation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RUSSIAN  FEDERATION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RWA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646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卢旺达共和国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卢旺达</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Rwanda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RWANDA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SAU</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682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沙特阿拉伯王国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沙特阿拉伯</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Kingdom of Saudi Arabia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SAUDI ARABIA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SDN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729</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苏丹共和国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苏丹</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The Republic of the Sudan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SUDAN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SEN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686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塞内加尔共和国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塞内加尔</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Senegal</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SENEGAL</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SGP</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702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新加坡共和国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新加坡</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Singapore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SINGAPORE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SGS</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239</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南乔治亚岛和南桑德韦奇岛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南乔治亚岛和南桑德韦奇岛</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South Georgia and the South Sandwich Islands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SOUTH GEORGIA AND THE SOT JTH SANDWICH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SHN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654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圣赫勒拿</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圣赫勒拿</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Saint Helena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SAINT HELENA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SJM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744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斯瓦尔巴岛和扬马延岛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斯瓦尔巴岛和扬马延岛</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Svalbard and Jan Mayen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SVALBARD AND JAN MAYEN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SLB</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090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所罗门群岛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所罗门群岛</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Solomon Islands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SOLOMON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SLE</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694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塞拉利昂共和国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塞拉利昂</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Sierra Leone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SIERRA LEONE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SLV</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222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萨尔瓦多共和国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萨尔瓦多</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El Salvador</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EL SALVADOR</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SMR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674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圣马力诺共和国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圣马力诺</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San Marino</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SAN MARINO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SOM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706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索马里共和国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索马里</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Somali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SOMALIA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SPM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666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圣皮埃尔和密克隆</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圣皮埃尔和密克隆</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Saint Pierre and Miquelon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SAINT PIERRE AND MIQUELON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SRB</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688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塞尔维亚</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塞尔维亚</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Serbia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SERBIA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rFonts w:ascii="Arial" w:hAnsi="Arial" w:cs="Arial"/>
                <w:color w:val="000000" w:themeColor="text1"/>
                <w:szCs w:val="20"/>
              </w:rPr>
              <w:t>SSD</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rFonts w:ascii="Arial" w:hAnsi="Arial" w:cs="Arial"/>
                <w:color w:val="000000" w:themeColor="text1"/>
                <w:szCs w:val="20"/>
              </w:rPr>
              <w:t>728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hint="eastAsia"/>
                <w:color w:val="000000" w:themeColor="text1"/>
                <w:szCs w:val="20"/>
              </w:rPr>
              <w:t>南苏丹</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hint="eastAsia"/>
                <w:color w:val="000000" w:themeColor="text1"/>
                <w:szCs w:val="20"/>
              </w:rPr>
              <w:t>南苏丹</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color w:val="000000" w:themeColor="text1"/>
                <w:szCs w:val="20"/>
              </w:rPr>
              <w:t>South Sudan</w:t>
            </w:r>
          </w:p>
        </w:tc>
        <w:tc>
          <w:tcPr>
            <w:tcW w:w="1985" w:type="dxa"/>
            <w:shd w:val="clear" w:color="auto" w:fill="auto"/>
            <w:vAlign w:val="bottom"/>
          </w:tcPr>
          <w:p w:rsidR="00E25984" w:rsidRPr="009263D7" w:rsidRDefault="00CB4B9E" w:rsidP="00E25984">
            <w:pPr>
              <w:pStyle w:val="B"/>
              <w:widowControl w:val="0"/>
              <w:rPr>
                <w:color w:val="000000" w:themeColor="text1"/>
              </w:rPr>
            </w:pPr>
            <w:r w:rsidRPr="00CB4B9E">
              <w:rPr>
                <w:rFonts w:ascii="Arial" w:hAnsi="Arial" w:cs="Arial"/>
                <w:color w:val="000000" w:themeColor="text1"/>
                <w:szCs w:val="20"/>
              </w:rPr>
              <w:t>SOUTH SUDAN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STP</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678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圣多美和普林西比民主共和国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圣多美和普林西比</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Democratic Republic of Sao Tome and Principe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SAO TOME AND PRINCIPE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lastRenderedPageBreak/>
              <w:t>SUR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740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苏里南共和国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苏里南</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Suriname</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SURINAME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SVK</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703</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斯洛伐克共和国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斯洛伐克</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Slovak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SLOVAKIA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SVN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705</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斯洛文尼亚共和国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斯洛文尼亚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Slovenia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SLOVENIA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SWE</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752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瑞典王国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瑞典</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Kingdom of Sweden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SWEDEN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SWZ</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748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斯威士兰王国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斯威士兰</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Kingdom of Swaziland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SWAZILAND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rFonts w:ascii="Arial" w:hAnsi="Arial" w:cs="Arial"/>
                <w:color w:val="000000" w:themeColor="text1"/>
                <w:szCs w:val="20"/>
              </w:rPr>
              <w:t>SXM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rFonts w:ascii="Arial" w:hAnsi="Arial" w:cs="Arial"/>
                <w:color w:val="000000" w:themeColor="text1"/>
                <w:szCs w:val="20"/>
              </w:rPr>
              <w:t>534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hint="eastAsia"/>
                <w:color w:val="000000" w:themeColor="text1"/>
                <w:szCs w:val="20"/>
              </w:rPr>
              <w:t>荷属圣马丁</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hint="eastAsia"/>
                <w:color w:val="000000" w:themeColor="text1"/>
                <w:szCs w:val="20"/>
              </w:rPr>
              <w:t>荷属圣马丁</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rFonts w:ascii="Arial" w:hAnsi="Arial" w:cs="Arial"/>
                <w:color w:val="000000" w:themeColor="text1"/>
                <w:szCs w:val="20"/>
              </w:rPr>
              <w:t>Sint Maarten (Dutch part)</w:t>
            </w:r>
          </w:p>
        </w:tc>
        <w:tc>
          <w:tcPr>
            <w:tcW w:w="1985" w:type="dxa"/>
            <w:shd w:val="clear" w:color="auto" w:fill="auto"/>
            <w:vAlign w:val="bottom"/>
          </w:tcPr>
          <w:p w:rsidR="00E25984" w:rsidRPr="009263D7" w:rsidRDefault="00CB4B9E" w:rsidP="00E25984">
            <w:pPr>
              <w:pStyle w:val="B"/>
              <w:widowControl w:val="0"/>
              <w:rPr>
                <w:color w:val="000000" w:themeColor="text1"/>
              </w:rPr>
            </w:pPr>
            <w:r w:rsidRPr="00CB4B9E">
              <w:rPr>
                <w:rFonts w:cs="Arial"/>
                <w:color w:val="000000" w:themeColor="text1"/>
                <w:szCs w:val="20"/>
              </w:rPr>
              <w:t>SINT MAARTEN(DUTCH PART)</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SYC</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690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塞舌尔共和国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塞舌尔</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Seychelles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SEYCHELLES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SYR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760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阿拉伯叙利亚共和国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叙利亚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Syrian Arab Republic</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SYRIAN ARAB REPUBLIC</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TCA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796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特克斯和凯科斯群岛</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特克斯和凯科斯群岛</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Turks and Caicos lslands</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TURKS AND CAICOS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TCD</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148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乍得共和国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乍得</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Chad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CHAD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TGO</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768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多哥共和国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多哥</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Togo</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TOGO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THA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764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泰王国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泰国</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Kingdom of Thailand</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THAILAND</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TJK</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762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塔吉克斯坦共和国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塔吉克斯坦</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Tajikistan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TANKISTAN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TKL</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772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托克劳</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托克劳</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Tokelau</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TOKELAU</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TKM</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795</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土库曼斯坦</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土库曼斯坦</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Turkmenistan</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TURKMENISTAN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TMP</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626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东帝汶</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东帝汶</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East Timor</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EAST TIMOR</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TON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776</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汤加王国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汤加</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Kingdom of Tonga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TONGA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TTO</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780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特立尼达和多巴哥共和国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特立尼达和多巴哥</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Trinidad and Tobago</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TRINIDAD AND TOBAGO</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TUN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788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突尼斯共和国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突尼斯</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Tunisia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TUNISIA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TUR</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792</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土耳其共和国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土耳其</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Republic of Turkey</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TURKEY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TUV</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798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图瓦卢</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图瓦卢</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Tuvalu</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TUVALU</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TWN</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158</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中国台湾</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台湾</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Taiwan,Province of China</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TAIWAN,PROVINCE OF CHINA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TZA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834</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坦桑尼亚联合共和国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坦桑尼亚</w:t>
            </w:r>
          </w:p>
        </w:tc>
        <w:tc>
          <w:tcPr>
            <w:tcW w:w="1688"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United Republic of Tanzani</w:t>
            </w:r>
          </w:p>
        </w:tc>
        <w:tc>
          <w:tcPr>
            <w:tcW w:w="1985" w:type="dxa"/>
            <w:shd w:val="clear" w:color="auto" w:fill="auto"/>
            <w:vAlign w:val="center"/>
          </w:tcPr>
          <w:p w:rsidR="00E25984" w:rsidRPr="009263D7" w:rsidRDefault="00CB4B9E" w:rsidP="00E25984">
            <w:pPr>
              <w:pStyle w:val="B"/>
              <w:widowControl w:val="0"/>
              <w:rPr>
                <w:color w:val="000000" w:themeColor="text1"/>
              </w:rPr>
            </w:pPr>
            <w:r w:rsidRPr="00CB4B9E">
              <w:rPr>
                <w:color w:val="000000" w:themeColor="text1"/>
              </w:rPr>
              <w:t>TANZANIA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lastRenderedPageBreak/>
              <w:t>UGA</w:t>
            </w:r>
          </w:p>
        </w:tc>
        <w:tc>
          <w:tcPr>
            <w:tcW w:w="709" w:type="dxa"/>
            <w:shd w:val="clear" w:color="auto" w:fill="auto"/>
            <w:vAlign w:val="center"/>
          </w:tcPr>
          <w:p w:rsidR="00E25984" w:rsidRPr="009263D7" w:rsidRDefault="00CB4B9E" w:rsidP="00E25984">
            <w:pPr>
              <w:pStyle w:val="B"/>
              <w:widowControl w:val="0"/>
              <w:jc w:val="center"/>
              <w:rPr>
                <w:color w:val="000000" w:themeColor="text1"/>
              </w:rPr>
            </w:pPr>
            <w:r w:rsidRPr="00CB4B9E">
              <w:rPr>
                <w:color w:val="000000" w:themeColor="text1"/>
              </w:rPr>
              <w:t>800</w:t>
            </w:r>
          </w:p>
        </w:tc>
        <w:tc>
          <w:tcPr>
            <w:tcW w:w="1671"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乌干达共和国</w:t>
            </w:r>
          </w:p>
        </w:tc>
        <w:tc>
          <w:tcPr>
            <w:tcW w:w="1417" w:type="dxa"/>
            <w:shd w:val="clear" w:color="auto" w:fill="auto"/>
            <w:vAlign w:val="center"/>
          </w:tcPr>
          <w:p w:rsidR="00E25984" w:rsidRPr="009263D7" w:rsidRDefault="00CB4B9E" w:rsidP="00E25984">
            <w:pPr>
              <w:pStyle w:val="B"/>
              <w:widowControl w:val="0"/>
              <w:rPr>
                <w:color w:val="000000" w:themeColor="text1"/>
              </w:rPr>
            </w:pPr>
            <w:r w:rsidRPr="00CB4B9E">
              <w:rPr>
                <w:rFonts w:hint="eastAsia"/>
                <w:color w:val="000000" w:themeColor="text1"/>
              </w:rPr>
              <w:t>乌干达</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Uganda</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UGANDA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lastRenderedPageBreak/>
              <w:t>UKR</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804</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乌克兰</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乌克兰</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Ukraine</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UKRAINE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UMI</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581</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美国本土外小岛屿</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美国本土外小岛屿</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United States Minor Outlying Islands</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UNITED STATES MINOR OUTLYING ISLANDS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URY</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858</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乌拉圭东岸共和国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乌拉圭</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Oriental Republic of Uruguay</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URUGUAY</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USA</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840</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美利坚合众国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美国</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United States of America</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UNITED STATES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UZB</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860</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乌兹别克斯坦共和</w:t>
            </w:r>
            <w:r w:rsidRPr="00CB4B9E">
              <w:rPr>
                <w:rFonts w:hint="eastAsia"/>
                <w:color w:val="000000" w:themeColor="text1"/>
              </w:rPr>
              <w:lastRenderedPageBreak/>
              <w:t>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lastRenderedPageBreak/>
              <w:t>乌兹别克斯坦</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Uzbekistan</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UZBEKISTAN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lastRenderedPageBreak/>
              <w:t>VAT</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336</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梵蒂冈城国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梵蒂冈</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Vatican City State</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VATICAN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VCT</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670</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圣文森特和格林纳丁斯</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圣文森特和格林纳丁斯</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Saint Vincent and the Grenadines</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SAINT VINCENT AND THE GRENADINES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VEN</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862</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委内瑞拉共和国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委内瑞拉</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Venezuela</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VENEZUELA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VGB</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092</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英属维尔京群岛</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英属维尔京群岛</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British Virgin Islands</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VIRGIN ISLANDS,BRITISH</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VI</w:t>
            </w:r>
            <w:r w:rsidRPr="00CB4B9E">
              <w:rPr>
                <w:color w:val="000000" w:themeColor="text1"/>
              </w:rPr>
              <w:lastRenderedPageBreak/>
              <w:t>R</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lastRenderedPageBreak/>
              <w:t>85</w:t>
            </w:r>
            <w:r w:rsidRPr="00CB4B9E">
              <w:rPr>
                <w:color w:val="000000" w:themeColor="text1"/>
              </w:rPr>
              <w:lastRenderedPageBreak/>
              <w:t>0</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lastRenderedPageBreak/>
              <w:t>美属维尔京群</w:t>
            </w:r>
            <w:r w:rsidRPr="00CB4B9E">
              <w:rPr>
                <w:rFonts w:hint="eastAsia"/>
                <w:color w:val="000000" w:themeColor="text1"/>
              </w:rPr>
              <w:lastRenderedPageBreak/>
              <w:t>岛</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lastRenderedPageBreak/>
              <w:t>美属维尔京</w:t>
            </w:r>
            <w:r w:rsidRPr="00CB4B9E">
              <w:rPr>
                <w:rFonts w:hint="eastAsia"/>
                <w:color w:val="000000" w:themeColor="text1"/>
              </w:rPr>
              <w:lastRenderedPageBreak/>
              <w:t>群岛</w:t>
            </w:r>
          </w:p>
        </w:tc>
        <w:tc>
          <w:tcPr>
            <w:tcW w:w="1688"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lastRenderedPageBreak/>
              <w:t>Virgin Isl</w:t>
            </w:r>
            <w:r w:rsidRPr="00CB4B9E">
              <w:rPr>
                <w:color w:val="000000" w:themeColor="text1"/>
              </w:rPr>
              <w:lastRenderedPageBreak/>
              <w:t>ands of the United States</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lastRenderedPageBreak/>
              <w:t>VIRGIN ISLAND</w:t>
            </w:r>
            <w:r w:rsidRPr="00CB4B9E">
              <w:rPr>
                <w:color w:val="000000" w:themeColor="text1"/>
              </w:rPr>
              <w:lastRenderedPageBreak/>
              <w:t>S,U. 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lastRenderedPageBreak/>
              <w:t>VNM</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704</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越南社会主义共和国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越南</w:t>
            </w:r>
          </w:p>
        </w:tc>
        <w:tc>
          <w:tcPr>
            <w:tcW w:w="1688"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Socialist Republic of Viet Nam</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VIET NAM</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VUT</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548</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瓦努阿图共和国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瓦努阿图</w:t>
            </w:r>
          </w:p>
        </w:tc>
        <w:tc>
          <w:tcPr>
            <w:tcW w:w="1688"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Republic of Vanuatu</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VANUATU</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WLF</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87</w:t>
            </w:r>
            <w:r w:rsidRPr="00CB4B9E">
              <w:rPr>
                <w:color w:val="000000" w:themeColor="text1"/>
              </w:rPr>
              <w:lastRenderedPageBreak/>
              <w:t>6</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lastRenderedPageBreak/>
              <w:t>瓦利斯和富图</w:t>
            </w:r>
            <w:r w:rsidRPr="00CB4B9E">
              <w:rPr>
                <w:rFonts w:hint="eastAsia"/>
                <w:color w:val="000000" w:themeColor="text1"/>
              </w:rPr>
              <w:lastRenderedPageBreak/>
              <w:t>纳</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lastRenderedPageBreak/>
              <w:t>瓦利斯和富图</w:t>
            </w:r>
            <w:r w:rsidRPr="00CB4B9E">
              <w:rPr>
                <w:rFonts w:hint="eastAsia"/>
                <w:color w:val="000000" w:themeColor="text1"/>
              </w:rPr>
              <w:lastRenderedPageBreak/>
              <w:t>纳</w:t>
            </w:r>
          </w:p>
        </w:tc>
        <w:tc>
          <w:tcPr>
            <w:tcW w:w="1688"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lastRenderedPageBreak/>
              <w:t>Wallis and Fut</w:t>
            </w:r>
            <w:r w:rsidRPr="00CB4B9E">
              <w:rPr>
                <w:color w:val="000000" w:themeColor="text1"/>
              </w:rPr>
              <w:lastRenderedPageBreak/>
              <w:t>una</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lastRenderedPageBreak/>
              <w:t>WALLIS AND FUTUNA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lastRenderedPageBreak/>
              <w:t>WSM</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882</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萨摩亚独立国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萨摩亚</w:t>
            </w:r>
          </w:p>
        </w:tc>
        <w:tc>
          <w:tcPr>
            <w:tcW w:w="1688"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Independent State of Samoa</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SAMOA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YEM</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887</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也门共和国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也门</w:t>
            </w:r>
          </w:p>
        </w:tc>
        <w:tc>
          <w:tcPr>
            <w:tcW w:w="1688"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Republic of Yemen</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YEMEN</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ZAF</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710</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南非共和国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南非</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South Africa</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SOUTH AFRICA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ZMB</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894</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赞比亚共和国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赞比亚</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Zambia</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ZAMBIA</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ZWE</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716</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津巴布韦共和国</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津巴布韦</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Republic of Zimbabwe</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ZIMBABWE</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lastRenderedPageBreak/>
              <w:t>IOS</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color w:val="000000" w:themeColor="text1"/>
              </w:rPr>
              <w:t>998</w:t>
            </w:r>
          </w:p>
        </w:tc>
        <w:tc>
          <w:tcPr>
            <w:tcW w:w="1671" w:type="dxa"/>
            <w:shd w:val="clear" w:color="auto" w:fill="auto"/>
            <w:vAlign w:val="center"/>
          </w:tcPr>
          <w:p w:rsidR="0090056B" w:rsidRDefault="00CB4B9E">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国际组织</w:t>
            </w:r>
          </w:p>
        </w:tc>
        <w:tc>
          <w:tcPr>
            <w:tcW w:w="1417" w:type="dxa"/>
            <w:shd w:val="clear" w:color="auto" w:fill="auto"/>
            <w:vAlign w:val="center"/>
          </w:tcPr>
          <w:p w:rsidR="0090056B" w:rsidRDefault="00CB4B9E">
            <w:pPr>
              <w:pStyle w:val="B"/>
              <w:keepNext/>
              <w:keepLines/>
              <w:widowControl w:val="0"/>
              <w:tabs>
                <w:tab w:val="num" w:pos="1440"/>
              </w:tabs>
              <w:spacing w:before="260" w:after="260" w:line="415" w:lineRule="auto"/>
              <w:ind w:left="1080" w:hanging="720"/>
              <w:outlineLvl w:val="2"/>
              <w:rPr>
                <w:color w:val="000000" w:themeColor="text1"/>
              </w:rPr>
            </w:pPr>
            <w:r w:rsidRPr="00CB4B9E">
              <w:rPr>
                <w:rFonts w:hint="eastAsia"/>
                <w:color w:val="000000" w:themeColor="text1"/>
              </w:rPr>
              <w:t>国际组织</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color w:val="000000" w:themeColor="text1"/>
              </w:rPr>
              <w:t>International Organizations</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color w:val="000000" w:themeColor="text1"/>
              </w:rPr>
              <w:t>International Organizations</w:t>
            </w:r>
          </w:p>
        </w:tc>
      </w:tr>
      <w:tr w:rsidR="00E25984" w:rsidRPr="009263D7" w:rsidTr="00E25984">
        <w:trPr>
          <w:trHeight w:val="284"/>
          <w:jc w:val="center"/>
        </w:trPr>
        <w:tc>
          <w:tcPr>
            <w:tcW w:w="85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rFonts w:ascii="Arial" w:hAnsi="Arial" w:cs="Arial"/>
                <w:color w:val="000000" w:themeColor="text1"/>
                <w:szCs w:val="20"/>
              </w:rPr>
              <w:t>ZZZ</w:t>
            </w:r>
          </w:p>
        </w:tc>
        <w:tc>
          <w:tcPr>
            <w:tcW w:w="709"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jc w:val="center"/>
              <w:outlineLvl w:val="2"/>
              <w:rPr>
                <w:color w:val="000000" w:themeColor="text1"/>
              </w:rPr>
            </w:pPr>
            <w:r w:rsidRPr="00CB4B9E">
              <w:rPr>
                <w:rFonts w:ascii="Arial" w:hAnsi="Arial" w:cs="Arial"/>
                <w:color w:val="000000" w:themeColor="text1"/>
                <w:szCs w:val="20"/>
              </w:rPr>
              <w:t>999</w:t>
            </w:r>
          </w:p>
        </w:tc>
        <w:tc>
          <w:tcPr>
            <w:tcW w:w="1671"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ascii="Arial" w:hAnsi="Arial" w:cs="Arial" w:hint="eastAsia"/>
                <w:color w:val="000000" w:themeColor="text1"/>
                <w:szCs w:val="20"/>
              </w:rPr>
              <w:t>其他国家和地区</w:t>
            </w:r>
          </w:p>
        </w:tc>
        <w:tc>
          <w:tcPr>
            <w:tcW w:w="1417"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ascii="Arial" w:hAnsi="Arial" w:cs="Arial" w:hint="eastAsia"/>
                <w:color w:val="000000" w:themeColor="text1"/>
                <w:szCs w:val="20"/>
              </w:rPr>
              <w:t>其他国家和地区</w:t>
            </w:r>
          </w:p>
        </w:tc>
        <w:tc>
          <w:tcPr>
            <w:tcW w:w="1688" w:type="dxa"/>
            <w:shd w:val="clear" w:color="auto" w:fill="auto"/>
            <w:vAlign w:val="center"/>
          </w:tcPr>
          <w:p w:rsidR="00000000" w:rsidRDefault="00CB4B9E">
            <w:pPr>
              <w:pStyle w:val="B"/>
              <w:widowControl w:val="0"/>
              <w:spacing w:line="240" w:lineRule="exact"/>
              <w:rPr>
                <w:color w:val="000000" w:themeColor="text1"/>
              </w:rPr>
            </w:pPr>
            <w:r w:rsidRPr="00CB4B9E">
              <w:rPr>
                <w:rFonts w:ascii="Arial" w:hAnsi="Arial" w:cs="Arial"/>
                <w:color w:val="000000" w:themeColor="text1"/>
                <w:szCs w:val="20"/>
              </w:rPr>
              <w:t>Others</w:t>
            </w:r>
          </w:p>
        </w:tc>
        <w:tc>
          <w:tcPr>
            <w:tcW w:w="1985" w:type="dxa"/>
            <w:shd w:val="clear" w:color="auto" w:fill="auto"/>
            <w:vAlign w:val="center"/>
          </w:tcPr>
          <w:p w:rsidR="00E25984" w:rsidRPr="009263D7" w:rsidRDefault="00CB4B9E" w:rsidP="00E25984">
            <w:pPr>
              <w:pStyle w:val="B"/>
              <w:keepNext/>
              <w:keepLines/>
              <w:widowControl w:val="0"/>
              <w:tabs>
                <w:tab w:val="num" w:pos="1440"/>
              </w:tabs>
              <w:spacing w:before="260" w:after="260" w:line="415" w:lineRule="auto"/>
              <w:ind w:left="1080" w:hanging="720"/>
              <w:outlineLvl w:val="2"/>
              <w:rPr>
                <w:color w:val="000000" w:themeColor="text1"/>
              </w:rPr>
            </w:pPr>
            <w:r w:rsidRPr="00CB4B9E">
              <w:rPr>
                <w:rFonts w:ascii="Arial" w:hAnsi="Arial" w:cs="Arial"/>
                <w:color w:val="000000" w:themeColor="text1"/>
                <w:szCs w:val="20"/>
              </w:rPr>
              <w:t>Others</w:t>
            </w:r>
          </w:p>
        </w:tc>
      </w:tr>
    </w:tbl>
    <w:p w:rsidR="009263D7" w:rsidRDefault="009263D7" w:rsidP="009263D7">
      <w:pPr>
        <w:tabs>
          <w:tab w:val="left" w:pos="780"/>
        </w:tabs>
        <w:sectPr w:rsidR="009263D7" w:rsidSect="00B154A0">
          <w:pgSz w:w="11907" w:h="16840" w:code="9"/>
          <w:pgMar w:top="1418" w:right="1247" w:bottom="1247" w:left="1247" w:header="851" w:footer="992" w:gutter="0"/>
          <w:cols w:space="425"/>
          <w:titlePg/>
          <w:docGrid w:type="lines" w:linePitch="312"/>
        </w:sectPr>
      </w:pP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71" w:name="_Toc452017168"/>
      <w:r w:rsidRPr="00CB4B9E">
        <w:rPr>
          <w:rFonts w:ascii="宋体" w:hAnsi="宋体" w:hint="eastAsia"/>
          <w:b w:val="0"/>
          <w:color w:val="000000" w:themeColor="text1"/>
          <w:sz w:val="28"/>
          <w:szCs w:val="28"/>
        </w:rPr>
        <w:lastRenderedPageBreak/>
        <w:t>币种代码表</w:t>
      </w:r>
      <w:bookmarkEnd w:id="71"/>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8"/>
        <w:gridCol w:w="3827"/>
        <w:gridCol w:w="2694"/>
      </w:tblGrid>
      <w:tr w:rsidR="00E25984" w:rsidRPr="009263D7" w:rsidTr="00A207E5">
        <w:trPr>
          <w:trHeight w:hRule="exact" w:val="284"/>
          <w:jc w:val="center"/>
        </w:trPr>
        <w:tc>
          <w:tcPr>
            <w:tcW w:w="1858" w:type="dxa"/>
            <w:shd w:val="clear" w:color="auto" w:fill="C0C0C0"/>
            <w:noWrap/>
            <w:vAlign w:val="bottom"/>
            <w:hideMark/>
          </w:tcPr>
          <w:p w:rsidR="00E25984" w:rsidRPr="009263D7" w:rsidRDefault="00CB4B9E" w:rsidP="00E25984">
            <w:pPr>
              <w:pStyle w:val="B"/>
              <w:jc w:val="center"/>
              <w:rPr>
                <w:rFonts w:ascii="黑体"/>
                <w:color w:val="000000" w:themeColor="text1"/>
              </w:rPr>
            </w:pPr>
            <w:r w:rsidRPr="00CB4B9E">
              <w:rPr>
                <w:rFonts w:ascii="黑体" w:hint="eastAsia"/>
                <w:color w:val="000000" w:themeColor="text1"/>
              </w:rPr>
              <w:t>币种代码</w:t>
            </w:r>
          </w:p>
        </w:tc>
        <w:tc>
          <w:tcPr>
            <w:tcW w:w="3827" w:type="dxa"/>
            <w:shd w:val="clear" w:color="auto" w:fill="C0C0C0"/>
            <w:noWrap/>
            <w:vAlign w:val="bottom"/>
            <w:hideMark/>
          </w:tcPr>
          <w:p w:rsidR="00E25984" w:rsidRPr="009263D7" w:rsidRDefault="00CB4B9E" w:rsidP="00E25984">
            <w:pPr>
              <w:pStyle w:val="B"/>
              <w:jc w:val="center"/>
              <w:rPr>
                <w:rFonts w:ascii="黑体"/>
                <w:color w:val="000000" w:themeColor="text1"/>
              </w:rPr>
            </w:pPr>
            <w:r w:rsidRPr="00CB4B9E">
              <w:rPr>
                <w:rFonts w:ascii="黑体" w:hint="eastAsia"/>
                <w:color w:val="000000" w:themeColor="text1"/>
              </w:rPr>
              <w:t>币种名称</w:t>
            </w:r>
          </w:p>
        </w:tc>
        <w:tc>
          <w:tcPr>
            <w:tcW w:w="2694" w:type="dxa"/>
            <w:shd w:val="clear" w:color="auto" w:fill="C0C0C0"/>
            <w:noWrap/>
            <w:vAlign w:val="bottom"/>
            <w:hideMark/>
          </w:tcPr>
          <w:p w:rsidR="00E25984" w:rsidRPr="009263D7" w:rsidRDefault="00CB4B9E" w:rsidP="00E25984">
            <w:pPr>
              <w:pStyle w:val="B"/>
              <w:jc w:val="center"/>
              <w:rPr>
                <w:rFonts w:ascii="黑体"/>
                <w:color w:val="000000" w:themeColor="text1"/>
              </w:rPr>
            </w:pPr>
            <w:r w:rsidRPr="00CB4B9E">
              <w:rPr>
                <w:rFonts w:ascii="黑体" w:hint="eastAsia"/>
                <w:color w:val="000000" w:themeColor="text1"/>
              </w:rPr>
              <w:t>数字代码</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ADP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安道尔比赛塔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020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AED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阿联酋UAE迪拉姆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784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AFA</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阿富汗尼</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004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ALL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阿尔巴尼亚列克</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008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AMD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亚美尼亚达姆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051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ANG</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荷属安的列斯盾</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532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AOA</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安哥拉宽扎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973</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ARS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阿根廷比索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032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ASF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记账瑞士法郎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999</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ATS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奥地利先令</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040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AUD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澳大利亚元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036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AWG</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阿鲁巴盾</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533</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AZM</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阿塞拜疆马纳特</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031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BAM</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可自由兑换标记</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977</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BBD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巴巴多斯元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052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BDT</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孟加拉国塔卡</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050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BEF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比利时法郎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056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BGN</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保加利亚列弗</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975</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BHD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巴林第纳尔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048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BIF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布隆迪法郎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108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BMD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百慕大元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060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BND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文莱元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096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BOB</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玻利维亚比索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068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BOV</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color w:val="000000" w:themeColor="text1"/>
              </w:rPr>
              <w:t>Mvdol</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984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BRL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巴西瑞尔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986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BSD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巴哈马元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044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BTN</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不丹努尔特鲁姆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064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BWP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博茨瓦纳普拉</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072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BYR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白俄罗斯卢布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974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BZD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伯利兹元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084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CAD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加元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124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CDF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刚果法郎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976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CHF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瑞士法郎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756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CLF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发展单位</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990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CLP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智利比索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152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CNY</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人民币元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156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COP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哥伦比亚比索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170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CRC</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哥斯达黎加科郎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188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CUP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古巴比索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192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CVE</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佛得角埃斯库多</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132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CYP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塞浦路斯镑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196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CZK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捷克克朗</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203</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DEM</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德国马克</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280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DJF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吉布提法郎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262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lastRenderedPageBreak/>
              <w:t>DKK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丹麦克朗</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208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DOP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多米尼加比索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214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DZD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阿尔及利亚第纳尔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012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EEK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克罗姆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233</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EGP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埃及镑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818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ERN</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厄立特里亚纳克法</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232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ESP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西班牙比塞塔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724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ETB</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埃塞俄比亚比尔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230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EUR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欧元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978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FIM</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芬兰马克</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246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FJD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斐济元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242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FKP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福克兰群岛镑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238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FRF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法国法郎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250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GBP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英镑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826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GEL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格鲁吉亚拉里</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981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GHC</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加纳塞地</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288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GIP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直布罗陀镑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292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GMD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冈比亚达拉西</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270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GNF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几内亚法郎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324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GRD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希腊德拉克马</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300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GTQ</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危地马拉格查尔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320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GWP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几内亚比绍比索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624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GYD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圭亚那元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328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HKD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香港元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344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HNL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洪都拉斯伦皮拉</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340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HRK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克罗地亚库纳</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191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HTG</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海地古德</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332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HUF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匈牙利福林</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348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IDR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印度尼西亚卢比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360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IEP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爱尔兰镑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372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ILS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以色列锡克尔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376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INR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印度卢比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356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IQD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伊拉克第纳尔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368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IRR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伊朗里亚尔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364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ISK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冰岛克朗</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352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ITL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意大利里拉</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380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JMD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牙买加元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388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JOD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约旦第纳尔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400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JPY</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日元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392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KES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肯尼亚先令</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404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KGS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吉尔吉斯斯坦索姆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417</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KHR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柬埔寨瑞尔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116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KMF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科摩罗法郎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174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KPW</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北朝鲜圆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408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KRW</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韩国圆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410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KWD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科威特第纳尔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414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KYD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开曼群岛元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136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KZT</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哈萨克斯坦坚戈</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398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LAK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老挝基普</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418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lastRenderedPageBreak/>
              <w:t>LBP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黎巴嫩镑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422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LKR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斯里兰卡卢比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144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LRD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利比里亚元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430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LSL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莱索托罗提</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426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LTL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立陶宛</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440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LUF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卢森堡法郎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442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LVL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拉脱维亚拉特</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428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LYD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利比亚第纳尔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434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MAD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摩洛哥迪拉姆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504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MDL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摩尔瓦多列伊</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498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MGA</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马达加斯加阿里亚里</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969</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MGF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马尔加什法郎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450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MKD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马其顿第纳尔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807</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MMK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缅元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104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MNT</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蒙古图格里克</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496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MOP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澳门元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446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MRO</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毛里塔尼亚乌吉亚</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478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MTL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马尔他里拉</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470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MUR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毛里求斯卢比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480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MVR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马尔代夫卢菲亚</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462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MWK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马拉维克瓦查</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454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MXN</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墨西哥比索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484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MXV</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墨西哥发展单位</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979</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MYR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马来西亚林吉特</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458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MZM</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莫桑比克麦梯卡尔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508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NAD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纳米比亚元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516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NGN</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尼日利亚奈拉</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566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NIO</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尼加拉瓜金科多巴</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558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NLG</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荷兰盾</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528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NOK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挪威克朗</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578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NPR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尼泊尔卢比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524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NZD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新西兰元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554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OMR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阿曼里亚尔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512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PAB</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巴拿马巴波亚</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590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PEN</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秘鲁索尔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604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PGK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巴布亚新几内亚基那</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598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PHP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菲律宾比索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608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PKR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巴基斯坦卢比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586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PLN</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波兰兹罗提</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985</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PTE</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葡萄牙埃斯库多</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620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PYG</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巴拉圭瓜拉尼</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600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QAR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卡塔尔里亚尔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634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ROL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罗马尼亚列伊</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642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RSD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塞尔维亚第纳尔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941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RUB</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俄罗斯卢布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810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RWF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卢旺达法郎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646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SAR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沙特里亚尔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682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SBD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所罗门群岛元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090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SCR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塞舌尔卢比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690</w:t>
            </w:r>
          </w:p>
        </w:tc>
      </w:tr>
      <w:tr w:rsidR="00E25984" w:rsidRPr="009263D7" w:rsidTr="00A207E5">
        <w:trPr>
          <w:trHeight w:hRule="exact" w:val="284"/>
          <w:jc w:val="center"/>
        </w:trPr>
        <w:tc>
          <w:tcPr>
            <w:tcW w:w="1858" w:type="dxa"/>
            <w:shd w:val="clear" w:color="auto" w:fill="auto"/>
            <w:noWrap/>
            <w:vAlign w:val="bottom"/>
            <w:hideMark/>
          </w:tcPr>
          <w:p w:rsidR="00E25984" w:rsidRPr="009263D7" w:rsidDel="00E80CD2" w:rsidRDefault="00CB4B9E" w:rsidP="00E25984">
            <w:pPr>
              <w:pStyle w:val="B"/>
              <w:widowControl w:val="0"/>
              <w:jc w:val="center"/>
              <w:rPr>
                <w:rFonts w:ascii="黑体"/>
                <w:color w:val="000000" w:themeColor="text1"/>
              </w:rPr>
            </w:pPr>
            <w:r w:rsidRPr="00CB4B9E">
              <w:rPr>
                <w:rFonts w:ascii="黑体"/>
                <w:color w:val="000000" w:themeColor="text1"/>
              </w:rPr>
              <w:lastRenderedPageBreak/>
              <w:t>SDG</w:t>
            </w:r>
          </w:p>
        </w:tc>
        <w:tc>
          <w:tcPr>
            <w:tcW w:w="3827" w:type="dxa"/>
            <w:shd w:val="clear" w:color="auto" w:fill="auto"/>
            <w:noWrap/>
            <w:vAlign w:val="bottom"/>
            <w:hideMark/>
          </w:tcPr>
          <w:p w:rsidR="00E25984" w:rsidRPr="009263D7" w:rsidDel="00E80CD2" w:rsidRDefault="00CB4B9E" w:rsidP="00E25984">
            <w:pPr>
              <w:pStyle w:val="B"/>
              <w:widowControl w:val="0"/>
              <w:rPr>
                <w:rFonts w:ascii="黑体"/>
                <w:color w:val="000000" w:themeColor="text1"/>
              </w:rPr>
            </w:pPr>
            <w:r w:rsidRPr="00CB4B9E">
              <w:rPr>
                <w:rFonts w:ascii="黑体" w:hint="eastAsia"/>
                <w:color w:val="000000" w:themeColor="text1"/>
              </w:rPr>
              <w:t>新苏丹镑</w:t>
            </w:r>
          </w:p>
        </w:tc>
        <w:tc>
          <w:tcPr>
            <w:tcW w:w="2694" w:type="dxa"/>
            <w:shd w:val="clear" w:color="auto" w:fill="auto"/>
            <w:noWrap/>
            <w:vAlign w:val="bottom"/>
            <w:hideMark/>
          </w:tcPr>
          <w:p w:rsidR="00E25984" w:rsidRPr="009263D7" w:rsidDel="00E80CD2" w:rsidRDefault="00CB4B9E" w:rsidP="00E25984">
            <w:pPr>
              <w:pStyle w:val="B"/>
              <w:widowControl w:val="0"/>
              <w:jc w:val="center"/>
              <w:rPr>
                <w:rFonts w:ascii="黑体"/>
                <w:color w:val="000000" w:themeColor="text1"/>
              </w:rPr>
            </w:pPr>
            <w:r w:rsidRPr="00CB4B9E">
              <w:rPr>
                <w:rFonts w:ascii="黑体"/>
                <w:color w:val="000000" w:themeColor="text1"/>
              </w:rPr>
              <w:t>938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SEK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瑞典克朗</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752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SGD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新加坡元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702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SHP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圣赫勒拿镑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654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SIT</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斯洛文尼亚托拉尔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705</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SKK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斯洛伐克克朗</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703</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SLL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塞拉利昂利昂</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694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SOS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索马里先令</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706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SRG</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苏里南盾</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740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Arial" w:hAnsi="Arial" w:cs="Arial"/>
                <w:color w:val="000000" w:themeColor="text1"/>
                <w:szCs w:val="20"/>
              </w:rPr>
              <w:t>SSP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Arial" w:hAnsi="Arial" w:cs="Arial" w:hint="eastAsia"/>
                <w:color w:val="000000" w:themeColor="text1"/>
                <w:szCs w:val="20"/>
              </w:rPr>
              <w:t>南苏丹镑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Arial" w:hAnsi="Arial" w:cs="Arial"/>
                <w:color w:val="000000" w:themeColor="text1"/>
                <w:szCs w:val="20"/>
              </w:rPr>
              <w:t>728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STD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圣多美和普林西比多布拉</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678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SVC</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萨尔瓦多科郎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222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SYP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叙利亚镑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760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SZL</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斯威士兰里兰吉尼</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748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THB</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泰国铢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764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TJS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塔吉克斯坦索莫尼</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972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TMM</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土库曼斯坦马纳特</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795</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TND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突尼斯第纳尔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788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TOP</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汤加邦加</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776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TPE</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东帝汶埃斯库多</w:t>
            </w:r>
          </w:p>
        </w:tc>
        <w:tc>
          <w:tcPr>
            <w:tcW w:w="2694" w:type="dxa"/>
            <w:shd w:val="clear" w:color="auto" w:fill="auto"/>
            <w:noWrap/>
            <w:vAlign w:val="bottom"/>
            <w:hideMark/>
          </w:tcPr>
          <w:p w:rsidR="00E25984" w:rsidRPr="009263D7" w:rsidRDefault="00E25984" w:rsidP="00E25984">
            <w:pPr>
              <w:pStyle w:val="B"/>
              <w:widowControl w:val="0"/>
              <w:jc w:val="center"/>
              <w:rPr>
                <w:rFonts w:ascii="黑体"/>
                <w:color w:val="000000" w:themeColor="text1"/>
              </w:rPr>
            </w:pPr>
          </w:p>
        </w:tc>
      </w:tr>
      <w:tr w:rsidR="00E25984" w:rsidRPr="009263D7" w:rsidTr="00A207E5">
        <w:trPr>
          <w:trHeight w:hRule="exact" w:val="284"/>
          <w:jc w:val="center"/>
        </w:trPr>
        <w:tc>
          <w:tcPr>
            <w:tcW w:w="1858" w:type="dxa"/>
            <w:shd w:val="clear" w:color="auto" w:fill="auto"/>
            <w:noWrap/>
            <w:vAlign w:val="bottom"/>
            <w:hideMark/>
          </w:tcPr>
          <w:p w:rsidR="00E25984" w:rsidRPr="009263D7" w:rsidDel="00A40D35" w:rsidRDefault="00CB4B9E" w:rsidP="00E25984">
            <w:pPr>
              <w:pStyle w:val="B"/>
              <w:widowControl w:val="0"/>
              <w:jc w:val="center"/>
              <w:rPr>
                <w:rFonts w:ascii="黑体"/>
                <w:color w:val="000000" w:themeColor="text1"/>
              </w:rPr>
            </w:pPr>
            <w:r w:rsidRPr="00CB4B9E">
              <w:rPr>
                <w:rFonts w:ascii="黑体"/>
                <w:color w:val="000000" w:themeColor="text1"/>
              </w:rPr>
              <w:t>TRY</w:t>
            </w:r>
          </w:p>
        </w:tc>
        <w:tc>
          <w:tcPr>
            <w:tcW w:w="3827" w:type="dxa"/>
            <w:shd w:val="clear" w:color="auto" w:fill="auto"/>
            <w:noWrap/>
            <w:vAlign w:val="bottom"/>
            <w:hideMark/>
          </w:tcPr>
          <w:p w:rsidR="00E25984" w:rsidRPr="009263D7" w:rsidDel="00A40D35" w:rsidRDefault="00CB4B9E" w:rsidP="00E25984">
            <w:pPr>
              <w:pStyle w:val="B"/>
              <w:widowControl w:val="0"/>
              <w:rPr>
                <w:rFonts w:ascii="黑体"/>
                <w:color w:val="000000" w:themeColor="text1"/>
              </w:rPr>
            </w:pPr>
            <w:r w:rsidRPr="00CB4B9E">
              <w:rPr>
                <w:rFonts w:ascii="黑体" w:hint="eastAsia"/>
                <w:color w:val="000000" w:themeColor="text1"/>
              </w:rPr>
              <w:t>新土耳其里拉</w:t>
            </w:r>
          </w:p>
        </w:tc>
        <w:tc>
          <w:tcPr>
            <w:tcW w:w="2694" w:type="dxa"/>
            <w:shd w:val="clear" w:color="auto" w:fill="auto"/>
            <w:noWrap/>
            <w:vAlign w:val="bottom"/>
            <w:hideMark/>
          </w:tcPr>
          <w:p w:rsidR="00E25984" w:rsidRPr="009263D7" w:rsidDel="00A40D35" w:rsidRDefault="00CB4B9E" w:rsidP="00E25984">
            <w:pPr>
              <w:pStyle w:val="B"/>
              <w:widowControl w:val="0"/>
              <w:jc w:val="center"/>
              <w:rPr>
                <w:rFonts w:ascii="黑体"/>
                <w:color w:val="000000" w:themeColor="text1"/>
              </w:rPr>
            </w:pPr>
            <w:r w:rsidRPr="00CB4B9E">
              <w:rPr>
                <w:rFonts w:ascii="黑体"/>
                <w:color w:val="000000" w:themeColor="text1"/>
              </w:rPr>
              <w:t>949</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TTD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特立尼达和多巴哥元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780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TWD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新台湾元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901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TZS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坦桑尼亚先令</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834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UAH</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乌克兰格里夫纳</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980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UGX</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乌干达先令</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800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USD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美元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840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USN</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美元次日</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997</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USS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美元同日</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998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UYU</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乌拉圭比索</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858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UZS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乌兹别克斯坦苏姆</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860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Arial" w:hAnsi="Arial" w:cs="Arial"/>
                <w:color w:val="000000" w:themeColor="text1"/>
                <w:szCs w:val="20"/>
              </w:rPr>
              <w:t>VEF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Arial" w:hAnsi="Arial" w:cs="Arial" w:hint="eastAsia"/>
                <w:color w:val="000000" w:themeColor="text1"/>
                <w:szCs w:val="20"/>
              </w:rPr>
              <w:t>委内瑞拉博利瓦</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Arial" w:hAnsi="Arial" w:cs="Arial"/>
                <w:color w:val="000000" w:themeColor="text1"/>
                <w:szCs w:val="20"/>
              </w:rPr>
              <w:t>937</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VND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越南盾</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704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VUV</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瓦努阿图瓦图</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548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WST</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萨摩亚塔拉</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882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XAF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CFA法郎BEAC</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XAG</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银</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961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XAU</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黄金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959</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XBA</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欧洲混合单位（EURCO）</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955</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XBB</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欧洲货币单位（EMU.-6）</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XBC</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欧洲帐户9单位（E.U.A.-9）</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957</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XBD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欧洲帐户17单位（E.U.A.-17）</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958</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XCD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东加勒比元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XDR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特别提款权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960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XFO</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黄金法郎</w:t>
            </w:r>
          </w:p>
        </w:tc>
        <w:tc>
          <w:tcPr>
            <w:tcW w:w="2694" w:type="dxa"/>
            <w:shd w:val="clear" w:color="auto" w:fill="auto"/>
            <w:noWrap/>
            <w:vAlign w:val="bottom"/>
            <w:hideMark/>
          </w:tcPr>
          <w:p w:rsidR="00E25984" w:rsidRPr="009263D7" w:rsidRDefault="00E25984" w:rsidP="00E25984">
            <w:pPr>
              <w:pStyle w:val="B"/>
              <w:widowControl w:val="0"/>
              <w:jc w:val="center"/>
              <w:rPr>
                <w:rFonts w:ascii="黑体"/>
                <w:color w:val="000000" w:themeColor="text1"/>
              </w:rPr>
            </w:pP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XFU</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UIC法郎</w:t>
            </w:r>
          </w:p>
        </w:tc>
        <w:tc>
          <w:tcPr>
            <w:tcW w:w="2694" w:type="dxa"/>
            <w:shd w:val="clear" w:color="auto" w:fill="auto"/>
            <w:noWrap/>
            <w:vAlign w:val="bottom"/>
            <w:hideMark/>
          </w:tcPr>
          <w:p w:rsidR="00E25984" w:rsidRPr="009263D7" w:rsidRDefault="00E25984" w:rsidP="00E25984">
            <w:pPr>
              <w:pStyle w:val="B"/>
              <w:widowControl w:val="0"/>
              <w:jc w:val="center"/>
              <w:rPr>
                <w:rFonts w:ascii="黑体"/>
                <w:color w:val="000000" w:themeColor="text1"/>
              </w:rPr>
            </w:pP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XOF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CFA法郎BCEAO</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XPD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钯</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964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XPF</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CFP法郎</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953</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lastRenderedPageBreak/>
              <w:t>XPT</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铂白金</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962</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XTS</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记帐美元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963</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XXX</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未包括的交易货币代码指定为：</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999</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YER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也门里亚尔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886</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YUM</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南斯拉夫第纳尔</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891</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ZAR</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兰特</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710</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ZMK</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赞比亚克瓦查</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894</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ZMW</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新赞比亚克瓦查</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967</w:t>
            </w:r>
          </w:p>
        </w:tc>
      </w:tr>
      <w:tr w:rsidR="00E25984" w:rsidRPr="009263D7" w:rsidTr="00A207E5">
        <w:trPr>
          <w:trHeight w:hRule="exact" w:val="284"/>
          <w:jc w:val="center"/>
        </w:trPr>
        <w:tc>
          <w:tcPr>
            <w:tcW w:w="1858"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ZWD</w:t>
            </w:r>
          </w:p>
        </w:tc>
        <w:tc>
          <w:tcPr>
            <w:tcW w:w="3827" w:type="dxa"/>
            <w:shd w:val="clear" w:color="auto" w:fill="auto"/>
            <w:noWrap/>
            <w:vAlign w:val="bottom"/>
            <w:hideMark/>
          </w:tcPr>
          <w:p w:rsidR="00E25984" w:rsidRPr="009263D7" w:rsidRDefault="00CB4B9E" w:rsidP="00E25984">
            <w:pPr>
              <w:pStyle w:val="B"/>
              <w:widowControl w:val="0"/>
              <w:rPr>
                <w:rFonts w:ascii="黑体"/>
                <w:color w:val="000000" w:themeColor="text1"/>
              </w:rPr>
            </w:pPr>
            <w:r w:rsidRPr="00CB4B9E">
              <w:rPr>
                <w:rFonts w:ascii="黑体" w:hint="eastAsia"/>
                <w:color w:val="000000" w:themeColor="text1"/>
              </w:rPr>
              <w:t>津巴布韦元</w:t>
            </w:r>
          </w:p>
        </w:tc>
        <w:tc>
          <w:tcPr>
            <w:tcW w:w="2694" w:type="dxa"/>
            <w:shd w:val="clear" w:color="auto" w:fill="auto"/>
            <w:noWrap/>
            <w:vAlign w:val="bottom"/>
            <w:hideMark/>
          </w:tcPr>
          <w:p w:rsidR="00E25984" w:rsidRPr="009263D7" w:rsidRDefault="00CB4B9E" w:rsidP="00E25984">
            <w:pPr>
              <w:pStyle w:val="B"/>
              <w:widowControl w:val="0"/>
              <w:jc w:val="center"/>
              <w:rPr>
                <w:rFonts w:ascii="黑体"/>
                <w:color w:val="000000" w:themeColor="text1"/>
              </w:rPr>
            </w:pPr>
            <w:r w:rsidRPr="00CB4B9E">
              <w:rPr>
                <w:rFonts w:ascii="黑体"/>
                <w:color w:val="000000" w:themeColor="text1"/>
              </w:rPr>
              <w:t>716</w:t>
            </w:r>
          </w:p>
        </w:tc>
      </w:tr>
    </w:tbl>
    <w:p w:rsidR="00F4385A" w:rsidRDefault="00F4385A" w:rsidP="00E25984">
      <w:pPr>
        <w:rPr>
          <w:color w:val="000000" w:themeColor="text1"/>
        </w:rPr>
        <w:sectPr w:rsidR="00F4385A" w:rsidSect="00B154A0">
          <w:pgSz w:w="11907" w:h="16840" w:code="9"/>
          <w:pgMar w:top="1418" w:right="1247" w:bottom="1247" w:left="1247" w:header="851" w:footer="992" w:gutter="0"/>
          <w:cols w:space="425"/>
          <w:titlePg/>
          <w:docGrid w:type="lines" w:linePitch="312"/>
        </w:sectPr>
      </w:pP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72" w:name="_Toc451964558"/>
      <w:bookmarkStart w:id="73" w:name="_Toc451967405"/>
      <w:bookmarkStart w:id="74" w:name="_Toc451970248"/>
      <w:bookmarkStart w:id="75" w:name="_Toc451973090"/>
      <w:bookmarkStart w:id="76" w:name="_Toc451975929"/>
      <w:bookmarkStart w:id="77" w:name="_Toc451978768"/>
      <w:bookmarkStart w:id="78" w:name="_Toc452017169"/>
      <w:bookmarkStart w:id="79" w:name="_Toc451964564"/>
      <w:bookmarkStart w:id="80" w:name="_Toc451967411"/>
      <w:bookmarkStart w:id="81" w:name="_Toc451970254"/>
      <w:bookmarkStart w:id="82" w:name="_Toc451973096"/>
      <w:bookmarkStart w:id="83" w:name="_Toc451975935"/>
      <w:bookmarkStart w:id="84" w:name="_Toc451978774"/>
      <w:bookmarkStart w:id="85" w:name="_Toc452017175"/>
      <w:bookmarkStart w:id="86" w:name="_Toc451965804"/>
      <w:bookmarkStart w:id="87" w:name="_Toc451968651"/>
      <w:bookmarkStart w:id="88" w:name="_Toc451971494"/>
      <w:bookmarkStart w:id="89" w:name="_Toc451974336"/>
      <w:bookmarkStart w:id="90" w:name="_Toc451977175"/>
      <w:bookmarkStart w:id="91" w:name="_Toc451980014"/>
      <w:bookmarkStart w:id="92" w:name="_Toc452018415"/>
      <w:bookmarkStart w:id="93" w:name="_Toc451965809"/>
      <w:bookmarkStart w:id="94" w:name="_Toc451968656"/>
      <w:bookmarkStart w:id="95" w:name="_Toc451971499"/>
      <w:bookmarkStart w:id="96" w:name="_Toc451974341"/>
      <w:bookmarkStart w:id="97" w:name="_Toc451977180"/>
      <w:bookmarkStart w:id="98" w:name="_Toc451980019"/>
      <w:bookmarkStart w:id="99" w:name="_Toc452018420"/>
      <w:bookmarkStart w:id="100" w:name="_Toc451965814"/>
      <w:bookmarkStart w:id="101" w:name="_Toc451968661"/>
      <w:bookmarkStart w:id="102" w:name="_Toc451971504"/>
      <w:bookmarkStart w:id="103" w:name="_Toc451974346"/>
      <w:bookmarkStart w:id="104" w:name="_Toc451977185"/>
      <w:bookmarkStart w:id="105" w:name="_Toc451980024"/>
      <w:bookmarkStart w:id="106" w:name="_Toc452018425"/>
      <w:bookmarkStart w:id="107" w:name="_Toc451965819"/>
      <w:bookmarkStart w:id="108" w:name="_Toc451968666"/>
      <w:bookmarkStart w:id="109" w:name="_Toc451971509"/>
      <w:bookmarkStart w:id="110" w:name="_Toc451974351"/>
      <w:bookmarkStart w:id="111" w:name="_Toc451977190"/>
      <w:bookmarkStart w:id="112" w:name="_Toc451980029"/>
      <w:bookmarkStart w:id="113" w:name="_Toc452018430"/>
      <w:bookmarkStart w:id="114" w:name="_Toc451965824"/>
      <w:bookmarkStart w:id="115" w:name="_Toc451968671"/>
      <w:bookmarkStart w:id="116" w:name="_Toc451971514"/>
      <w:bookmarkStart w:id="117" w:name="_Toc451974356"/>
      <w:bookmarkStart w:id="118" w:name="_Toc451977195"/>
      <w:bookmarkStart w:id="119" w:name="_Toc451980034"/>
      <w:bookmarkStart w:id="120" w:name="_Toc452018435"/>
      <w:bookmarkStart w:id="121" w:name="_Toc451965829"/>
      <w:bookmarkStart w:id="122" w:name="_Toc451968676"/>
      <w:bookmarkStart w:id="123" w:name="_Toc451971519"/>
      <w:bookmarkStart w:id="124" w:name="_Toc451974361"/>
      <w:bookmarkStart w:id="125" w:name="_Toc451977200"/>
      <w:bookmarkStart w:id="126" w:name="_Toc451980039"/>
      <w:bookmarkStart w:id="127" w:name="_Toc452018440"/>
      <w:bookmarkStart w:id="128" w:name="_Toc451965834"/>
      <w:bookmarkStart w:id="129" w:name="_Toc451968681"/>
      <w:bookmarkStart w:id="130" w:name="_Toc451971524"/>
      <w:bookmarkStart w:id="131" w:name="_Toc451974366"/>
      <w:bookmarkStart w:id="132" w:name="_Toc451977205"/>
      <w:bookmarkStart w:id="133" w:name="_Toc451980044"/>
      <w:bookmarkStart w:id="134" w:name="_Toc452018445"/>
      <w:bookmarkStart w:id="135" w:name="_Toc451965839"/>
      <w:bookmarkStart w:id="136" w:name="_Toc451968686"/>
      <w:bookmarkStart w:id="137" w:name="_Toc451971529"/>
      <w:bookmarkStart w:id="138" w:name="_Toc451974371"/>
      <w:bookmarkStart w:id="139" w:name="_Toc451977210"/>
      <w:bookmarkStart w:id="140" w:name="_Toc451980049"/>
      <w:bookmarkStart w:id="141" w:name="_Toc452018450"/>
      <w:bookmarkStart w:id="142" w:name="_Toc451965844"/>
      <w:bookmarkStart w:id="143" w:name="_Toc451968691"/>
      <w:bookmarkStart w:id="144" w:name="_Toc451971534"/>
      <w:bookmarkStart w:id="145" w:name="_Toc451974376"/>
      <w:bookmarkStart w:id="146" w:name="_Toc451977215"/>
      <w:bookmarkStart w:id="147" w:name="_Toc451980054"/>
      <w:bookmarkStart w:id="148" w:name="_Toc452018455"/>
      <w:bookmarkStart w:id="149" w:name="_Toc451965849"/>
      <w:bookmarkStart w:id="150" w:name="_Toc451968696"/>
      <w:bookmarkStart w:id="151" w:name="_Toc451971539"/>
      <w:bookmarkStart w:id="152" w:name="_Toc451974381"/>
      <w:bookmarkStart w:id="153" w:name="_Toc451977220"/>
      <w:bookmarkStart w:id="154" w:name="_Toc451980059"/>
      <w:bookmarkStart w:id="155" w:name="_Toc452018460"/>
      <w:bookmarkStart w:id="156" w:name="_Toc451965854"/>
      <w:bookmarkStart w:id="157" w:name="_Toc451968701"/>
      <w:bookmarkStart w:id="158" w:name="_Toc451971544"/>
      <w:bookmarkStart w:id="159" w:name="_Toc451974386"/>
      <w:bookmarkStart w:id="160" w:name="_Toc451977225"/>
      <w:bookmarkStart w:id="161" w:name="_Toc451980064"/>
      <w:bookmarkStart w:id="162" w:name="_Toc452018465"/>
      <w:bookmarkStart w:id="163" w:name="_Toc451965859"/>
      <w:bookmarkStart w:id="164" w:name="_Toc451968706"/>
      <w:bookmarkStart w:id="165" w:name="_Toc451971549"/>
      <w:bookmarkStart w:id="166" w:name="_Toc451974391"/>
      <w:bookmarkStart w:id="167" w:name="_Toc451977230"/>
      <w:bookmarkStart w:id="168" w:name="_Toc451980069"/>
      <w:bookmarkStart w:id="169" w:name="_Toc452018470"/>
      <w:bookmarkStart w:id="170" w:name="_Toc451965864"/>
      <w:bookmarkStart w:id="171" w:name="_Toc451968711"/>
      <w:bookmarkStart w:id="172" w:name="_Toc451971554"/>
      <w:bookmarkStart w:id="173" w:name="_Toc451974396"/>
      <w:bookmarkStart w:id="174" w:name="_Toc451977235"/>
      <w:bookmarkStart w:id="175" w:name="_Toc451980074"/>
      <w:bookmarkStart w:id="176" w:name="_Toc452018475"/>
      <w:bookmarkStart w:id="177" w:name="_Toc451965869"/>
      <w:bookmarkStart w:id="178" w:name="_Toc451968716"/>
      <w:bookmarkStart w:id="179" w:name="_Toc451971559"/>
      <w:bookmarkStart w:id="180" w:name="_Toc451974401"/>
      <w:bookmarkStart w:id="181" w:name="_Toc451977240"/>
      <w:bookmarkStart w:id="182" w:name="_Toc451980079"/>
      <w:bookmarkStart w:id="183" w:name="_Toc452018480"/>
      <w:bookmarkStart w:id="184" w:name="_Toc451965874"/>
      <w:bookmarkStart w:id="185" w:name="_Toc451968721"/>
      <w:bookmarkStart w:id="186" w:name="_Toc451971564"/>
      <w:bookmarkStart w:id="187" w:name="_Toc451974406"/>
      <w:bookmarkStart w:id="188" w:name="_Toc451977245"/>
      <w:bookmarkStart w:id="189" w:name="_Toc451980084"/>
      <w:bookmarkStart w:id="190" w:name="_Toc452018485"/>
      <w:bookmarkStart w:id="191" w:name="_Toc451965879"/>
      <w:bookmarkStart w:id="192" w:name="_Toc451968726"/>
      <w:bookmarkStart w:id="193" w:name="_Toc451971569"/>
      <w:bookmarkStart w:id="194" w:name="_Toc451974411"/>
      <w:bookmarkStart w:id="195" w:name="_Toc451977250"/>
      <w:bookmarkStart w:id="196" w:name="_Toc451980089"/>
      <w:bookmarkStart w:id="197" w:name="_Toc452018490"/>
      <w:bookmarkStart w:id="198" w:name="_Toc451965884"/>
      <w:bookmarkStart w:id="199" w:name="_Toc451968731"/>
      <w:bookmarkStart w:id="200" w:name="_Toc451971574"/>
      <w:bookmarkStart w:id="201" w:name="_Toc451974416"/>
      <w:bookmarkStart w:id="202" w:name="_Toc451977255"/>
      <w:bookmarkStart w:id="203" w:name="_Toc451980094"/>
      <w:bookmarkStart w:id="204" w:name="_Toc452018495"/>
      <w:bookmarkStart w:id="205" w:name="_Toc451965889"/>
      <w:bookmarkStart w:id="206" w:name="_Toc451968736"/>
      <w:bookmarkStart w:id="207" w:name="_Toc451971579"/>
      <w:bookmarkStart w:id="208" w:name="_Toc451974421"/>
      <w:bookmarkStart w:id="209" w:name="_Toc451977260"/>
      <w:bookmarkStart w:id="210" w:name="_Toc451980099"/>
      <w:bookmarkStart w:id="211" w:name="_Toc452018500"/>
      <w:bookmarkStart w:id="212" w:name="_Toc451965890"/>
      <w:bookmarkStart w:id="213" w:name="_Toc451968737"/>
      <w:bookmarkStart w:id="214" w:name="_Toc451971580"/>
      <w:bookmarkStart w:id="215" w:name="_Toc451974422"/>
      <w:bookmarkStart w:id="216" w:name="_Toc451977261"/>
      <w:bookmarkStart w:id="217" w:name="_Toc451980100"/>
      <w:bookmarkStart w:id="218" w:name="_Toc452018501"/>
      <w:bookmarkStart w:id="219" w:name="_Toc45201850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CB4B9E">
        <w:rPr>
          <w:rFonts w:ascii="宋体" w:hAnsi="宋体" w:hint="eastAsia"/>
          <w:b w:val="0"/>
          <w:color w:val="000000" w:themeColor="text1"/>
          <w:sz w:val="28"/>
          <w:szCs w:val="28"/>
        </w:rPr>
        <w:lastRenderedPageBreak/>
        <w:t>经济类型代码表</w:t>
      </w:r>
      <w:bookmarkEnd w:id="219"/>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3"/>
        <w:gridCol w:w="6096"/>
      </w:tblGrid>
      <w:tr w:rsidR="00F4385A" w:rsidRPr="000859C1" w:rsidTr="00F4385A">
        <w:trPr>
          <w:jc w:val="center"/>
        </w:trPr>
        <w:tc>
          <w:tcPr>
            <w:tcW w:w="2283" w:type="dxa"/>
            <w:shd w:val="clear" w:color="auto" w:fill="C0C0C0"/>
            <w:noWrap/>
            <w:vAlign w:val="bottom"/>
            <w:hideMark/>
          </w:tcPr>
          <w:p w:rsidR="00F4385A" w:rsidRPr="00507D36" w:rsidRDefault="00F4385A" w:rsidP="009B1241">
            <w:pPr>
              <w:pStyle w:val="B"/>
              <w:jc w:val="center"/>
              <w:rPr>
                <w:rFonts w:ascii="黑体"/>
              </w:rPr>
            </w:pPr>
            <w:r w:rsidRPr="00507D36">
              <w:rPr>
                <w:rFonts w:ascii="黑体"/>
              </w:rPr>
              <w:t>经济类型代码</w:t>
            </w:r>
          </w:p>
        </w:tc>
        <w:tc>
          <w:tcPr>
            <w:tcW w:w="6096" w:type="dxa"/>
            <w:shd w:val="clear" w:color="auto" w:fill="C0C0C0"/>
            <w:noWrap/>
            <w:vAlign w:val="bottom"/>
            <w:hideMark/>
          </w:tcPr>
          <w:p w:rsidR="00F4385A" w:rsidRPr="00507D36" w:rsidRDefault="00F4385A" w:rsidP="009B1241">
            <w:pPr>
              <w:pStyle w:val="B"/>
              <w:jc w:val="center"/>
              <w:rPr>
                <w:rFonts w:ascii="黑体"/>
              </w:rPr>
            </w:pPr>
            <w:r w:rsidRPr="00507D36">
              <w:rPr>
                <w:rFonts w:ascii="黑体"/>
              </w:rPr>
              <w:t>经济类型名称</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100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内资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110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国有全资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120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集体全资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130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股份合作</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140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联营</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141</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国有联营</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142</w:t>
            </w:r>
          </w:p>
        </w:tc>
        <w:tc>
          <w:tcPr>
            <w:tcW w:w="6096" w:type="dxa"/>
            <w:shd w:val="clear" w:color="auto" w:fill="auto"/>
            <w:noWrap/>
            <w:vAlign w:val="bottom"/>
            <w:hideMark/>
          </w:tcPr>
          <w:p w:rsidR="00F4385A" w:rsidRPr="000859C1" w:rsidRDefault="00F4385A" w:rsidP="009B1241">
            <w:pPr>
              <w:pStyle w:val="B"/>
              <w:widowControl w:val="0"/>
              <w:rPr>
                <w:rFonts w:ascii="黑体"/>
              </w:rPr>
            </w:pPr>
            <w:r w:rsidRPr="00507D36">
              <w:rPr>
                <w:rFonts w:ascii="黑体"/>
              </w:rPr>
              <w:t>集体联营</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143</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国有与集体联营</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149</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其他联营</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150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有限责任（公司）</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151</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国有独资（公司）</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159</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其他有限责任（公司）</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160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股份有限（公司）</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170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私有</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171</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私有独资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172</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私有合伙</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173</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私营有限责任（公司）</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174</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私营股份有限（公司）</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175</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个体经营</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179</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其他私有</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190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其他内资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200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港澳台投资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210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内地和港澳台合资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220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内地和港澳台合作</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230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港澳台独资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240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港澳台投资股份有限（公司）</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290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其他港澳台投资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300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国外投资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310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中外合资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320</w:t>
            </w:r>
          </w:p>
        </w:tc>
        <w:tc>
          <w:tcPr>
            <w:tcW w:w="6096" w:type="dxa"/>
            <w:shd w:val="clear" w:color="auto" w:fill="auto"/>
            <w:noWrap/>
            <w:vAlign w:val="bottom"/>
            <w:hideMark/>
          </w:tcPr>
          <w:p w:rsidR="00F4385A" w:rsidRPr="000859C1" w:rsidRDefault="00F4385A" w:rsidP="009B1241">
            <w:pPr>
              <w:pStyle w:val="B"/>
              <w:widowControl w:val="0"/>
              <w:rPr>
                <w:rFonts w:ascii="黑体"/>
              </w:rPr>
            </w:pPr>
            <w:r w:rsidRPr="00507D36">
              <w:rPr>
                <w:rFonts w:ascii="黑体"/>
              </w:rPr>
              <w:t>中外合作</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330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外资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340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国外投资股份有限（公司）</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390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其他国外投资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400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境外机构</w:t>
            </w:r>
          </w:p>
        </w:tc>
      </w:tr>
      <w:tr w:rsidR="00F4385A" w:rsidRPr="000859C1" w:rsidTr="00F4385A">
        <w:trPr>
          <w:jc w:val="center"/>
        </w:trPr>
        <w:tc>
          <w:tcPr>
            <w:tcW w:w="2283" w:type="dxa"/>
            <w:shd w:val="clear" w:color="auto" w:fill="auto"/>
            <w:noWrap/>
            <w:vAlign w:val="bottom"/>
            <w:hideMark/>
          </w:tcPr>
          <w:p w:rsidR="00F4385A" w:rsidRPr="00507D36" w:rsidRDefault="00F4385A" w:rsidP="009B1241">
            <w:pPr>
              <w:pStyle w:val="B"/>
              <w:jc w:val="center"/>
              <w:rPr>
                <w:rFonts w:ascii="黑体"/>
              </w:rPr>
            </w:pPr>
            <w:r w:rsidRPr="00507D36">
              <w:rPr>
                <w:rFonts w:ascii="黑体"/>
              </w:rPr>
              <w:t>900</w:t>
            </w:r>
          </w:p>
        </w:tc>
        <w:tc>
          <w:tcPr>
            <w:tcW w:w="6096" w:type="dxa"/>
            <w:shd w:val="clear" w:color="auto" w:fill="auto"/>
            <w:noWrap/>
            <w:vAlign w:val="bottom"/>
            <w:hideMark/>
          </w:tcPr>
          <w:p w:rsidR="00F4385A" w:rsidRPr="000859C1" w:rsidRDefault="00F4385A" w:rsidP="009B1241">
            <w:pPr>
              <w:pStyle w:val="B"/>
              <w:rPr>
                <w:rFonts w:ascii="黑体"/>
              </w:rPr>
            </w:pPr>
            <w:r w:rsidRPr="00507D36">
              <w:rPr>
                <w:rFonts w:ascii="黑体"/>
              </w:rPr>
              <w:t>其他</w:t>
            </w:r>
          </w:p>
        </w:tc>
      </w:tr>
    </w:tbl>
    <w:p w:rsidR="00000000" w:rsidRDefault="00CB4B9E">
      <w:pPr>
        <w:pStyle w:val="2"/>
        <w:rPr>
          <w:color w:val="000000" w:themeColor="text1"/>
        </w:rPr>
      </w:pPr>
      <w:r w:rsidRPr="00CB4B9E">
        <w:rPr>
          <w:color w:val="000000" w:themeColor="text1"/>
        </w:rPr>
        <w:br w:type="page"/>
      </w: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220" w:name="_Toc451965892"/>
      <w:bookmarkStart w:id="221" w:name="_Toc451968739"/>
      <w:bookmarkStart w:id="222" w:name="_Toc451971582"/>
      <w:bookmarkStart w:id="223" w:name="_Toc451974424"/>
      <w:bookmarkStart w:id="224" w:name="_Toc451977263"/>
      <w:bookmarkStart w:id="225" w:name="_Toc451980102"/>
      <w:bookmarkStart w:id="226" w:name="_Toc452018503"/>
      <w:bookmarkStart w:id="227" w:name="_Toc452018504"/>
      <w:bookmarkEnd w:id="220"/>
      <w:bookmarkEnd w:id="221"/>
      <w:bookmarkEnd w:id="222"/>
      <w:bookmarkEnd w:id="223"/>
      <w:bookmarkEnd w:id="224"/>
      <w:bookmarkEnd w:id="225"/>
      <w:bookmarkEnd w:id="226"/>
      <w:r w:rsidRPr="00CB4B9E">
        <w:rPr>
          <w:rFonts w:ascii="宋体" w:hAnsi="宋体" w:hint="eastAsia"/>
          <w:b w:val="0"/>
          <w:color w:val="000000" w:themeColor="text1"/>
          <w:sz w:val="28"/>
          <w:szCs w:val="28"/>
        </w:rPr>
        <w:lastRenderedPageBreak/>
        <w:t>中国大陆行政区划代码表</w:t>
      </w:r>
      <w:bookmarkEnd w:id="227"/>
    </w:p>
    <w:p w:rsidR="00000000" w:rsidRDefault="00CB4B9E">
      <w:pPr>
        <w:jc w:val="center"/>
      </w:pPr>
      <w:r w:rsidRPr="00CB4B9E">
        <w:rPr>
          <w:rFonts w:hint="eastAsia"/>
        </w:rPr>
        <w:t>（根据国家统计局网站进行更新，截至到</w:t>
      </w:r>
      <w:r w:rsidRPr="00CB4B9E">
        <w:t>2014</w:t>
      </w:r>
      <w:r w:rsidRPr="00CB4B9E">
        <w:rPr>
          <w:rFonts w:hint="eastAsia"/>
        </w:rPr>
        <w:t>年</w:t>
      </w:r>
      <w:r w:rsidRPr="00CB4B9E">
        <w:t>12</w:t>
      </w:r>
      <w:r w:rsidRPr="00CB4B9E">
        <w:rPr>
          <w:rFonts w:hint="eastAsia"/>
        </w:rPr>
        <w:t>月</w:t>
      </w:r>
      <w:r w:rsidRPr="00CB4B9E">
        <w:t>31</w:t>
      </w:r>
      <w:r w:rsidRPr="00CB4B9E">
        <w:rPr>
          <w:rFonts w:hint="eastAsia"/>
        </w:rPr>
        <w:t>日）</w:t>
      </w:r>
    </w:p>
    <w:tbl>
      <w:tblPr>
        <w:tblW w:w="8233" w:type="dxa"/>
        <w:jc w:val="center"/>
        <w:tblInd w:w="98" w:type="dxa"/>
        <w:tblLook w:val="04A0"/>
      </w:tblPr>
      <w:tblGrid>
        <w:gridCol w:w="2137"/>
        <w:gridCol w:w="2409"/>
        <w:gridCol w:w="2127"/>
        <w:gridCol w:w="1560"/>
      </w:tblGrid>
      <w:tr w:rsidR="00F4385A" w:rsidRPr="009B1241" w:rsidTr="00F4385A">
        <w:trPr>
          <w:trHeight w:val="320"/>
          <w:jc w:val="center"/>
        </w:trPr>
        <w:tc>
          <w:tcPr>
            <w:tcW w:w="2137" w:type="dxa"/>
            <w:tcBorders>
              <w:top w:val="single" w:sz="8" w:space="0" w:color="auto"/>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地区代码</w:t>
            </w:r>
          </w:p>
        </w:tc>
        <w:tc>
          <w:tcPr>
            <w:tcW w:w="2409" w:type="dxa"/>
            <w:tcBorders>
              <w:top w:val="single" w:sz="8" w:space="0" w:color="auto"/>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地区名称</w:t>
            </w:r>
          </w:p>
        </w:tc>
        <w:tc>
          <w:tcPr>
            <w:tcW w:w="2127" w:type="dxa"/>
            <w:tcBorders>
              <w:top w:val="single" w:sz="8" w:space="0" w:color="auto"/>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single" w:sz="8" w:space="0" w:color="auto"/>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100000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中国</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110000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北京市市辖区</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110101</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北京市东城区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110111</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北京市房山区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110102</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北京市西城区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110112</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北京市通州区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110105</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北京市朝阳区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110113</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北京市顺义区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110106</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北京市丰台区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110114</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北京市昌平区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110107</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北京市石景山区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110115</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北京市大兴区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110108</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北京市海淀区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110116</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北京市怀柔区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110109</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北京市门头沟区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110117</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北京市平谷区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110200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县</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110228</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北京市密云县</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110229</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北京市延庆县</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120000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天津市市辖区</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120101</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天津市和平区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120111</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天津市西青区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120102</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天津市河东区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120112</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天津市津南区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120103</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天津市河西区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120113</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天津市北辰区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120104</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天津市南开区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120114</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天津市武清区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120105</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天津市河北区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120115</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天津市宝坻区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120106</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天津市红桥区</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120116</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天津市滨海新区</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120110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天津市东丽区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120200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县</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120221</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天津市宁河县</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120225</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天津市蓟县</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120223</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天津市静海县</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130000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河北省</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130100</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石家庄市</w:t>
            </w:r>
          </w:p>
        </w:tc>
        <w:tc>
          <w:tcPr>
            <w:tcW w:w="2127" w:type="dxa"/>
            <w:tcBorders>
              <w:top w:val="nil"/>
              <w:left w:val="nil"/>
              <w:bottom w:val="single" w:sz="8" w:space="0" w:color="auto"/>
              <w:right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c>
          <w:tcPr>
            <w:tcW w:w="1560" w:type="dxa"/>
            <w:tcBorders>
              <w:top w:val="nil"/>
              <w:left w:val="nil"/>
              <w:bottom w:val="single" w:sz="8" w:space="0" w:color="auto"/>
            </w:tcBorders>
            <w:shd w:val="clear" w:color="auto" w:fill="auto"/>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hint="eastAsia"/>
                <w:bCs/>
                <w:color w:val="000000"/>
                <w:kern w:val="0"/>
                <w:sz w:val="18"/>
                <w:szCs w:val="18"/>
              </w:rPr>
              <w:t xml:space="preserve">　</w:t>
            </w:r>
          </w:p>
        </w:tc>
      </w:tr>
      <w:tr w:rsidR="00F4385A" w:rsidRPr="009B1241" w:rsidTr="00F4385A">
        <w:trPr>
          <w:trHeight w:val="320"/>
          <w:jc w:val="center"/>
        </w:trPr>
        <w:tc>
          <w:tcPr>
            <w:tcW w:w="2137" w:type="dxa"/>
            <w:tcBorders>
              <w:top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130101</w:t>
            </w:r>
          </w:p>
        </w:tc>
        <w:tc>
          <w:tcPr>
            <w:tcW w:w="2409"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石家庄市市辖区</w:t>
            </w:r>
          </w:p>
        </w:tc>
        <w:tc>
          <w:tcPr>
            <w:tcW w:w="2127" w:type="dxa"/>
            <w:tcBorders>
              <w:top w:val="nil"/>
              <w:left w:val="nil"/>
              <w:bottom w:val="single" w:sz="8" w:space="0" w:color="auto"/>
              <w:right w:val="single" w:sz="8" w:space="0" w:color="auto"/>
            </w:tcBorders>
            <w:shd w:val="clear" w:color="auto" w:fill="auto"/>
            <w:vAlign w:val="bottom"/>
            <w:hideMark/>
          </w:tcPr>
          <w:p w:rsidR="00F4385A" w:rsidRPr="009B1241" w:rsidRDefault="00CB4B9E" w:rsidP="00F4385A">
            <w:pPr>
              <w:widowControl/>
              <w:rPr>
                <w:rFonts w:ascii="宋体" w:hAnsi="宋体" w:cs="Tahoma"/>
                <w:bCs/>
                <w:color w:val="000000"/>
                <w:kern w:val="0"/>
                <w:sz w:val="18"/>
                <w:szCs w:val="18"/>
              </w:rPr>
            </w:pPr>
            <w:r w:rsidRPr="00CB4B9E">
              <w:rPr>
                <w:rFonts w:ascii="宋体" w:hAnsi="宋体" w:cs="Tahoma"/>
                <w:bCs/>
                <w:color w:val="000000"/>
                <w:kern w:val="0"/>
                <w:sz w:val="18"/>
                <w:szCs w:val="18"/>
              </w:rPr>
              <w:t>130127</w:t>
            </w:r>
          </w:p>
        </w:tc>
        <w:tc>
          <w:tcPr>
            <w:tcW w:w="1560" w:type="dxa"/>
            <w:tcBorders>
              <w:top w:val="nil"/>
              <w:left w:val="nil"/>
              <w:bottom w:val="single" w:sz="8" w:space="0" w:color="auto"/>
            </w:tcBorders>
            <w:shd w:val="clear" w:color="auto" w:fill="auto"/>
            <w:vAlign w:val="bottom"/>
            <w:hideMark/>
          </w:tcPr>
          <w:p w:rsidR="00F4385A" w:rsidRPr="009B1241" w:rsidRDefault="00CB4B9E" w:rsidP="00F4385A">
            <w:pPr>
              <w:widowControl/>
              <w:rPr>
                <w:rFonts w:ascii="黑体" w:eastAsia="黑体" w:hAnsi="黑体" w:cs="Tahoma"/>
                <w:bCs/>
                <w:color w:val="000000"/>
                <w:kern w:val="0"/>
                <w:sz w:val="18"/>
                <w:szCs w:val="18"/>
              </w:rPr>
            </w:pPr>
            <w:r w:rsidRPr="00CB4B9E">
              <w:rPr>
                <w:rFonts w:ascii="黑体" w:eastAsia="黑体" w:hAnsi="黑体" w:cs="Tahoma" w:hint="eastAsia"/>
                <w:bCs/>
                <w:color w:val="000000"/>
                <w:kern w:val="0"/>
                <w:sz w:val="18"/>
                <w:szCs w:val="18"/>
              </w:rPr>
              <w:t>石家庄市高邑县</w:t>
            </w:r>
          </w:p>
        </w:tc>
      </w:tr>
    </w:tbl>
    <w:p w:rsidR="00000000" w:rsidRDefault="00F4385A">
      <w:pPr>
        <w:pStyle w:val="B"/>
        <w:jc w:val="left"/>
        <w:rPr>
          <w:rFonts w:ascii="黑体"/>
        </w:rPr>
      </w:pPr>
      <w:r>
        <w:rPr>
          <w:rFonts w:ascii="黑体" w:hint="eastAsia"/>
        </w:rPr>
        <w:t xml:space="preserve">      </w:t>
      </w:r>
    </w:p>
    <w:p w:rsidR="00F4385A" w:rsidRDefault="00F4385A" w:rsidP="00F4385A">
      <w:pPr>
        <w:sectPr w:rsidR="00F4385A" w:rsidSect="00B154A0">
          <w:pgSz w:w="11907" w:h="16840" w:code="9"/>
          <w:pgMar w:top="1418" w:right="1247" w:bottom="1247" w:left="1247" w:header="851" w:footer="992" w:gutter="0"/>
          <w:cols w:space="425"/>
          <w:titlePg/>
          <w:docGrid w:type="lines" w:linePitch="312"/>
        </w:sectPr>
      </w:pPr>
      <w:r>
        <w:rPr>
          <w:rFonts w:hint="eastAsia"/>
        </w:rPr>
        <w:t xml:space="preserve">      </w:t>
      </w:r>
      <w:r>
        <w:rPr>
          <w:rFonts w:hint="eastAsia"/>
        </w:rPr>
        <w:t>（以下略）</w:t>
      </w: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228" w:name="_Toc451965895"/>
      <w:bookmarkStart w:id="229" w:name="_Toc451968742"/>
      <w:bookmarkStart w:id="230" w:name="_Toc451971585"/>
      <w:bookmarkStart w:id="231" w:name="_Toc451974427"/>
      <w:bookmarkStart w:id="232" w:name="_Toc451977266"/>
      <w:bookmarkStart w:id="233" w:name="_Toc451980104"/>
      <w:bookmarkStart w:id="234" w:name="_Toc452018505"/>
      <w:bookmarkStart w:id="235" w:name="_Toc451965951"/>
      <w:bookmarkStart w:id="236" w:name="_Toc451968798"/>
      <w:bookmarkStart w:id="237" w:name="_Toc451971641"/>
      <w:bookmarkStart w:id="238" w:name="_Toc451974483"/>
      <w:bookmarkStart w:id="239" w:name="_Toc451977322"/>
      <w:bookmarkStart w:id="240" w:name="_Toc451980160"/>
      <w:bookmarkStart w:id="241" w:name="_Toc452018561"/>
      <w:bookmarkStart w:id="242" w:name="_Toc451965966"/>
      <w:bookmarkStart w:id="243" w:name="_Toc451968813"/>
      <w:bookmarkStart w:id="244" w:name="_Toc451971656"/>
      <w:bookmarkStart w:id="245" w:name="_Toc451974498"/>
      <w:bookmarkStart w:id="246" w:name="_Toc451977337"/>
      <w:bookmarkStart w:id="247" w:name="_Toc451980175"/>
      <w:bookmarkStart w:id="248" w:name="_Toc452018576"/>
      <w:bookmarkStart w:id="249" w:name="_Toc451966016"/>
      <w:bookmarkStart w:id="250" w:name="_Toc451968863"/>
      <w:bookmarkStart w:id="251" w:name="_Toc451971706"/>
      <w:bookmarkStart w:id="252" w:name="_Toc451974548"/>
      <w:bookmarkStart w:id="253" w:name="_Toc451977387"/>
      <w:bookmarkStart w:id="254" w:name="_Toc451980225"/>
      <w:bookmarkStart w:id="255" w:name="_Toc452018626"/>
      <w:bookmarkStart w:id="256" w:name="_Toc451966036"/>
      <w:bookmarkStart w:id="257" w:name="_Toc451968883"/>
      <w:bookmarkStart w:id="258" w:name="_Toc451971726"/>
      <w:bookmarkStart w:id="259" w:name="_Toc451974568"/>
      <w:bookmarkStart w:id="260" w:name="_Toc451977407"/>
      <w:bookmarkStart w:id="261" w:name="_Toc451980245"/>
      <w:bookmarkStart w:id="262" w:name="_Toc452018646"/>
      <w:bookmarkStart w:id="263" w:name="_Toc451966056"/>
      <w:bookmarkStart w:id="264" w:name="_Toc451968903"/>
      <w:bookmarkStart w:id="265" w:name="_Toc451971746"/>
      <w:bookmarkStart w:id="266" w:name="_Toc451974588"/>
      <w:bookmarkStart w:id="267" w:name="_Toc451977427"/>
      <w:bookmarkStart w:id="268" w:name="_Toc451980265"/>
      <w:bookmarkStart w:id="269" w:name="_Toc452018666"/>
      <w:bookmarkStart w:id="270" w:name="_Toc451966057"/>
      <w:bookmarkStart w:id="271" w:name="_Toc451968904"/>
      <w:bookmarkStart w:id="272" w:name="_Toc451971747"/>
      <w:bookmarkStart w:id="273" w:name="_Toc451974589"/>
      <w:bookmarkStart w:id="274" w:name="_Toc451977428"/>
      <w:bookmarkStart w:id="275" w:name="_Toc451980266"/>
      <w:bookmarkStart w:id="276" w:name="_Toc452018667"/>
      <w:bookmarkStart w:id="277" w:name="_Toc451966066"/>
      <w:bookmarkStart w:id="278" w:name="_Toc451968913"/>
      <w:bookmarkStart w:id="279" w:name="_Toc451971756"/>
      <w:bookmarkStart w:id="280" w:name="_Toc451974598"/>
      <w:bookmarkStart w:id="281" w:name="_Toc451977437"/>
      <w:bookmarkStart w:id="282" w:name="_Toc451980275"/>
      <w:bookmarkStart w:id="283" w:name="_Toc452018676"/>
      <w:bookmarkStart w:id="284" w:name="_Toc451966494"/>
      <w:bookmarkStart w:id="285" w:name="_Toc451969341"/>
      <w:bookmarkStart w:id="286" w:name="_Toc451972184"/>
      <w:bookmarkStart w:id="287" w:name="_Toc451975026"/>
      <w:bookmarkStart w:id="288" w:name="_Toc451977865"/>
      <w:bookmarkStart w:id="289" w:name="_Toc451980703"/>
      <w:bookmarkStart w:id="290" w:name="_Toc452019104"/>
      <w:bookmarkStart w:id="291" w:name="_Toc451967338"/>
      <w:bookmarkStart w:id="292" w:name="_Toc451970185"/>
      <w:bookmarkStart w:id="293" w:name="_Toc451973028"/>
      <w:bookmarkStart w:id="294" w:name="_Toc451975870"/>
      <w:bookmarkStart w:id="295" w:name="_Toc451978709"/>
      <w:bookmarkStart w:id="296" w:name="_Toc451981547"/>
      <w:bookmarkStart w:id="297" w:name="_Toc452019948"/>
      <w:bookmarkStart w:id="298" w:name="_Toc452019949"/>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CB4B9E">
        <w:rPr>
          <w:rFonts w:ascii="宋体" w:hAnsi="宋体" w:hint="eastAsia"/>
          <w:b w:val="0"/>
          <w:color w:val="000000" w:themeColor="text1"/>
          <w:sz w:val="28"/>
          <w:szCs w:val="28"/>
        </w:rPr>
        <w:lastRenderedPageBreak/>
        <w:t>涉外银行卡商户分类码分类标准</w:t>
      </w:r>
      <w:bookmarkEnd w:id="298"/>
    </w:p>
    <w:p w:rsidR="00000000" w:rsidRDefault="00C97103">
      <w:pPr>
        <w:rPr>
          <w:b/>
          <w:color w:val="000000" w:themeColor="text1"/>
        </w:rPr>
      </w:pPr>
    </w:p>
    <w:p w:rsidR="00000000" w:rsidRDefault="00CB4B9E" w:rsidP="00D1396C">
      <w:pPr>
        <w:spacing w:before="240"/>
        <w:ind w:firstLineChars="200" w:firstLine="420"/>
        <w:rPr>
          <w:rFonts w:ascii="仿宋_GB2312" w:eastAsia="仿宋_GB2312"/>
          <w:color w:val="000000" w:themeColor="text1"/>
          <w:szCs w:val="21"/>
        </w:rPr>
      </w:pPr>
      <w:r w:rsidRPr="00CB4B9E">
        <w:rPr>
          <w:rFonts w:ascii="仿宋_GB2312" w:eastAsia="仿宋_GB2312" w:hint="eastAsia"/>
          <w:color w:val="000000" w:themeColor="text1"/>
          <w:szCs w:val="21"/>
        </w:rPr>
        <w:t>本商户类别码（MCC）分类标准包含威士（Visa）、万事达（MasterCard）、运通（American</w:t>
      </w:r>
      <w:r w:rsidRPr="00CB4B9E">
        <w:rPr>
          <w:rFonts w:ascii="仿宋_GB2312" w:eastAsia="仿宋_GB2312"/>
          <w:color w:val="000000" w:themeColor="text1"/>
          <w:szCs w:val="21"/>
        </w:rPr>
        <w:t xml:space="preserve"> </w:t>
      </w:r>
      <w:r w:rsidRPr="00CB4B9E">
        <w:rPr>
          <w:rFonts w:ascii="仿宋_GB2312" w:eastAsia="仿宋_GB2312" w:hint="eastAsia"/>
          <w:color w:val="000000" w:themeColor="text1"/>
          <w:szCs w:val="21"/>
        </w:rPr>
        <w:t>Express）、JCB四个银行卡组织的商户类别码，但个别商户类别码可能仅适用于部分银行卡组织。对于本表未涵盖的商户类别码，各填报机构应根据自身情况按以下大类进行分类。</w:t>
      </w:r>
    </w:p>
    <w:tbl>
      <w:tblPr>
        <w:tblW w:w="9357" w:type="dxa"/>
        <w:tblInd w:w="96" w:type="dxa"/>
        <w:tblLook w:val="0000"/>
      </w:tblPr>
      <w:tblGrid>
        <w:gridCol w:w="2217"/>
        <w:gridCol w:w="2625"/>
        <w:gridCol w:w="4515"/>
      </w:tblGrid>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类别</w:t>
            </w:r>
          </w:p>
        </w:tc>
        <w:tc>
          <w:tcPr>
            <w:tcW w:w="2625" w:type="dxa"/>
            <w:tcBorders>
              <w:top w:val="single" w:sz="4" w:space="0" w:color="auto"/>
              <w:left w:val="nil"/>
              <w:bottom w:val="single" w:sz="4" w:space="0" w:color="auto"/>
              <w:right w:val="single" w:sz="4" w:space="0" w:color="auto"/>
            </w:tcBorders>
            <w:shd w:val="clear" w:color="auto" w:fill="auto"/>
            <w:vAlign w:val="center"/>
          </w:tcPr>
          <w:p w:rsidR="00021C6D" w:rsidRPr="009263D7" w:rsidRDefault="00CB4B9E" w:rsidP="00DA25C1">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MCC</w:t>
            </w:r>
          </w:p>
        </w:tc>
        <w:tc>
          <w:tcPr>
            <w:tcW w:w="4515" w:type="dxa"/>
            <w:tcBorders>
              <w:top w:val="single" w:sz="8" w:space="0" w:color="auto"/>
              <w:left w:val="nil"/>
              <w:bottom w:val="single" w:sz="8" w:space="0" w:color="auto"/>
              <w:right w:val="nil"/>
            </w:tcBorders>
            <w:shd w:val="clear" w:color="auto" w:fill="auto"/>
            <w:vAlign w:val="center"/>
          </w:tcPr>
          <w:p w:rsidR="00021C6D" w:rsidRPr="009263D7" w:rsidRDefault="00CB4B9E" w:rsidP="00DA25C1">
            <w:pPr>
              <w:widowControl/>
              <w:jc w:val="center"/>
              <w:rPr>
                <w:rFonts w:ascii="宋体" w:hAnsi="宋体" w:cs="宋体"/>
                <w:b/>
                <w:bCs/>
                <w:color w:val="000000" w:themeColor="text1"/>
                <w:kern w:val="0"/>
                <w:sz w:val="18"/>
                <w:szCs w:val="18"/>
              </w:rPr>
            </w:pPr>
            <w:r w:rsidRPr="00CB4B9E">
              <w:rPr>
                <w:rFonts w:ascii="宋体" w:hAnsi="宋体" w:cs="宋体" w:hint="eastAsia"/>
                <w:b/>
                <w:bCs/>
                <w:color w:val="000000" w:themeColor="text1"/>
                <w:kern w:val="0"/>
                <w:sz w:val="18"/>
                <w:szCs w:val="18"/>
              </w:rPr>
              <w:t>商</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户</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介</w:t>
            </w:r>
            <w:r w:rsidRPr="00CB4B9E">
              <w:rPr>
                <w:rFonts w:ascii="宋体" w:hAnsi="宋体" w:cs="宋体"/>
                <w:b/>
                <w:bCs/>
                <w:color w:val="000000" w:themeColor="text1"/>
                <w:kern w:val="0"/>
                <w:sz w:val="18"/>
                <w:szCs w:val="18"/>
              </w:rPr>
              <w:t xml:space="preserve"> </w:t>
            </w:r>
            <w:r w:rsidRPr="00CB4B9E">
              <w:rPr>
                <w:rFonts w:ascii="宋体" w:hAnsi="宋体" w:cs="宋体" w:hint="eastAsia"/>
                <w:b/>
                <w:bCs/>
                <w:color w:val="000000" w:themeColor="text1"/>
                <w:kern w:val="0"/>
                <w:sz w:val="18"/>
                <w:szCs w:val="18"/>
              </w:rPr>
              <w:t>绍</w:t>
            </w:r>
          </w:p>
        </w:tc>
      </w:tr>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371B78" w:rsidRDefault="00CB4B9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r w:rsidRPr="00CB4B9E">
              <w:rPr>
                <w:rFonts w:ascii="宋体" w:hAnsi="宋体" w:cs="宋体"/>
                <w:color w:val="000000" w:themeColor="text1"/>
                <w:kern w:val="0"/>
                <w:sz w:val="18"/>
                <w:szCs w:val="18"/>
              </w:rPr>
              <w:t>1．购物</w:t>
            </w:r>
          </w:p>
        </w:tc>
        <w:tc>
          <w:tcPr>
            <w:tcW w:w="2625" w:type="dxa"/>
            <w:tcBorders>
              <w:top w:val="single" w:sz="4" w:space="0" w:color="auto"/>
              <w:left w:val="nil"/>
              <w:bottom w:val="single" w:sz="4" w:space="0" w:color="auto"/>
              <w:right w:val="single" w:sz="4" w:space="0" w:color="auto"/>
            </w:tcBorders>
            <w:shd w:val="clear" w:color="auto" w:fill="auto"/>
            <w:vAlign w:val="center"/>
          </w:tcPr>
          <w:p w:rsidR="00021C6D" w:rsidRPr="009263D7" w:rsidRDefault="00CB4B9E" w:rsidP="00DA25C1">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1．1一般性购物</w:t>
            </w:r>
          </w:p>
        </w:tc>
        <w:tc>
          <w:tcPr>
            <w:tcW w:w="4515" w:type="dxa"/>
            <w:tcBorders>
              <w:top w:val="single" w:sz="8" w:space="0" w:color="auto"/>
              <w:left w:val="nil"/>
              <w:bottom w:val="single" w:sz="8" w:space="0" w:color="auto"/>
              <w:right w:val="nil"/>
            </w:tcBorders>
            <w:shd w:val="clear" w:color="auto" w:fill="auto"/>
            <w:vAlign w:val="center"/>
          </w:tcPr>
          <w:p w:rsidR="00021C6D" w:rsidRPr="009263D7" w:rsidRDefault="00021C6D" w:rsidP="00DA25C1">
            <w:pPr>
              <w:widowControl/>
              <w:jc w:val="center"/>
              <w:rPr>
                <w:rFonts w:ascii="宋体" w:hAnsi="宋体" w:cs="宋体"/>
                <w:b/>
                <w:bCs/>
                <w:color w:val="000000" w:themeColor="text1"/>
                <w:kern w:val="0"/>
                <w:sz w:val="18"/>
                <w:szCs w:val="18"/>
              </w:rPr>
            </w:pPr>
          </w:p>
        </w:tc>
      </w:tr>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021C6D" w:rsidP="00DA25C1">
            <w:pPr>
              <w:widowControl/>
              <w:jc w:val="left"/>
              <w:rPr>
                <w:rFonts w:ascii="宋体" w:hAnsi="宋体" w:cs="宋体"/>
                <w:color w:val="000000" w:themeColor="text1"/>
                <w:kern w:val="0"/>
                <w:sz w:val="18"/>
                <w:szCs w:val="18"/>
              </w:rPr>
            </w:pP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0743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葡萄酒制造商</w:t>
            </w:r>
          </w:p>
        </w:tc>
      </w:tr>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0744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香槟酒制造商</w:t>
            </w:r>
          </w:p>
        </w:tc>
      </w:tr>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2842</w:t>
            </w:r>
          </w:p>
        </w:tc>
        <w:tc>
          <w:tcPr>
            <w:tcW w:w="4515" w:type="dxa"/>
            <w:tcBorders>
              <w:top w:val="nil"/>
              <w:left w:val="nil"/>
              <w:bottom w:val="single" w:sz="8" w:space="0" w:color="auto"/>
              <w:right w:val="nil"/>
            </w:tcBorders>
            <w:shd w:val="clear" w:color="auto" w:fill="FFFFFF"/>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专业清洁、磨光和卫生配制品</w:t>
            </w:r>
          </w:p>
        </w:tc>
      </w:tr>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4812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电信设备及电话销售</w:t>
            </w:r>
          </w:p>
        </w:tc>
      </w:tr>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4900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公用事业——电、气、卫生、水</w:t>
            </w:r>
          </w:p>
        </w:tc>
      </w:tr>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5013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摩托车用品和新部件</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5021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办公和商业家具</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5039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建筑材料—未包括在其他类别之中的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5044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办公、照相、影印、缩微拍摄设备</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5045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计算机及其辅助设备，软件</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5046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商业设备—未包括在其他类别之中的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5065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电子零件和设备</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5072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五金器具设备和用品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5074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管道和供暖设备与用品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5085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工业用品—未包括在其他类别之中的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文具、办公用品、打印纸和书写纸</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布匹、小饰物、其他纺织品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5137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男女制服、儿童制服、商业服装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5139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商业鞋类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5169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化学及合成物—未包括在其他类别之中的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5172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石油和石油产品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5193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种花用品、出圃苗、花卉</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5198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油漆、清漆，及相关用品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非耐用品—未包括在其他类别之中的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5200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家庭日用品大商店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5211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建筑材料、木材店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5231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玻璃、油彩、墙纸店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5251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五金器具店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5261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草地和花园用品店，包括苗圃</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5271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活动房屋经营者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5300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批发俱乐部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5309</w:t>
            </w:r>
          </w:p>
        </w:tc>
        <w:tc>
          <w:tcPr>
            <w:tcW w:w="4515" w:type="dxa"/>
            <w:tcBorders>
              <w:top w:val="nil"/>
              <w:left w:val="nil"/>
              <w:bottom w:val="single" w:sz="4"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免税店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single" w:sz="4" w:space="0" w:color="auto"/>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5310</w:t>
            </w:r>
          </w:p>
        </w:tc>
        <w:tc>
          <w:tcPr>
            <w:tcW w:w="4515" w:type="dxa"/>
            <w:tcBorders>
              <w:top w:val="single" w:sz="4" w:space="0" w:color="auto"/>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打折店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5311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百货公司</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5331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杂货铺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5333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超级市场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5399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各式各样的日用商品店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5411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食品杂货店、超级市场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5422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冷冻、仓储肉的供应者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5499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各式各样的食品店——便利店、专业店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汽车商店、家庭用品商店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5532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汽车轮胎店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5533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汽车零部件店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加油站（有或无辅助服务）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5542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自动售油机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男士、男童服装及搭配物</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5621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女式成衣</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女式搭配物和特殊商品店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儿童和婴儿服装店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家庭服装店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5655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运动服、骑服店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5661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鞋店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5681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毛皮商和毛皮店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5691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男式和女式服装店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5698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假发与男子假发店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5699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搭配物和服装店——各式各样的</w:t>
            </w:r>
          </w:p>
        </w:tc>
      </w:tr>
      <w:tr w:rsidR="00021C6D" w:rsidRPr="009263D7" w:rsidTr="00DA25C1">
        <w:trPr>
          <w:trHeight w:val="636"/>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5712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家具、家用装饰品、设备店及制造商（不包括电器）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5713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地板覆盖物商店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5714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帏帐、窗户覆盖物、室内装潢商店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5715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酒精饮料批发商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5718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火炉、火炉屏风、相关附属设备的商店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5719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各式各样的家用设备店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5722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家用器械店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5732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电器店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5733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音乐商店——乐器、钢琴、活页乐谱</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5734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计算机软件店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5735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音像店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auto"/>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5921</w:t>
            </w:r>
          </w:p>
        </w:tc>
        <w:tc>
          <w:tcPr>
            <w:tcW w:w="4515" w:type="dxa"/>
            <w:tcBorders>
              <w:top w:val="nil"/>
              <w:left w:val="nil"/>
              <w:bottom w:val="single" w:sz="8" w:space="0" w:color="auto"/>
              <w:right w:val="nil"/>
            </w:tcBorders>
            <w:shd w:val="clear" w:color="auto" w:fill="auto"/>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酒类零售店——啤酒、葡萄酒和酒精饮料</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二手店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5932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古董店——出售、修理、修复</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5933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抵押店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5937</w:t>
            </w:r>
          </w:p>
        </w:tc>
        <w:tc>
          <w:tcPr>
            <w:tcW w:w="4515" w:type="dxa"/>
            <w:tcBorders>
              <w:top w:val="nil"/>
              <w:left w:val="nil"/>
              <w:bottom w:val="single" w:sz="4"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古文物复制店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single" w:sz="4" w:space="0" w:color="auto"/>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5940</w:t>
            </w:r>
          </w:p>
        </w:tc>
        <w:tc>
          <w:tcPr>
            <w:tcW w:w="4515" w:type="dxa"/>
            <w:tcBorders>
              <w:top w:val="single" w:sz="4" w:space="0" w:color="auto"/>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自行车店——出售和服务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运动品店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书店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文具、办公室和学校用品店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珠宝、钟表、银器店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业余爱好、玩具、游戏店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相机和照相用品店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礼品、卡片、新奇品、纪念品店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行李箱和皮革制品商店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5949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缝纫、刺绣、纺织物、布匹店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5950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玻璃和水晶器皿店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艺术品商店，手工艺品商店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艺术品交易商和画廊</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邮票和硬币商店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宗教品商店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杂货店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助听器—销售、服务、供给店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整形外科商品和医用修复设备</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化妆品商店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5978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打字机商店—销售、服务和租赁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5983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燃料交易商—燃油、木材、煤炭和液化石油</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5992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种花者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5993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雪茄店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5994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报纸交易商及报摊</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5995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宠物商店，宠物食品和日用品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5996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游泳池—销售、常用品和服务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5997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电动剃须刀商店—销售和服务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5998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帐篷和雨蓬商店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综合及专业零售店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7829</w:t>
            </w:r>
          </w:p>
        </w:tc>
        <w:tc>
          <w:tcPr>
            <w:tcW w:w="4515" w:type="dxa"/>
            <w:tcBorders>
              <w:top w:val="nil"/>
              <w:left w:val="nil"/>
              <w:bottom w:val="single" w:sz="8" w:space="0" w:color="auto"/>
              <w:right w:val="nil"/>
            </w:tcBorders>
            <w:shd w:val="clear" w:color="auto" w:fill="FFFFFF"/>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动画片、音像制品的生产与发行</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7993</w:t>
            </w:r>
          </w:p>
        </w:tc>
        <w:tc>
          <w:tcPr>
            <w:tcW w:w="4515" w:type="dxa"/>
            <w:tcBorders>
              <w:top w:val="nil"/>
              <w:left w:val="nil"/>
              <w:bottom w:val="single" w:sz="8" w:space="0" w:color="auto"/>
              <w:right w:val="nil"/>
            </w:tcBorders>
            <w:shd w:val="clear" w:color="auto" w:fill="FFFFFF"/>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视频娱乐游戏设备</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9405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政府内部购买</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9751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英国超市，电子文档</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9752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英国汽油站，电子文档</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9950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公司内部购买</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021C6D" w:rsidP="00DA25C1">
            <w:pPr>
              <w:widowControl/>
              <w:jc w:val="left"/>
              <w:rPr>
                <w:rFonts w:ascii="宋体" w:hAnsi="宋体" w:cs="宋体"/>
                <w:color w:val="000000" w:themeColor="text1"/>
                <w:kern w:val="0"/>
                <w:sz w:val="18"/>
                <w:szCs w:val="18"/>
              </w:rPr>
            </w:pP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1．2购买耐用品</w:t>
            </w:r>
          </w:p>
        </w:tc>
        <w:tc>
          <w:tcPr>
            <w:tcW w:w="4515" w:type="dxa"/>
            <w:tcBorders>
              <w:top w:val="nil"/>
              <w:left w:val="nil"/>
              <w:bottom w:val="single" w:sz="8" w:space="0" w:color="auto"/>
              <w:right w:val="nil"/>
            </w:tcBorders>
            <w:shd w:val="clear" w:color="auto" w:fill="FFFFFF"/>
            <w:vAlign w:val="center"/>
          </w:tcPr>
          <w:p w:rsidR="00021C6D" w:rsidRPr="009263D7" w:rsidRDefault="00021C6D" w:rsidP="00DA25C1">
            <w:pPr>
              <w:widowControl/>
              <w:jc w:val="center"/>
              <w:rPr>
                <w:rFonts w:ascii="宋体" w:hAnsi="宋体" w:cs="宋体"/>
                <w:b/>
                <w:bCs/>
                <w:color w:val="000000" w:themeColor="text1"/>
                <w:kern w:val="0"/>
                <w:sz w:val="18"/>
                <w:szCs w:val="18"/>
              </w:rPr>
            </w:pP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5094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宝石和金属，手表和珠宝</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耐用品—未包括在其他类别之中的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汽车和卡车（新车或二手车）交易商——销售、服务、</w:t>
            </w:r>
            <w:r w:rsidRPr="00CB4B9E">
              <w:rPr>
                <w:rFonts w:ascii="宋体" w:hAnsi="宋体" w:cs="宋体" w:hint="eastAsia"/>
                <w:color w:val="000000" w:themeColor="text1"/>
                <w:kern w:val="0"/>
                <w:sz w:val="18"/>
                <w:szCs w:val="18"/>
              </w:rPr>
              <w:lastRenderedPageBreak/>
              <w:t>修理、零部件、租赁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5521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汽车和卡车（只限于二手车）交易商—销售、服务、修理、零部件、租赁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船只经销商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5561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野营挂车、娱乐和公用拖车</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5571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摩托车商店和经营者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5592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旅行房车经营者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5598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雪上汽车经营商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5599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各式各样的汽车、飞机、农机具的经销商—未包括在其他类别之中的</w:t>
            </w:r>
          </w:p>
        </w:tc>
      </w:tr>
      <w:tr w:rsidR="00021C6D" w:rsidRPr="009263D7" w:rsidTr="00DA25C1">
        <w:trPr>
          <w:trHeight w:val="456"/>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2．住宿</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021C6D" w:rsidP="00DA25C1">
            <w:pPr>
              <w:widowControl/>
              <w:jc w:val="center"/>
              <w:rPr>
                <w:rFonts w:ascii="宋体" w:hAnsi="宋体" w:cs="宋体"/>
                <w:color w:val="000000" w:themeColor="text1"/>
                <w:kern w:val="0"/>
                <w:sz w:val="18"/>
                <w:szCs w:val="18"/>
              </w:rPr>
            </w:pPr>
          </w:p>
        </w:tc>
        <w:tc>
          <w:tcPr>
            <w:tcW w:w="4515" w:type="dxa"/>
            <w:tcBorders>
              <w:top w:val="nil"/>
              <w:left w:val="nil"/>
              <w:bottom w:val="single" w:sz="8" w:space="0" w:color="auto"/>
              <w:right w:val="nil"/>
            </w:tcBorders>
            <w:shd w:val="clear" w:color="auto" w:fill="FFFFFF"/>
            <w:vAlign w:val="center"/>
          </w:tcPr>
          <w:p w:rsidR="00021C6D" w:rsidRPr="009263D7" w:rsidRDefault="00021C6D" w:rsidP="00DA25C1">
            <w:pPr>
              <w:widowControl/>
              <w:jc w:val="center"/>
              <w:rPr>
                <w:rFonts w:ascii="宋体" w:hAnsi="宋体" w:cs="宋体"/>
                <w:b/>
                <w:bCs/>
                <w:color w:val="000000" w:themeColor="text1"/>
                <w:kern w:val="0"/>
                <w:sz w:val="18"/>
                <w:szCs w:val="18"/>
              </w:rPr>
            </w:pP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3501</w:t>
            </w:r>
            <w:r w:rsidRPr="00CB4B9E">
              <w:rPr>
                <w:rFonts w:ascii="宋体" w:hAnsi="宋体" w:hint="eastAsia"/>
                <w:color w:val="000000" w:themeColor="text1"/>
                <w:kern w:val="0"/>
                <w:sz w:val="18"/>
                <w:szCs w:val="18"/>
              </w:rPr>
              <w:t>到</w:t>
            </w:r>
            <w:r w:rsidRPr="00CB4B9E">
              <w:rPr>
                <w:rFonts w:ascii="宋体" w:hAnsi="宋体"/>
                <w:color w:val="000000" w:themeColor="text1"/>
                <w:kern w:val="0"/>
                <w:sz w:val="18"/>
                <w:szCs w:val="18"/>
              </w:rPr>
              <w:t>3799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住宿——旅馆、酒店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6513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真实不动产代理商和管理者—租赁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7011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住房—旅馆、汽车旅馆、游览胜地—其他处未分类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7012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分时</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3．餐饮</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021C6D" w:rsidP="00DA25C1">
            <w:pPr>
              <w:widowControl/>
              <w:jc w:val="center"/>
              <w:rPr>
                <w:rFonts w:ascii="宋体" w:hAnsi="宋体" w:cs="宋体"/>
                <w:color w:val="000000" w:themeColor="text1"/>
                <w:kern w:val="0"/>
                <w:sz w:val="18"/>
                <w:szCs w:val="18"/>
              </w:rPr>
            </w:pPr>
          </w:p>
        </w:tc>
        <w:tc>
          <w:tcPr>
            <w:tcW w:w="4515" w:type="dxa"/>
            <w:tcBorders>
              <w:top w:val="nil"/>
              <w:left w:val="nil"/>
              <w:bottom w:val="single" w:sz="8" w:space="0" w:color="auto"/>
              <w:right w:val="nil"/>
            </w:tcBorders>
            <w:shd w:val="clear" w:color="auto" w:fill="FFFFFF"/>
            <w:vAlign w:val="center"/>
          </w:tcPr>
          <w:p w:rsidR="00021C6D" w:rsidRPr="009263D7" w:rsidRDefault="00021C6D" w:rsidP="00DA25C1">
            <w:pPr>
              <w:widowControl/>
              <w:jc w:val="center"/>
              <w:rPr>
                <w:rFonts w:ascii="宋体" w:hAnsi="宋体" w:cs="宋体"/>
                <w:b/>
                <w:bCs/>
                <w:color w:val="000000" w:themeColor="text1"/>
                <w:kern w:val="0"/>
                <w:sz w:val="18"/>
                <w:szCs w:val="18"/>
              </w:rPr>
            </w:pP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5441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蜜饯、坚果、糖果店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5451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奶制品商店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5462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面包店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5811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酒宴承办人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5812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公共饮食行业、餐馆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5813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饮酒的地方（酒精饮料）—酒吧、酒馆、夜总会、鸡尾酒会、迪斯科舞厅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5814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快餐店</w:t>
            </w:r>
          </w:p>
        </w:tc>
      </w:tr>
      <w:tr w:rsidR="00021C6D" w:rsidRPr="009263D7" w:rsidTr="00DA25C1">
        <w:trPr>
          <w:trHeight w:val="360"/>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r w:rsidRPr="00CB4B9E">
              <w:rPr>
                <w:rFonts w:ascii="宋体" w:hAnsi="宋体" w:cs="宋体"/>
                <w:color w:val="000000" w:themeColor="text1"/>
                <w:kern w:val="0"/>
                <w:sz w:val="18"/>
                <w:szCs w:val="18"/>
              </w:rPr>
              <w:t>4．当地交通</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021C6D" w:rsidP="00DA25C1">
            <w:pPr>
              <w:widowControl/>
              <w:jc w:val="center"/>
              <w:rPr>
                <w:rFonts w:ascii="宋体" w:hAnsi="宋体" w:cs="宋体"/>
                <w:color w:val="000000" w:themeColor="text1"/>
                <w:kern w:val="0"/>
                <w:sz w:val="18"/>
                <w:szCs w:val="18"/>
              </w:rPr>
            </w:pPr>
          </w:p>
        </w:tc>
        <w:tc>
          <w:tcPr>
            <w:tcW w:w="4515" w:type="dxa"/>
            <w:tcBorders>
              <w:top w:val="nil"/>
              <w:left w:val="nil"/>
              <w:bottom w:val="single" w:sz="8" w:space="0" w:color="auto"/>
              <w:right w:val="nil"/>
            </w:tcBorders>
            <w:shd w:val="clear" w:color="auto" w:fill="FFFFFF"/>
            <w:vAlign w:val="center"/>
          </w:tcPr>
          <w:p w:rsidR="00021C6D" w:rsidRPr="009263D7" w:rsidRDefault="00021C6D" w:rsidP="00DA25C1">
            <w:pPr>
              <w:widowControl/>
              <w:jc w:val="center"/>
              <w:rPr>
                <w:rFonts w:ascii="宋体" w:hAnsi="宋体" w:cs="宋体"/>
                <w:b/>
                <w:bCs/>
                <w:color w:val="000000" w:themeColor="text1"/>
                <w:kern w:val="0"/>
                <w:sz w:val="18"/>
                <w:szCs w:val="18"/>
              </w:rPr>
            </w:pP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3000</w:t>
            </w:r>
            <w:r w:rsidRPr="00CB4B9E">
              <w:rPr>
                <w:rFonts w:ascii="宋体" w:hAnsi="宋体" w:hint="eastAsia"/>
                <w:color w:val="000000" w:themeColor="text1"/>
                <w:kern w:val="0"/>
                <w:sz w:val="18"/>
                <w:szCs w:val="18"/>
              </w:rPr>
              <w:t>到</w:t>
            </w:r>
            <w:r w:rsidRPr="00CB4B9E">
              <w:rPr>
                <w:rFonts w:ascii="宋体" w:hAnsi="宋体"/>
                <w:color w:val="000000" w:themeColor="text1"/>
                <w:kern w:val="0"/>
                <w:sz w:val="18"/>
                <w:szCs w:val="18"/>
              </w:rPr>
              <w:t>3299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航空公司</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3351</w:t>
            </w:r>
            <w:r w:rsidRPr="00CB4B9E">
              <w:rPr>
                <w:rFonts w:ascii="宋体" w:hAnsi="宋体" w:hint="eastAsia"/>
                <w:color w:val="000000" w:themeColor="text1"/>
                <w:kern w:val="0"/>
                <w:sz w:val="18"/>
                <w:szCs w:val="18"/>
              </w:rPr>
              <w:t>到</w:t>
            </w:r>
            <w:r w:rsidRPr="00CB4B9E">
              <w:rPr>
                <w:rFonts w:ascii="宋体" w:hAnsi="宋体"/>
                <w:color w:val="000000" w:themeColor="text1"/>
                <w:kern w:val="0"/>
                <w:sz w:val="18"/>
                <w:szCs w:val="18"/>
              </w:rPr>
              <w:t>3441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汽车租赁公司</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4011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铁路运输</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4111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运输——郊区或地方上乘客的往还服务，包括摆渡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4112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铁路——客运</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4121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豪华轿车与出租车</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4131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公共汽车</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4214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汽车、卡车运输—短途</w:t>
            </w:r>
            <w:r w:rsidRPr="00CB4B9E">
              <w:rPr>
                <w:rFonts w:ascii="宋体" w:hAnsi="宋体" w:cs="宋体"/>
                <w:color w:val="000000" w:themeColor="text1"/>
                <w:kern w:val="0"/>
                <w:sz w:val="18"/>
                <w:szCs w:val="18"/>
              </w:rPr>
              <w:t>/长途，搬运与仓储公司，本地送货</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4215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快递服务——航空、地面，货物运送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4225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公共仓库—农产品、冷冻食品、家用货物的存储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4411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轮船、巡航</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4457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船只租赁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4468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港口，海运服务</w:t>
            </w:r>
            <w:r w:rsidRPr="00CB4B9E">
              <w:rPr>
                <w:rFonts w:ascii="宋体" w:hAnsi="宋体" w:cs="宋体"/>
                <w:color w:val="000000" w:themeColor="text1"/>
                <w:kern w:val="0"/>
                <w:sz w:val="18"/>
                <w:szCs w:val="18"/>
              </w:rPr>
              <w:t>/设备供应</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4511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航空公司</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4582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机场、私人机场、航空集散站</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4722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旅游公司和旅游线经营商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4723</w:t>
            </w:r>
          </w:p>
        </w:tc>
        <w:tc>
          <w:tcPr>
            <w:tcW w:w="4515" w:type="dxa"/>
            <w:tcBorders>
              <w:top w:val="nil"/>
              <w:left w:val="nil"/>
              <w:bottom w:val="single" w:sz="4"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旅游团经营商——德国地区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single" w:sz="4" w:space="0" w:color="auto"/>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4784</w:t>
            </w:r>
          </w:p>
        </w:tc>
        <w:tc>
          <w:tcPr>
            <w:tcW w:w="4515" w:type="dxa"/>
            <w:tcBorders>
              <w:top w:val="single" w:sz="4" w:space="0" w:color="auto"/>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通行费、桥梁费</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4789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运输服务——上述类别之外的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5．教育留学</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021C6D" w:rsidP="00DA25C1">
            <w:pPr>
              <w:widowControl/>
              <w:jc w:val="center"/>
              <w:rPr>
                <w:rFonts w:ascii="宋体" w:hAnsi="宋体" w:cs="宋体"/>
                <w:color w:val="000000" w:themeColor="text1"/>
                <w:kern w:val="0"/>
                <w:sz w:val="18"/>
                <w:szCs w:val="18"/>
              </w:rPr>
            </w:pPr>
          </w:p>
        </w:tc>
        <w:tc>
          <w:tcPr>
            <w:tcW w:w="4515" w:type="dxa"/>
            <w:tcBorders>
              <w:top w:val="nil"/>
              <w:left w:val="nil"/>
              <w:bottom w:val="single" w:sz="8" w:space="0" w:color="auto"/>
              <w:right w:val="nil"/>
            </w:tcBorders>
            <w:shd w:val="clear" w:color="auto" w:fill="FFFFFF"/>
            <w:vAlign w:val="center"/>
          </w:tcPr>
          <w:p w:rsidR="00021C6D" w:rsidRPr="009263D7" w:rsidRDefault="00021C6D" w:rsidP="00DA25C1">
            <w:pPr>
              <w:widowControl/>
              <w:jc w:val="center"/>
              <w:rPr>
                <w:rFonts w:ascii="宋体" w:hAnsi="宋体" w:cs="宋体"/>
                <w:b/>
                <w:bCs/>
                <w:color w:val="000000" w:themeColor="text1"/>
                <w:kern w:val="0"/>
                <w:sz w:val="18"/>
                <w:szCs w:val="18"/>
              </w:rPr>
            </w:pP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7295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托儿所</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8211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小学和中学</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8220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学院、大学、专业学校和大专</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8241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函授学校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8244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商业和文秘学校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8249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贸易和行业学校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8299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学校和教育服务—未在其他地方分类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8351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儿童照料服务</w:t>
            </w:r>
          </w:p>
        </w:tc>
      </w:tr>
      <w:tr w:rsidR="00021C6D" w:rsidRPr="009263D7" w:rsidTr="00DA25C1">
        <w:trPr>
          <w:trHeight w:val="387"/>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color w:val="000000" w:themeColor="text1"/>
                <w:kern w:val="0"/>
                <w:sz w:val="18"/>
                <w:szCs w:val="18"/>
              </w:rPr>
              <w:t>6.其他服务</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s="宋体"/>
                <w:color w:val="000000" w:themeColor="text1"/>
                <w:kern w:val="0"/>
                <w:sz w:val="18"/>
                <w:szCs w:val="18"/>
              </w:rPr>
            </w:pPr>
            <w:r w:rsidRPr="00CB4B9E">
              <w:rPr>
                <w:rFonts w:ascii="宋体" w:hAnsi="宋体" w:cs="宋体"/>
                <w:color w:val="000000" w:themeColor="text1"/>
                <w:kern w:val="0"/>
                <w:sz w:val="18"/>
                <w:szCs w:val="18"/>
              </w:rPr>
              <w:t>6.1其他服务1</w:t>
            </w:r>
          </w:p>
        </w:tc>
        <w:tc>
          <w:tcPr>
            <w:tcW w:w="4515" w:type="dxa"/>
            <w:tcBorders>
              <w:top w:val="nil"/>
              <w:left w:val="nil"/>
              <w:bottom w:val="single" w:sz="8" w:space="0" w:color="auto"/>
              <w:right w:val="nil"/>
            </w:tcBorders>
            <w:shd w:val="clear" w:color="auto" w:fill="FFFFFF"/>
            <w:vAlign w:val="center"/>
          </w:tcPr>
          <w:p w:rsidR="00021C6D" w:rsidRPr="009263D7" w:rsidRDefault="00021C6D" w:rsidP="00DA25C1">
            <w:pPr>
              <w:widowControl/>
              <w:jc w:val="center"/>
              <w:rPr>
                <w:rFonts w:ascii="宋体" w:hAnsi="宋体" w:cs="宋体"/>
                <w:b/>
                <w:bCs/>
                <w:color w:val="000000" w:themeColor="text1"/>
                <w:kern w:val="0"/>
                <w:sz w:val="18"/>
                <w:szCs w:val="18"/>
              </w:rPr>
            </w:pP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0742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兽医服务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0780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园艺、景观美化服务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1520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总承包商—民用和商业建筑</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1711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空调、供暖、管道设备服务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1731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电子服务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1740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石工、石雕、瓷砖安装、粉刷与绝缘承包服务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1750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木匠服务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1761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屋顶、壁板、金属片安装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1771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混凝土工程</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1799</w:t>
            </w:r>
          </w:p>
        </w:tc>
        <w:tc>
          <w:tcPr>
            <w:tcW w:w="4515" w:type="dxa"/>
            <w:tcBorders>
              <w:top w:val="nil"/>
              <w:left w:val="nil"/>
              <w:bottom w:val="single" w:sz="4"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合同商—未包括在其他类别之中的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single" w:sz="4" w:space="0" w:color="auto"/>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2741</w:t>
            </w:r>
          </w:p>
        </w:tc>
        <w:tc>
          <w:tcPr>
            <w:tcW w:w="4515" w:type="dxa"/>
            <w:tcBorders>
              <w:top w:val="single" w:sz="4" w:space="0" w:color="auto"/>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各式各样的出版和印刷服务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2791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排版、制版及相关服务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4813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键盘登录式电信运营商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4814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电信服务，包括市话和长途电话、信用卡电话、磁卡电话和传真电话业务等</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4815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每月电话汇总清账</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4816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计算机网络</w:t>
            </w:r>
            <w:r w:rsidRPr="00CB4B9E">
              <w:rPr>
                <w:rFonts w:ascii="宋体" w:hAnsi="宋体" w:cs="宋体"/>
                <w:color w:val="000000" w:themeColor="text1"/>
                <w:kern w:val="0"/>
                <w:sz w:val="18"/>
                <w:szCs w:val="18"/>
              </w:rPr>
              <w:t>/信息服务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4821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电报服务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4899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电缆及其他收费电视服务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5051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金属服务中心或办公室</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5192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书籍、期刊、报纸</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5697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裁缝、针线活、修补、服装修改</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5935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打捞救助场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直销—保险服务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电话销售——旅游安排服务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挨户访问的销售</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直接营销——目录商户</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直接营销——目录和零售商户的组合</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直接营销——商户主动联系式的电话销售</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直接营销——客户主动联系式的电话销售</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直接营销——连续的</w:t>
            </w:r>
            <w:r w:rsidRPr="00CB4B9E">
              <w:rPr>
                <w:rFonts w:ascii="宋体" w:hAnsi="宋体" w:cs="宋体"/>
                <w:color w:val="000000" w:themeColor="text1"/>
                <w:kern w:val="0"/>
                <w:sz w:val="18"/>
                <w:szCs w:val="18"/>
              </w:rPr>
              <w:t>/订阅商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5969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直接营销</w:t>
            </w:r>
            <w:r w:rsidRPr="00CB4B9E">
              <w:rPr>
                <w:rFonts w:ascii="宋体" w:hAnsi="宋体" w:cs="宋体"/>
                <w:color w:val="000000" w:themeColor="text1"/>
                <w:kern w:val="0"/>
                <w:sz w:val="18"/>
                <w:szCs w:val="18"/>
              </w:rPr>
              <w:t>/直接市场商人—未在其他地方归类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6010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金融机构—银行柜台服务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6011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金融机构—自动提款机服务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6300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保险销售，承销和保险费</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6381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保险</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6399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保险－未分类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7032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运动和娱乐营地</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7033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color w:val="000000" w:themeColor="text1"/>
                <w:kern w:val="0"/>
                <w:sz w:val="18"/>
                <w:szCs w:val="18"/>
              </w:rPr>
              <w:t>(家庭拖车)停车场和野营地</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7210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干洗、清洁和服装服务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洗衣店服务—家用和商用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7216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干燥清洁器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7217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地毯和室内装潢清洁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7221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照相摄影室</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7230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美容和理发店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修鞋店、擦鞋店、洗帽店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7261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殡葬服务和火葬场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7273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约会和护卫活动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7276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税务准备服务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7277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咨询服务—债务，婚姻，个人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7278</w:t>
            </w:r>
          </w:p>
        </w:tc>
        <w:tc>
          <w:tcPr>
            <w:tcW w:w="4515" w:type="dxa"/>
            <w:tcBorders>
              <w:top w:val="nil"/>
              <w:left w:val="nil"/>
              <w:bottom w:val="single" w:sz="4"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购物和售物服务及俱乐部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single" w:sz="4" w:space="0" w:color="auto"/>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7296</w:t>
            </w:r>
          </w:p>
        </w:tc>
        <w:tc>
          <w:tcPr>
            <w:tcW w:w="4515" w:type="dxa"/>
            <w:tcBorders>
              <w:top w:val="single" w:sz="4" w:space="0" w:color="auto"/>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服装租赁—剧装、制服和正装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7297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按摩室</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7298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健康和美容中心</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7299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其他个人服务—未在其他地方分类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广告服务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7321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个人信用报告商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7322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收债代理商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7332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影印服务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7333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商业摄影、艺术、图形设计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7338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快印、复制和制作蓝图服务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7339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速记和秘书支持服务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7349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清洁和维护，看门服务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7361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猎头服务商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7372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计算机编程、数据处理、系统整合设计服务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7375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数据检索服务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7379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计算机维修、保养服务—未包括在其他类别之中的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7392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管理、咨询和公关服务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7393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侦探机构、保护机构、包括装甲车的安全服务、警犬</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7394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设备租赁服务、工具租贷、家具租贷</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7395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照片印、扩室</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7399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商业服务—未包括在其他类别之中的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货品停放交易</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7512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汽车租赁代理机构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7513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卡车和公用拖车租赁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7519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汽车之家和娱乐性交通工具租赁</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7523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汽车停车场和车库</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车身修理店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7534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胎面翻新和修理店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7535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汽车喷漆店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7538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汽车服务店（非经销商）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7542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洗车</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7549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牵引支架服务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7622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电子修理店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7623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空调和冰箱修理店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7629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电子和小用具修理店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7631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手表、钟表和宝石修理店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7641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家具—重装椅面、修理、整修表面</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7692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焊接修理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7699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多种业务混杂的修理店和相关服务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7832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动画片剧场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7841</w:t>
            </w:r>
          </w:p>
        </w:tc>
        <w:tc>
          <w:tcPr>
            <w:tcW w:w="4515" w:type="dxa"/>
            <w:tcBorders>
              <w:top w:val="nil"/>
              <w:left w:val="nil"/>
              <w:bottom w:val="single" w:sz="4"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录象娱乐带出租店</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single" w:sz="4" w:space="0" w:color="auto"/>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7911</w:t>
            </w:r>
          </w:p>
        </w:tc>
        <w:tc>
          <w:tcPr>
            <w:tcW w:w="4515" w:type="dxa"/>
            <w:tcBorders>
              <w:top w:val="single" w:sz="4" w:space="0" w:color="auto"/>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舞厅、舞蹈房和舞蹈学校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7922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戏剧生产商（动画片除外）票务代理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7929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乐队、管弦乐队和混合性娱乐者—未在其他地方分类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7932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台球和舞池经营者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7933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保龄球</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商业运动、专业运动俱乐部、运动场、运动推广商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7991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针对旅游者的表演和展览</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7992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公共高尔夫球场</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7994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视频游戏中心</w:t>
            </w:r>
            <w:r w:rsidRPr="00CB4B9E">
              <w:rPr>
                <w:rFonts w:ascii="宋体" w:hAnsi="宋体" w:cs="宋体"/>
                <w:color w:val="000000" w:themeColor="text1"/>
                <w:kern w:val="0"/>
                <w:sz w:val="18"/>
                <w:szCs w:val="18"/>
              </w:rPr>
              <w:t>/设施</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7996</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游乐园、马戏表演、狂欢节、算命者</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7997</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俱乐部—乡村俱乐部、会员俱乐部（运动、休闲、体育），私人高尔夫俱乐部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7998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水族馆、海洋馆和海豚馆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7999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娱乐服务—未在其他地方分类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8111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律师，法律服务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8398</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组织，慈善、社会服务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8641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协会—居民、社会、互助会</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8675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汽车协会</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8699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会员组织—未在其他地方分类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8734</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检测实验室（非医学）</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8911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建筑、工程和测量服务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8931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会计、审计和记账服务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8999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专业服务—未包括在其他类别之中的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9399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政府服务—未在其他地方分类</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9402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邮政服务—仅限于政府</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9700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国际自动介绍服务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9701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tabs>
                <w:tab w:val="center" w:pos="4153"/>
                <w:tab w:val="right" w:pos="8306"/>
              </w:tabs>
              <w:snapToGrid w:val="0"/>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威士组织介绍信的服务商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tabs>
                <w:tab w:val="center" w:pos="4153"/>
                <w:tab w:val="right" w:pos="8306"/>
              </w:tabs>
              <w:snapToGrid w:val="0"/>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tabs>
                <w:tab w:val="center" w:pos="4153"/>
                <w:tab w:val="right" w:pos="8306"/>
              </w:tabs>
              <w:snapToGrid w:val="0"/>
              <w:jc w:val="center"/>
              <w:rPr>
                <w:rFonts w:ascii="宋体" w:hAnsi="宋体"/>
                <w:color w:val="000000" w:themeColor="text1"/>
                <w:kern w:val="0"/>
                <w:sz w:val="18"/>
                <w:szCs w:val="18"/>
              </w:rPr>
            </w:pPr>
            <w:r w:rsidRPr="00CB4B9E">
              <w:rPr>
                <w:rFonts w:ascii="宋体" w:hAnsi="宋体"/>
                <w:color w:val="000000" w:themeColor="text1"/>
                <w:kern w:val="0"/>
                <w:sz w:val="18"/>
                <w:szCs w:val="18"/>
              </w:rPr>
              <w:t>6</w:t>
            </w:r>
            <w:r w:rsidRPr="00CB4B9E">
              <w:rPr>
                <w:rFonts w:ascii="宋体" w:hAnsi="宋体" w:hint="eastAsia"/>
                <w:color w:val="000000" w:themeColor="text1"/>
                <w:kern w:val="0"/>
                <w:sz w:val="18"/>
                <w:szCs w:val="18"/>
              </w:rPr>
              <w:t>．</w:t>
            </w:r>
            <w:r w:rsidRPr="00CB4B9E">
              <w:rPr>
                <w:rFonts w:ascii="宋体" w:hAnsi="宋体"/>
                <w:color w:val="000000" w:themeColor="text1"/>
                <w:kern w:val="0"/>
                <w:sz w:val="18"/>
                <w:szCs w:val="18"/>
              </w:rPr>
              <w:t>2其他服务2</w:t>
            </w:r>
          </w:p>
        </w:tc>
        <w:tc>
          <w:tcPr>
            <w:tcW w:w="4515" w:type="dxa"/>
            <w:tcBorders>
              <w:top w:val="nil"/>
              <w:left w:val="nil"/>
              <w:bottom w:val="single" w:sz="8" w:space="0" w:color="auto"/>
              <w:right w:val="nil"/>
            </w:tcBorders>
            <w:shd w:val="clear" w:color="auto" w:fill="FFFFFF"/>
            <w:vAlign w:val="center"/>
          </w:tcPr>
          <w:p w:rsidR="00021C6D" w:rsidRPr="009263D7" w:rsidRDefault="00021C6D" w:rsidP="00DA25C1">
            <w:pPr>
              <w:widowControl/>
              <w:jc w:val="center"/>
              <w:rPr>
                <w:rFonts w:ascii="宋体" w:hAnsi="宋体"/>
                <w:color w:val="000000" w:themeColor="text1"/>
                <w:kern w:val="0"/>
                <w:sz w:val="18"/>
                <w:szCs w:val="18"/>
              </w:rPr>
            </w:pP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0763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农业合作社</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4829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电汇和汇票、资金划转</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6012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金融机构—产品、服务</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6050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准现金—会员金融机构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6051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非金融机构—外汇、汇票（不包括电汇）、临时单据和旅行支票</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6211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债券—经纪人和交易商</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6529</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远程存值—会员金融机构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6530</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远程存值—商户</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6531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支付服务公司—购买项下货币转账</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6532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支付服务公司—会员金融机构（支付交易）</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6533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支付服务公司—商户（支付交易）</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6534</w:t>
            </w:r>
          </w:p>
        </w:tc>
        <w:tc>
          <w:tcPr>
            <w:tcW w:w="4515" w:type="dxa"/>
            <w:tcBorders>
              <w:top w:val="nil"/>
              <w:left w:val="nil"/>
              <w:bottom w:val="single" w:sz="4"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资金划转—会员金融机构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single" w:sz="4" w:space="0" w:color="auto"/>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6535</w:t>
            </w:r>
          </w:p>
        </w:tc>
        <w:tc>
          <w:tcPr>
            <w:tcW w:w="4515" w:type="dxa"/>
            <w:tcBorders>
              <w:top w:val="single" w:sz="4" w:space="0" w:color="auto"/>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购买代币券—会员金融机构</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7995</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赌博交易</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8651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政治组织</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8661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宗教组织</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9211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法庭费用，包括赡养费和孩子抚养费</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9222</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罚款</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9223</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保证金和保释金付款</w:t>
            </w:r>
          </w:p>
        </w:tc>
      </w:tr>
      <w:tr w:rsidR="00021C6D" w:rsidRPr="009263D7" w:rsidTr="00DA25C1">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021C6D" w:rsidRPr="009263D7" w:rsidRDefault="00CB4B9E" w:rsidP="00DA25C1">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021C6D" w:rsidRPr="009263D7" w:rsidRDefault="00CB4B9E" w:rsidP="00DA25C1">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9311</w:t>
            </w:r>
          </w:p>
        </w:tc>
        <w:tc>
          <w:tcPr>
            <w:tcW w:w="4515" w:type="dxa"/>
            <w:tcBorders>
              <w:top w:val="nil"/>
              <w:left w:val="nil"/>
              <w:bottom w:val="single" w:sz="8" w:space="0" w:color="auto"/>
              <w:right w:val="nil"/>
            </w:tcBorders>
            <w:shd w:val="clear" w:color="auto" w:fill="FFFFFF"/>
            <w:vAlign w:val="center"/>
          </w:tcPr>
          <w:p w:rsidR="00021C6D" w:rsidRPr="009263D7" w:rsidRDefault="00CB4B9E" w:rsidP="00DA25C1">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税务支付</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371B78" w:rsidRDefault="00CB4B9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r w:rsidRPr="00CB4B9E">
              <w:rPr>
                <w:rFonts w:ascii="宋体" w:hAnsi="宋体" w:cs="宋体"/>
                <w:color w:val="000000" w:themeColor="text1"/>
                <w:kern w:val="0"/>
                <w:sz w:val="18"/>
                <w:szCs w:val="18"/>
              </w:rPr>
              <w:t>7．提现</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703248" w:rsidP="00BC338E">
            <w:pPr>
              <w:widowControl/>
              <w:jc w:val="center"/>
              <w:rPr>
                <w:rFonts w:ascii="宋体" w:hAnsi="宋体"/>
                <w:color w:val="000000" w:themeColor="text1"/>
                <w:kern w:val="0"/>
                <w:sz w:val="18"/>
                <w:szCs w:val="18"/>
              </w:rPr>
            </w:pPr>
          </w:p>
        </w:tc>
        <w:tc>
          <w:tcPr>
            <w:tcW w:w="4515" w:type="dxa"/>
            <w:tcBorders>
              <w:top w:val="nil"/>
              <w:left w:val="nil"/>
              <w:bottom w:val="single" w:sz="8" w:space="0" w:color="auto"/>
              <w:right w:val="nil"/>
            </w:tcBorders>
            <w:shd w:val="clear" w:color="auto" w:fill="FFFFFF"/>
            <w:vAlign w:val="center"/>
          </w:tcPr>
          <w:p w:rsidR="00703248" w:rsidRPr="009263D7" w:rsidRDefault="00703248" w:rsidP="00703248">
            <w:pPr>
              <w:widowControl/>
              <w:rPr>
                <w:rFonts w:ascii="宋体" w:hAnsi="宋体" w:cs="宋体"/>
                <w:color w:val="000000" w:themeColor="text1"/>
                <w:kern w:val="0"/>
                <w:sz w:val="18"/>
                <w:szCs w:val="18"/>
              </w:rPr>
            </w:pP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371B78" w:rsidRDefault="00CB4B9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r w:rsidRPr="00CB4B9E">
              <w:rPr>
                <w:rFonts w:ascii="宋体" w:hAnsi="宋体" w:cs="宋体"/>
                <w:color w:val="000000" w:themeColor="text1"/>
                <w:kern w:val="0"/>
                <w:sz w:val="18"/>
                <w:szCs w:val="18"/>
              </w:rPr>
              <w:t>8</w:t>
            </w:r>
            <w:r w:rsidRPr="00CB4B9E">
              <w:rPr>
                <w:rFonts w:ascii="宋体" w:hAnsi="宋体" w:cs="宋体" w:hint="eastAsia"/>
                <w:color w:val="000000" w:themeColor="text1"/>
                <w:kern w:val="0"/>
                <w:sz w:val="18"/>
                <w:szCs w:val="18"/>
              </w:rPr>
              <w:t>．医疗保健</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703248" w:rsidP="00BC338E">
            <w:pPr>
              <w:widowControl/>
              <w:jc w:val="center"/>
              <w:rPr>
                <w:rFonts w:ascii="宋体" w:hAnsi="宋体"/>
                <w:color w:val="000000" w:themeColor="text1"/>
                <w:kern w:val="0"/>
                <w:sz w:val="18"/>
                <w:szCs w:val="18"/>
              </w:rPr>
            </w:pPr>
          </w:p>
        </w:tc>
        <w:tc>
          <w:tcPr>
            <w:tcW w:w="4515" w:type="dxa"/>
            <w:tcBorders>
              <w:top w:val="nil"/>
              <w:left w:val="nil"/>
              <w:bottom w:val="single" w:sz="8" w:space="0" w:color="auto"/>
              <w:right w:val="nil"/>
            </w:tcBorders>
            <w:shd w:val="clear" w:color="auto" w:fill="FFFFFF"/>
            <w:vAlign w:val="center"/>
          </w:tcPr>
          <w:p w:rsidR="00703248" w:rsidRPr="009263D7" w:rsidRDefault="00703248" w:rsidP="00703248">
            <w:pPr>
              <w:widowControl/>
              <w:rPr>
                <w:rFonts w:ascii="宋体" w:hAnsi="宋体" w:cs="宋体"/>
                <w:color w:val="000000" w:themeColor="text1"/>
                <w:kern w:val="0"/>
                <w:sz w:val="18"/>
                <w:szCs w:val="18"/>
              </w:rPr>
            </w:pP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4119</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救护车服务</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5047</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牙科</w:t>
            </w:r>
            <w:r w:rsidRPr="00CB4B9E">
              <w:rPr>
                <w:rFonts w:ascii="宋体" w:hAnsi="宋体" w:cs="宋体"/>
                <w:color w:val="000000" w:themeColor="text1"/>
                <w:kern w:val="0"/>
                <w:sz w:val="18"/>
                <w:szCs w:val="18"/>
              </w:rPr>
              <w:t>/实验室/医学/眼科医院的设备和用品</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5122</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药品、药品经营者、药剂商的各种杂物</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5912</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药店</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7280</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私人医院</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7342</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消菌和抗感染服务</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8011</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医生及医师—未在其他地方分类</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lastRenderedPageBreak/>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8021</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牙医及畸齿矫正医师</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8031</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整骨疗法家</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8041</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脊椎指压治疗者</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8042</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验光师和检眼师</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8043</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眼镜商、光学商品和眼镜</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8044</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光学眼镜店</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8049</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足病医生和手足病医生</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8050</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护理和个人照顾设施</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8062</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医院</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8071</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医学和牙科实验室</w:t>
            </w:r>
          </w:p>
        </w:tc>
      </w:tr>
      <w:tr w:rsidR="00703248" w:rsidRPr="009263D7" w:rsidTr="00703248">
        <w:trPr>
          <w:trHeight w:val="324"/>
        </w:trPr>
        <w:tc>
          <w:tcPr>
            <w:tcW w:w="2217" w:type="dxa"/>
            <w:tcBorders>
              <w:top w:val="single" w:sz="4" w:space="0" w:color="auto"/>
              <w:bottom w:val="single" w:sz="4" w:space="0" w:color="auto"/>
              <w:right w:val="single" w:sz="4" w:space="0" w:color="auto"/>
            </w:tcBorders>
            <w:shd w:val="clear" w:color="auto" w:fill="auto"/>
            <w:noWrap/>
            <w:vAlign w:val="center"/>
          </w:tcPr>
          <w:p w:rsidR="00703248" w:rsidRPr="009263D7" w:rsidRDefault="00CB4B9E" w:rsidP="00BC338E">
            <w:pPr>
              <w:widowControl/>
              <w:jc w:val="left"/>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 xml:space="preserve">　</w:t>
            </w:r>
          </w:p>
        </w:tc>
        <w:tc>
          <w:tcPr>
            <w:tcW w:w="2625" w:type="dxa"/>
            <w:tcBorders>
              <w:top w:val="nil"/>
              <w:left w:val="nil"/>
              <w:bottom w:val="single" w:sz="4" w:space="0" w:color="auto"/>
              <w:right w:val="single" w:sz="4" w:space="0" w:color="auto"/>
            </w:tcBorders>
            <w:shd w:val="clear" w:color="auto" w:fill="FFFFFF"/>
            <w:vAlign w:val="center"/>
          </w:tcPr>
          <w:p w:rsidR="00703248" w:rsidRPr="009263D7" w:rsidRDefault="00CB4B9E" w:rsidP="00BC338E">
            <w:pPr>
              <w:widowControl/>
              <w:jc w:val="center"/>
              <w:rPr>
                <w:rFonts w:ascii="宋体" w:hAnsi="宋体"/>
                <w:color w:val="000000" w:themeColor="text1"/>
                <w:kern w:val="0"/>
                <w:sz w:val="18"/>
                <w:szCs w:val="18"/>
              </w:rPr>
            </w:pPr>
            <w:r w:rsidRPr="00CB4B9E">
              <w:rPr>
                <w:rFonts w:ascii="宋体" w:hAnsi="宋体"/>
                <w:color w:val="000000" w:themeColor="text1"/>
                <w:kern w:val="0"/>
                <w:sz w:val="18"/>
                <w:szCs w:val="18"/>
              </w:rPr>
              <w:t>8099</w:t>
            </w:r>
          </w:p>
        </w:tc>
        <w:tc>
          <w:tcPr>
            <w:tcW w:w="4515" w:type="dxa"/>
            <w:tcBorders>
              <w:top w:val="nil"/>
              <w:left w:val="nil"/>
              <w:bottom w:val="single" w:sz="8" w:space="0" w:color="auto"/>
              <w:right w:val="nil"/>
            </w:tcBorders>
            <w:shd w:val="clear" w:color="auto" w:fill="FFFFFF"/>
            <w:vAlign w:val="center"/>
          </w:tcPr>
          <w:p w:rsidR="00703248" w:rsidRPr="009263D7" w:rsidRDefault="00CB4B9E" w:rsidP="00BC338E">
            <w:pPr>
              <w:widowControl/>
              <w:rPr>
                <w:rFonts w:ascii="宋体" w:hAnsi="宋体" w:cs="宋体"/>
                <w:color w:val="000000" w:themeColor="text1"/>
                <w:kern w:val="0"/>
                <w:sz w:val="18"/>
                <w:szCs w:val="18"/>
              </w:rPr>
            </w:pPr>
            <w:r w:rsidRPr="00CB4B9E">
              <w:rPr>
                <w:rFonts w:ascii="宋体" w:hAnsi="宋体" w:cs="宋体" w:hint="eastAsia"/>
                <w:color w:val="000000" w:themeColor="text1"/>
                <w:kern w:val="0"/>
                <w:sz w:val="18"/>
                <w:szCs w:val="18"/>
              </w:rPr>
              <w:t>医疗服务、健康实践—未在其他地方分类</w:t>
            </w:r>
          </w:p>
        </w:tc>
      </w:tr>
    </w:tbl>
    <w:p w:rsidR="00021C6D" w:rsidRPr="009263D7" w:rsidRDefault="00021C6D" w:rsidP="00021C6D">
      <w:pPr>
        <w:ind w:firstLineChars="200" w:firstLine="360"/>
        <w:rPr>
          <w:rFonts w:ascii="宋体" w:hAnsi="宋体"/>
          <w:color w:val="000000" w:themeColor="text1"/>
          <w:sz w:val="18"/>
          <w:szCs w:val="18"/>
        </w:rPr>
      </w:pPr>
    </w:p>
    <w:p w:rsidR="00021C6D" w:rsidRPr="009263D7" w:rsidRDefault="00CB4B9E" w:rsidP="00021C6D">
      <w:pPr>
        <w:rPr>
          <w:rFonts w:ascii="宋体" w:hAnsi="宋体"/>
          <w:color w:val="000000" w:themeColor="text1"/>
          <w:sz w:val="18"/>
          <w:szCs w:val="18"/>
        </w:rPr>
      </w:pPr>
      <w:r w:rsidRPr="00CB4B9E">
        <w:rPr>
          <w:rFonts w:ascii="仿宋_GB2312" w:eastAsia="仿宋_GB2312" w:hint="eastAsia"/>
          <w:color w:val="000000" w:themeColor="text1"/>
          <w:szCs w:val="21"/>
        </w:rPr>
        <w:t>注:商户类别码（MCC）分类标准为威士（Visa）、万事达（MasterCard）、运通（American</w:t>
      </w:r>
      <w:r w:rsidRPr="00CB4B9E">
        <w:rPr>
          <w:rFonts w:ascii="仿宋_GB2312" w:eastAsia="仿宋_GB2312"/>
          <w:color w:val="000000" w:themeColor="text1"/>
          <w:szCs w:val="21"/>
        </w:rPr>
        <w:t xml:space="preserve"> </w:t>
      </w:r>
      <w:r w:rsidRPr="00CB4B9E">
        <w:rPr>
          <w:rFonts w:ascii="仿宋_GB2312" w:eastAsia="仿宋_GB2312" w:hint="eastAsia"/>
          <w:color w:val="000000" w:themeColor="text1"/>
          <w:szCs w:val="21"/>
        </w:rPr>
        <w:t>Express）、JCB四个银行卡组织的商户类别码。</w:t>
      </w:r>
    </w:p>
    <w:p w:rsidR="00021C6D" w:rsidRPr="009263D7" w:rsidRDefault="00021C6D" w:rsidP="00021C6D">
      <w:pPr>
        <w:rPr>
          <w:rFonts w:ascii="宋体" w:hAnsi="宋体"/>
          <w:color w:val="000000" w:themeColor="text1"/>
          <w:sz w:val="18"/>
          <w:szCs w:val="18"/>
        </w:rPr>
      </w:pPr>
    </w:p>
    <w:p w:rsidR="00A67CEB" w:rsidRPr="009263D7" w:rsidRDefault="00A67CEB" w:rsidP="00693C93">
      <w:pPr>
        <w:jc w:val="center"/>
        <w:rPr>
          <w:rFonts w:ascii="宋体" w:hAnsi="宋体"/>
          <w:color w:val="000000" w:themeColor="text1"/>
          <w:sz w:val="18"/>
          <w:szCs w:val="18"/>
        </w:rPr>
        <w:sectPr w:rsidR="00A67CEB" w:rsidRPr="009263D7" w:rsidSect="00B154A0">
          <w:pgSz w:w="11907" w:h="16840" w:code="9"/>
          <w:pgMar w:top="1418" w:right="1247" w:bottom="1247" w:left="1247" w:header="851" w:footer="992" w:gutter="0"/>
          <w:cols w:space="425"/>
          <w:titlePg/>
          <w:docGrid w:type="lines" w:linePitch="312"/>
        </w:sectPr>
      </w:pP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299" w:name="_Toc452019950"/>
      <w:r w:rsidRPr="00CB4B9E">
        <w:rPr>
          <w:rFonts w:ascii="宋体" w:hAnsi="宋体" w:hint="eastAsia"/>
          <w:b w:val="0"/>
          <w:color w:val="000000" w:themeColor="text1"/>
          <w:sz w:val="28"/>
          <w:szCs w:val="28"/>
        </w:rPr>
        <w:lastRenderedPageBreak/>
        <w:t>国际组织名录</w:t>
      </w:r>
      <w:bookmarkEnd w:id="299"/>
    </w:p>
    <w:tbl>
      <w:tblPr>
        <w:tblW w:w="5000" w:type="pct"/>
        <w:tblLook w:val="04A0"/>
      </w:tblPr>
      <w:tblGrid>
        <w:gridCol w:w="851"/>
        <w:gridCol w:w="3000"/>
        <w:gridCol w:w="3000"/>
        <w:gridCol w:w="1467"/>
        <w:gridCol w:w="1794"/>
        <w:gridCol w:w="1794"/>
        <w:gridCol w:w="2268"/>
      </w:tblGrid>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序号</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国际组织（英文）</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国际组织（中文）</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首字母缩写</w:t>
            </w:r>
          </w:p>
        </w:tc>
        <w:tc>
          <w:tcPr>
            <w:tcW w:w="633" w:type="pct"/>
            <w:tcBorders>
              <w:top w:val="single" w:sz="4" w:space="0" w:color="auto"/>
              <w:left w:val="nil"/>
              <w:bottom w:val="single" w:sz="4" w:space="0" w:color="auto"/>
              <w:right w:val="single" w:sz="4" w:space="0" w:color="auto"/>
            </w:tcBorders>
            <w:shd w:val="clear" w:color="000000" w:fill="FFFFFF"/>
            <w:vAlign w:val="center"/>
            <w:hideMark/>
          </w:tcPr>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总部所在地</w:t>
            </w:r>
          </w:p>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（英文）</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总部所在地</w:t>
            </w:r>
          </w:p>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（中文）</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所属部门</w:t>
            </w:r>
          </w:p>
          <w:p w:rsidR="00A67CEB" w:rsidRPr="009263D7" w:rsidRDefault="00CB4B9E" w:rsidP="00A67CEB">
            <w:pPr>
              <w:widowControl/>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w:t>
            </w:r>
            <w:r w:rsidRPr="00CB4B9E">
              <w:rPr>
                <w:rFonts w:ascii="宋体" w:hAnsi="宋体" w:cs="Arial"/>
                <w:b/>
                <w:bCs/>
                <w:color w:val="000000" w:themeColor="text1"/>
                <w:kern w:val="0"/>
                <w:sz w:val="18"/>
                <w:szCs w:val="18"/>
              </w:rPr>
              <w:t>FAL报送使用）</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African Development Bank Group</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非洲开发银行集团</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AfDB</w:t>
            </w:r>
          </w:p>
        </w:tc>
        <w:tc>
          <w:tcPr>
            <w:tcW w:w="633" w:type="pct"/>
            <w:tcBorders>
              <w:top w:val="nil"/>
              <w:left w:val="nil"/>
              <w:bottom w:val="single" w:sz="4" w:space="0" w:color="auto"/>
              <w:right w:val="single" w:sz="4" w:space="0" w:color="auto"/>
            </w:tcBorders>
            <w:shd w:val="clear" w:color="000000" w:fill="FFFFFF"/>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Abidjan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阿比让</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African Union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非洲联盟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Addis Ababa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亚的斯亚贝巴</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Andean Development Corporation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安第斯开发公司</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ADC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Caracas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加拉加斯</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Arab Bank for Economic Development in Africa</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阿拉伯非洲经济开发银行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BADEA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Khartoum</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喀土穆</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Arab Fund for Economic and Social Development</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阿拉伯经济与社会发展基金</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AFESD</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Kuwait</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科威特</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Arab Monetary Fund</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阿拉伯货币基金组织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AMF</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Abu Dhabi</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阿布扎比</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Asian Clearing Union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亚洲清算联盟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ACU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Tehran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德黑兰</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Asian Development Bank</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亚洲开发银行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ADB</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Manila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马尼拉</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Association of Southeast Asian Nations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东南亚国家联盟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ASEAN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Jakarta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雅加达</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Caribbean Community and Common Market</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加勒比共同体和共同市场</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CARICOM</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Georgetown (Guyana)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乔治敦</w:t>
            </w:r>
            <w:r w:rsidRPr="00CB4B9E">
              <w:rPr>
                <w:rFonts w:ascii="宋体" w:hAnsi="宋体" w:cs="Arial"/>
                <w:color w:val="000000" w:themeColor="text1"/>
                <w:kern w:val="0"/>
                <w:sz w:val="18"/>
                <w:szCs w:val="18"/>
              </w:rPr>
              <w:t>(</w:t>
            </w:r>
            <w:r w:rsidRPr="00CB4B9E">
              <w:rPr>
                <w:rFonts w:ascii="宋体" w:hAnsi="宋体" w:cs="Arial" w:hint="eastAsia"/>
                <w:color w:val="000000" w:themeColor="text1"/>
                <w:kern w:val="0"/>
                <w:sz w:val="18"/>
                <w:szCs w:val="18"/>
              </w:rPr>
              <w:t>圭亚那</w:t>
            </w:r>
            <w:r w:rsidRPr="00CB4B9E">
              <w:rPr>
                <w:rFonts w:ascii="宋体" w:hAnsi="宋体" w:cs="Arial"/>
                <w:color w:val="000000" w:themeColor="text1"/>
                <w:kern w:val="0"/>
                <w:sz w:val="18"/>
                <w:szCs w:val="18"/>
              </w:rPr>
              <w:t>)</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Caribbean Development Bank</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加勒比开发银行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CDB</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St Michael (Barbados)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圣迈克尔</w:t>
            </w:r>
            <w:r w:rsidRPr="00CB4B9E">
              <w:rPr>
                <w:rFonts w:ascii="宋体" w:hAnsi="宋体" w:cs="Arial"/>
                <w:color w:val="000000" w:themeColor="text1"/>
                <w:kern w:val="0"/>
                <w:sz w:val="18"/>
                <w:szCs w:val="18"/>
              </w:rPr>
              <w:t>(巴巴多斯)</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12</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African States Development Bank</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中非洲国家开发银行</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CASDB</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Brazzaville</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布拉柴维尔</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American Bank for Economic Integration</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中美洲经济一体化银行</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CABEI</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Tegucigalpa</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特古西加尔巴</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American Common Market</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中美洲共同市场</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CACM</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Guatemala City</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危地马拉市</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Colombo Plan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科伦坡计划</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Colombo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科伦坡</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Council of Europe</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欧洲委员会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Strasbourg</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斯特拉斯堡</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Council of Europe Development Bank</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欧洲开发银行理事会</w:t>
            </w:r>
          </w:p>
        </w:tc>
        <w:tc>
          <w:tcPr>
            <w:tcW w:w="517" w:type="pct"/>
            <w:tcBorders>
              <w:top w:val="nil"/>
              <w:left w:val="nil"/>
              <w:bottom w:val="single" w:sz="4" w:space="0" w:color="auto"/>
              <w:right w:val="single" w:sz="4" w:space="0" w:color="auto"/>
            </w:tcBorders>
            <w:shd w:val="clear" w:color="000000" w:fill="FFFFFF"/>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CEB</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Paris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巴黎</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18</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East African Development Bank</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东非开发银行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EADB</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Kampala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坎帕拉</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19</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Economic Community of West African States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西非国家经济共同体</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ECOWAS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Lagos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拉各斯</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20</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Atomic Energy Community</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欧洲原子能共同体</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Euratom</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Brussels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布鲁塞尔</w:t>
            </w:r>
          </w:p>
        </w:tc>
        <w:tc>
          <w:tcPr>
            <w:tcW w:w="800" w:type="pct"/>
            <w:tcBorders>
              <w:top w:val="nil"/>
              <w:left w:val="nil"/>
              <w:bottom w:val="nil"/>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Central Bank</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欧洲中央银行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ECB</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Frankfurt am Main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法兰克福</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中央银行</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22</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Bank for Reconstruction and Development</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欧洲复兴开发银行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EBRD</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23</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Free Trade Association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欧洲自由贸易联盟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EFTA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24</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Investment Bank</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欧洲投资银行</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EIB</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Luxembourg</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卢森堡</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25</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Organization for Nuclear Research</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欧洲核子研究组织</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CERN</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26</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Space Agency</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欧洲航天局</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ESA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Paris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巴黎</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27</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Stability Mechanism (prior to 2013 European Financial Stability Facility )</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hint="eastAsia"/>
                <w:color w:val="000000" w:themeColor="text1"/>
                <w:kern w:val="0"/>
                <w:sz w:val="18"/>
                <w:szCs w:val="18"/>
              </w:rPr>
              <w:t>欧洲稳定机制</w:t>
            </w:r>
            <w:r w:rsidRPr="00CB4B9E">
              <w:rPr>
                <w:rFonts w:ascii="宋体" w:hAnsi="宋体" w:cs="Arial"/>
                <w:color w:val="000000" w:themeColor="text1"/>
                <w:kern w:val="0"/>
                <w:sz w:val="18"/>
                <w:szCs w:val="18"/>
              </w:rPr>
              <w:t>(2013</w:t>
            </w:r>
            <w:r w:rsidRPr="00CB4B9E">
              <w:rPr>
                <w:rFonts w:ascii="宋体" w:hAnsi="宋体" w:cs="Segoe UI" w:hint="eastAsia"/>
                <w:color w:val="000000" w:themeColor="text1"/>
                <w:kern w:val="0"/>
                <w:sz w:val="18"/>
                <w:szCs w:val="18"/>
              </w:rPr>
              <w:t>年之前为欧洲金融稳定机构</w:t>
            </w:r>
            <w:r w:rsidRPr="00CB4B9E">
              <w:rPr>
                <w:rFonts w:ascii="宋体" w:hAnsi="宋体" w:cs="Arial"/>
                <w:color w:val="000000" w:themeColor="text1"/>
                <w:kern w:val="0"/>
                <w:sz w:val="18"/>
                <w:szCs w:val="18"/>
              </w:rPr>
              <w:t>)</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ESM</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Luxembourg</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卢森堡</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28</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Telecommunications Satellite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欧洲通信卫星组织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EUTELSAT</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Paris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巴黎</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29</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European Union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欧盟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Brussels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布鲁塞尔</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30</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Food and Agriculture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粮食农业组织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FAO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Rome</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罗马</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Inter-American Development Bank</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泛美开发银行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IADB</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Washington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华盛顿</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32</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Intergovernmental Council of Copper Exporting Countries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铜出口国政府间委员会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CIPEC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Paris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巴黎</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33</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Atomic Energy Agency</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国际原子能机构</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IAEA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Vienna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维也纳</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34</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Bank for Reconstruction and Development</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国际复兴开发银行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IBRD</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Washington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华盛顿</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35</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Civil Aviation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国际民航组织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ICAO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Montreal</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蒙特利尔</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36</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Cocoa Organization</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国际可可组织</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ICCO</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37</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Coffee Organization</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国际咖啡组织</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ICO</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38</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Committee of the Red Cross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国际红十字委员会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ICRC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39</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Cotton Advisory Committee</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国际棉花咨询委员会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ICAC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Washington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华盛顿</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40</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Development Association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国际开发协会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IDA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Washington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华盛顿</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Finance Corporation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国际金融公司</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IFC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Washington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华盛顿</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42</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Fund for Agricultural Development</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国际农业发展基金</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IFAD</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Rome</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罗马</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43</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Grains Council</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国际谷物理事会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IGC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44</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Jute Study Group</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国际黄麻研究组织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IJSG</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Dhaka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达卡</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45</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Labour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国际劳工组织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ILO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46</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Lead and Zinc Study Group</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国际铅锌研究组织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ILZSG</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Lisbon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里斯本</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47</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Maritime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国际海事组织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IMO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48</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Maritime Satellite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国际海事卫星组织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INMARSAT</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49</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Monetary Fund</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国际货币基金组织</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IMF</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Washington</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华盛顿</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50</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Olive Oil Council</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国际橄榄油理事会</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IOOC</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Madrid</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马德里</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Rubber Study Group</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国际橡胶研究组织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IRSG</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52</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Sugar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国际食糖组织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ISO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53</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International Telecommunication Union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国际电信联盟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ITU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54</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Islamic Development Bank</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伊斯兰开发银行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IDB</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Jeddah</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吉达</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55</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Latin American Association of Development Financing Institutions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拉丁美洲开发金融机构协会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ALIDE</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Lima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利马</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56</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Latin American Economic System</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拉丁美洲经济体系</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SELA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Caracas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加拉加斯</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57</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Latin American Energy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拉丁美洲能源组织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OLADE</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Quito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基多</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58</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Latin American Integration Association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拉美洲一体化协会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LAIA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Montevideo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蒙得维的亚</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59</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Latin American Reserve Fund</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拉丁美洲储备基金</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LARF</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Bogotá</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波哥大</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60</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League of Arab States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阿拉伯国家联盟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Cairo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开罗</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Multilateral Investment Guarantee Agency</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多边投资担保机构</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MIGA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Washington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华盛顿</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62</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Nordic Investment Bank</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北欧投资银行</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NIB</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Helsinki</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赫尔辛基</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371B78">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63</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North Atlantic Treaty Organisation</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北大西洋公约组织</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NATO</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Brussels</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布鲁塞尔</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64</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Organisation for Economic Co-operation and Development</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经济合作与发展组织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OECD</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Paris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巴黎</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65</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Organisation of Eastern Caribbean States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东加勒比国家组织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OECS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Castries (St Lucia)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卡斯特里</w:t>
            </w:r>
            <w:r w:rsidRPr="00CB4B9E">
              <w:rPr>
                <w:rFonts w:ascii="宋体" w:hAnsi="宋体" w:cs="Arial"/>
                <w:color w:val="000000" w:themeColor="text1"/>
                <w:kern w:val="0"/>
                <w:sz w:val="18"/>
                <w:szCs w:val="18"/>
              </w:rPr>
              <w:t>(圣卢西亚)</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66</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Organization of American States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美洲国家组织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OAS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Washington</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华盛顿</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67</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Organization of Arab Petroleum Exporting Countries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阿拉伯石油输出国组织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OAPEC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Safat (Kuwait)</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hint="eastAsia"/>
                <w:color w:val="000000" w:themeColor="text1"/>
                <w:kern w:val="0"/>
                <w:sz w:val="18"/>
                <w:szCs w:val="18"/>
              </w:rPr>
              <w:t>萨法特</w:t>
            </w:r>
            <w:r w:rsidRPr="00CB4B9E">
              <w:rPr>
                <w:rFonts w:ascii="宋体" w:hAnsi="宋体" w:cs="Arial"/>
                <w:color w:val="000000" w:themeColor="text1"/>
                <w:kern w:val="0"/>
                <w:sz w:val="18"/>
                <w:szCs w:val="18"/>
              </w:rPr>
              <w:t>(</w:t>
            </w:r>
            <w:r w:rsidRPr="00CB4B9E">
              <w:rPr>
                <w:rFonts w:ascii="宋体" w:hAnsi="宋体" w:cs="Segoe UI" w:hint="eastAsia"/>
                <w:color w:val="000000" w:themeColor="text1"/>
                <w:kern w:val="0"/>
                <w:sz w:val="18"/>
                <w:szCs w:val="18"/>
              </w:rPr>
              <w:t>科威特</w:t>
            </w:r>
            <w:r w:rsidRPr="00CB4B9E">
              <w:rPr>
                <w:rFonts w:ascii="宋体" w:hAnsi="宋体" w:cs="Arial"/>
                <w:color w:val="000000" w:themeColor="text1"/>
                <w:kern w:val="0"/>
                <w:sz w:val="18"/>
                <w:szCs w:val="18"/>
              </w:rPr>
              <w:t>)</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68</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Organization of Central American States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中美洲国家组织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OCAS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 Salvador</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圣萨尔瓦多</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69</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Organization of the Petroleum Exporting Countries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石油输出国组织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OPEC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Vienna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维也纳</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70</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OPEC Fund for International Development</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欧佩克国际发展基金</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OFID</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Vienna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维也纳</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South Asian Association for Regional Cooperation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南亚区域合作联盟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SAARC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Kathmandu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加德满都</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72</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United Nations Children’s Fund</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联合国儿童基金会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UNICEF</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New York</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纽约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73</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United Nations committees, funds and programmes, other</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联合国委员会、基金和项目、其他</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New York</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纽约</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非金融部门（其他企业和个人）</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74</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United Nations Conference on Trade and Development</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联合国贸易和发展会议</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UNCTAD</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日内瓦</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75</w:t>
            </w:r>
          </w:p>
        </w:tc>
        <w:tc>
          <w:tcPr>
            <w:tcW w:w="1058" w:type="pct"/>
            <w:tcBorders>
              <w:top w:val="nil"/>
              <w:left w:val="nil"/>
              <w:bottom w:val="single" w:sz="4" w:space="0" w:color="auto"/>
              <w:right w:val="single" w:sz="4" w:space="0" w:color="auto"/>
            </w:tcBorders>
            <w:shd w:val="clear" w:color="auto" w:fill="auto"/>
            <w:vAlign w:val="center"/>
            <w:hideMark/>
          </w:tcPr>
          <w:p w:rsidR="00000000" w:rsidRDefault="00CB4B9E">
            <w:pPr>
              <w:widowControl/>
              <w:spacing w:line="18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United Nations Educational, Scientific and Cultural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联合国教育、科学及文化组织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UNESCO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Paris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巴黎</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非金融部门（其他企业和个人）</w:t>
            </w:r>
          </w:p>
        </w:tc>
      </w:tr>
      <w:tr w:rsidR="00A67CEB" w:rsidRPr="009263D7" w:rsidTr="00371B78">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76</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Universal Postal Union</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万国邮政联盟</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UPU</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Berne</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伯恩</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77</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West African Economic and Monetary Union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西非经济与货币联盟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WAEMU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Ouagadougou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瓦加杜古</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78</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West African Economic Community</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西非经济共同体</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WAEC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Ouagadougou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瓦加杜古</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79</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West African Monetary Agency</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西非货币机构</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WAMA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Freetown (Sierra Leone)</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弗里敦</w:t>
            </w:r>
            <w:r w:rsidRPr="00CB4B9E">
              <w:rPr>
                <w:rFonts w:ascii="宋体" w:hAnsi="宋体" w:cs="Arial"/>
                <w:color w:val="000000" w:themeColor="text1"/>
                <w:kern w:val="0"/>
                <w:sz w:val="18"/>
                <w:szCs w:val="18"/>
              </w:rPr>
              <w:t>(塞拉利昂)</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非银行金融机构</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80</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Western European Union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西欧联盟</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WEU</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Brussels</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布鲁塞尔</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81</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World Council of Churches</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世界基督教会联合会</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WCC</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82</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World Health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世界卫生组织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WHO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83</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World Intellectual Property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世界知识产权组织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WIPO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nil"/>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84</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World Meteorological Organization</w:t>
            </w:r>
          </w:p>
        </w:tc>
        <w:tc>
          <w:tcPr>
            <w:tcW w:w="1058"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世界气象组织</w:t>
            </w:r>
          </w:p>
        </w:tc>
        <w:tc>
          <w:tcPr>
            <w:tcW w:w="517"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WMO</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nil"/>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85</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World Tourism Organization</w:t>
            </w:r>
          </w:p>
        </w:tc>
        <w:tc>
          <w:tcPr>
            <w:tcW w:w="10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世界旅游组织</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 WTO</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Madrid</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马德里</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r w:rsidR="00A67CEB" w:rsidRPr="009263D7" w:rsidTr="00693C93">
        <w:trPr>
          <w:trHeight w:val="510"/>
        </w:trPr>
        <w:tc>
          <w:tcPr>
            <w:tcW w:w="3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86</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World Trade Organization</w:t>
            </w:r>
          </w:p>
        </w:tc>
        <w:tc>
          <w:tcPr>
            <w:tcW w:w="1058"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世界贸易组织</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WTO</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Geneva</w:t>
            </w:r>
          </w:p>
        </w:tc>
        <w:tc>
          <w:tcPr>
            <w:tcW w:w="633"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日内瓦</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67CEB" w:rsidRPr="009263D7" w:rsidRDefault="00CB4B9E" w:rsidP="00A67CEB">
            <w:pPr>
              <w:widowControl/>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非金融部门（其他企业和个人）</w:t>
            </w:r>
          </w:p>
        </w:tc>
      </w:tr>
    </w:tbl>
    <w:p w:rsidR="00371B78" w:rsidRDefault="00371B78" w:rsidP="00A67CEB">
      <w:pPr>
        <w:spacing w:line="360" w:lineRule="auto"/>
        <w:rPr>
          <w:b/>
          <w:color w:val="000000" w:themeColor="text1"/>
          <w:sz w:val="24"/>
        </w:rPr>
      </w:pPr>
    </w:p>
    <w:p w:rsidR="00A67CEB" w:rsidRPr="009263D7" w:rsidRDefault="00A67CEB" w:rsidP="00A67CEB">
      <w:pPr>
        <w:spacing w:line="360" w:lineRule="auto"/>
        <w:rPr>
          <w:b/>
          <w:color w:val="000000" w:themeColor="text1"/>
          <w:sz w:val="24"/>
        </w:rPr>
      </w:pPr>
    </w:p>
    <w:p w:rsidR="00A67CEB" w:rsidRPr="009263D7" w:rsidRDefault="00CB4B9E" w:rsidP="00A67CEB">
      <w:pPr>
        <w:widowControl/>
        <w:jc w:val="left"/>
        <w:rPr>
          <w:b/>
          <w:color w:val="000000" w:themeColor="text1"/>
          <w:sz w:val="24"/>
        </w:rPr>
      </w:pPr>
      <w:r w:rsidRPr="00CB4B9E">
        <w:rPr>
          <w:b/>
          <w:color w:val="000000" w:themeColor="text1"/>
          <w:sz w:val="24"/>
        </w:rPr>
        <w:br w:type="page"/>
      </w: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300" w:name="_Toc452019951"/>
      <w:r w:rsidRPr="00CB4B9E">
        <w:rPr>
          <w:rFonts w:ascii="宋体" w:hAnsi="宋体" w:hint="eastAsia"/>
          <w:b w:val="0"/>
          <w:color w:val="000000" w:themeColor="text1"/>
          <w:sz w:val="28"/>
          <w:szCs w:val="28"/>
        </w:rPr>
        <w:lastRenderedPageBreak/>
        <w:t>中央银行名录</w:t>
      </w:r>
      <w:bookmarkEnd w:id="300"/>
    </w:p>
    <w:tbl>
      <w:tblPr>
        <w:tblW w:w="13482" w:type="dxa"/>
        <w:jc w:val="center"/>
        <w:tblInd w:w="93" w:type="dxa"/>
        <w:tblLook w:val="04A0"/>
      </w:tblPr>
      <w:tblGrid>
        <w:gridCol w:w="660"/>
        <w:gridCol w:w="2257"/>
        <w:gridCol w:w="1520"/>
        <w:gridCol w:w="3091"/>
        <w:gridCol w:w="2552"/>
        <w:gridCol w:w="1498"/>
        <w:gridCol w:w="1904"/>
      </w:tblGrid>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序号</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国家（英文）</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国家（中文）</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央行名称（英文）</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央行名称（中文）</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所在城市</w:t>
            </w:r>
          </w:p>
          <w:p w:rsidR="00000000" w:rsidRDefault="00CB4B9E">
            <w:pPr>
              <w:widowControl/>
              <w:spacing w:line="360" w:lineRule="exact"/>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（英文）</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b/>
                <w:bCs/>
                <w:color w:val="000000" w:themeColor="text1"/>
                <w:kern w:val="0"/>
                <w:sz w:val="18"/>
                <w:szCs w:val="18"/>
              </w:rPr>
            </w:pPr>
            <w:r w:rsidRPr="00CB4B9E">
              <w:rPr>
                <w:rFonts w:ascii="宋体" w:hAnsi="宋体" w:cs="Arial" w:hint="eastAsia"/>
                <w:b/>
                <w:bCs/>
                <w:color w:val="000000" w:themeColor="text1"/>
                <w:kern w:val="0"/>
                <w:sz w:val="18"/>
                <w:szCs w:val="18"/>
              </w:rPr>
              <w:t>所在城市（中文）</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Afghanistan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阿富汗</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Afghanistan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阿富汗中央银行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Kabul</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喀布尔</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Albania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阿尔巴尼亚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Albania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阿尔巴尼亚国家银行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Tirana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地拉那</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Algeria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阿尔及利亚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Algeria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阿尔及利亚中央银行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Algiers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阿尔及尔</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Angola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安哥拉</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Angola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安哥拉国家银行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Luanda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罗安达</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Argentina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阿根廷</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Argentina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阿根廷中央银行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Buenos Aires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布宜诺斯艾利斯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Armenia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亚美尼亚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Armenia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亚美尼亚中央银行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Yerevan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埃里温</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Aruba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阿鲁巴</w:t>
            </w:r>
          </w:p>
        </w:tc>
        <w:tc>
          <w:tcPr>
            <w:tcW w:w="3091"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Central Bank of Aruba</w:t>
            </w:r>
          </w:p>
        </w:tc>
        <w:tc>
          <w:tcPr>
            <w:tcW w:w="2552"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阿鲁巴中央银行</w:t>
            </w:r>
          </w:p>
        </w:tc>
        <w:tc>
          <w:tcPr>
            <w:tcW w:w="1498"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Oranjestad</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奥拉涅斯塔德</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Australia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澳大利亚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Reserve Bank of Australia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澳大利亚储备银行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Sydney</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悉尼</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Austria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奥地利</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Austrian National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奥地利国家银行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Vienna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维也纳</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Azerbaijan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阿塞拜疆</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Republic of Azerbaijan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阿塞拜疆共和国中央银行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Baku</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巴库</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Bahamas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巴哈马</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Bahamas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巴哈马中央银行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Nassau</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拿骚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Bahrain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巴林</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Bahrain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巴林中央银行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Manama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麦纳麦</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Bangladesh</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孟加拉</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Bangladesh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孟加拉银行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Dhaka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达卡</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Barbados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巴巴多斯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Barbados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巴巴多斯中央银行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Bridgetown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布里奇顿</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Belarus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白俄罗斯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the Republic of Belarus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白俄罗斯共和国国家银行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Minsk</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明斯克</w:t>
            </w:r>
          </w:p>
        </w:tc>
      </w:tr>
      <w:tr w:rsidR="00A67CEB" w:rsidRPr="009263D7" w:rsidTr="00371B78">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16</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Belgium</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比利时</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Belgium</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比利时国家银行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Brussels</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布鲁塞尔</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Belize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伯利兹</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Belize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伯利兹中央银行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Belize City</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伯利兹城</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Bermuda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百慕大</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Bermuda Monetary Authority</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百慕大金融管理局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Hamilton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汉密尔顿</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Bhutan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不丹</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Royal Monetary Authority of Bhutan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hint="eastAsia"/>
                <w:color w:val="000000" w:themeColor="text1"/>
                <w:kern w:val="0"/>
                <w:sz w:val="18"/>
                <w:szCs w:val="18"/>
              </w:rPr>
              <w:t>不丹皇家货币管理局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Thimphu</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廷布</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Bolivia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玻利维亚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Bolivia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玻利维亚中央银行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 Paz</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拉巴斯</w:t>
            </w:r>
          </w:p>
        </w:tc>
      </w:tr>
      <w:tr w:rsidR="00A67CEB" w:rsidRPr="009263D7" w:rsidTr="007243D9">
        <w:trPr>
          <w:trHeight w:val="52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21</w:t>
            </w:r>
          </w:p>
        </w:tc>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Bosnia and Herzegovina</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波斯尼亚和黑塞哥维那</w:t>
            </w:r>
          </w:p>
        </w:tc>
        <w:tc>
          <w:tcPr>
            <w:tcW w:w="3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Bosnia and Herzegovina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波斯尼亚和黑塞哥维那中央银行</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Sarajevo</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萨拉热窝</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22</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Botswana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博茨瓦纳</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Botswana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博茨瓦纳银行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Gaborone</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哈博罗内</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Brazil</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巴西</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Brazil</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巴西中央银行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Brasília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巴西利亚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Brunei</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文莱</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Brunei Monetary Board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文莱货币委员会</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Bandar Seri Begawan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斯里巴加湾市</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Bulgaria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保加利亚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Bulgarian National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保加利亚国家银行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Sofia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索菲亚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Burundi</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布隆迪</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the Republic of Burundi</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布隆迪共和国银行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Bujumbura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布琼布拉</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Cambodia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柬埔寨</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Cambodia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柬埔寨国家银行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Phnom Penh</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金边</w:t>
            </w:r>
          </w:p>
        </w:tc>
      </w:tr>
      <w:tr w:rsidR="00A67CEB" w:rsidRPr="009263D7" w:rsidTr="007243D9">
        <w:trPr>
          <w:trHeight w:val="85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Cameroon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喀麦隆</w:t>
            </w:r>
          </w:p>
        </w:tc>
        <w:tc>
          <w:tcPr>
            <w:tcW w:w="3091"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Central African States (Cameroon, Central African Republic, Chad, Congo, Equatorial Guinea, Gabon)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240" w:lineRule="exact"/>
              <w:jc w:val="center"/>
              <w:rPr>
                <w:rFonts w:ascii="宋体" w:hAnsi="宋体" w:cs="Arial"/>
                <w:color w:val="000000" w:themeColor="text1"/>
                <w:kern w:val="0"/>
                <w:sz w:val="18"/>
                <w:szCs w:val="18"/>
              </w:rPr>
            </w:pPr>
            <w:r w:rsidRPr="00CB4B9E">
              <w:rPr>
                <w:rFonts w:ascii="宋体" w:hAnsi="宋体" w:cs="Segoe UI" w:hint="eastAsia"/>
                <w:color w:val="000000" w:themeColor="text1"/>
                <w:kern w:val="0"/>
                <w:sz w:val="18"/>
                <w:szCs w:val="18"/>
              </w:rPr>
              <w:t>中非国家银行</w:t>
            </w:r>
            <w:r w:rsidRPr="00CB4B9E">
              <w:rPr>
                <w:rFonts w:ascii="宋体" w:hAnsi="宋体" w:cs="Segoe UI"/>
                <w:color w:val="000000" w:themeColor="text1"/>
                <w:kern w:val="0"/>
                <w:sz w:val="18"/>
                <w:szCs w:val="18"/>
              </w:rPr>
              <w:t>(喀麦隆、中非共和国、乍得、刚果、赤道几内亚、加蓬)</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Yaoundé</w:t>
            </w:r>
          </w:p>
        </w:tc>
        <w:tc>
          <w:tcPr>
            <w:tcW w:w="1904"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雅温得</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29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Canada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加拿大</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Canada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加拿大银行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Ottawa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渥太华</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Cape Verde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佛得角</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Cape Verde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佛得角银行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Praia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普拉亚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Cayman Islands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开曼群岛</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Cayman Islands Monetary Authority</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开曼群岛金融管理局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Georgetown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乔治敦</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Chile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智利</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Chile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智利中央银行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Santiago de Chile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智利圣地亚哥</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33</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China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中国</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People’s Bank of China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中国人民银行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Beijing</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北京</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China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中国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State Administration of Foreign Exchange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hint="eastAsia"/>
                <w:color w:val="000000" w:themeColor="text1"/>
                <w:kern w:val="0"/>
                <w:sz w:val="18"/>
                <w:szCs w:val="18"/>
              </w:rPr>
              <w:t>国家外汇管理局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Beijing</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北京</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Chinese Taipei</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中国台北</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Republic of China (Taiwan)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hint="eastAsia"/>
                <w:color w:val="000000" w:themeColor="text1"/>
                <w:kern w:val="0"/>
                <w:sz w:val="18"/>
                <w:szCs w:val="18"/>
              </w:rPr>
              <w:t>中华民国中央银行</w:t>
            </w:r>
            <w:r w:rsidRPr="00CB4B9E">
              <w:rPr>
                <w:rFonts w:ascii="宋体" w:hAnsi="宋体" w:cs="Segoe UI"/>
                <w:color w:val="000000" w:themeColor="text1"/>
                <w:kern w:val="0"/>
                <w:sz w:val="18"/>
                <w:szCs w:val="18"/>
              </w:rPr>
              <w:t>(台湾)</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Taipei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台北</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Colombia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哥伦比亚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the Republic</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哥伦比亚共和国银行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Bogotá</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波哥大</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Comoros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科摩罗</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Comoros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科摩罗中央银行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Moroni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莫洛尼</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38</w:t>
            </w:r>
          </w:p>
        </w:tc>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Congo, Democratic Rep.</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刚果民主共和国</w:t>
            </w:r>
          </w:p>
        </w:tc>
        <w:tc>
          <w:tcPr>
            <w:tcW w:w="3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Congo</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刚果中央银行</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Kinshasa</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金沙萨</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39</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Costa Rica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哥斯达黎加</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Costa Rica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哥斯达黎加中央银行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 José</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圣何塞</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Croatia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克罗地亚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Croatian National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克罗地亚国家银行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Zagreb</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萨格勒布</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Cuba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古巴</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Cuba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古巴中央银行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Havana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哈瓦那</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Curaçao</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库拉索</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Curaçao and Sint Maarten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hint="eastAsia"/>
                <w:color w:val="000000" w:themeColor="text1"/>
                <w:kern w:val="0"/>
                <w:sz w:val="18"/>
                <w:szCs w:val="18"/>
              </w:rPr>
              <w:t>库拉索和荷属圣马丁中央银行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Willemstad</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威廉斯塔德</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Cyprus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塞浦路斯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Cyprus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塞浦路斯中央银行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Nicosia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尼科西亚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Czech Republic</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捷克共和国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Czech National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捷克国家银行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Prague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布拉格</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Denmark</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丹麦</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Denmark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丹麦国家银行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Copenhagen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哥本哈根</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Djibouti</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吉布提</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Djibouti</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吉布提国家银行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Djibouti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吉布提</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Dominican Republic</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多米尼加共和国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Dominican Republic</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hint="eastAsia"/>
                <w:color w:val="000000" w:themeColor="text1"/>
                <w:kern w:val="0"/>
                <w:sz w:val="18"/>
                <w:szCs w:val="18"/>
              </w:rPr>
              <w:t>多米尼加共和国中央银行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Santo Domingo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圣多明各</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Ecuador</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厄瓜多尔</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Ecuador</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厄瓜多尔中央银行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Quito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基多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49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Egypt</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埃及</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Egypt</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埃及中央银行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Cairo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开罗</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El Salvador</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萨尔瓦多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Reserve Bank of El Salvador</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240" w:lineRule="exact"/>
              <w:jc w:val="center"/>
              <w:rPr>
                <w:rFonts w:ascii="宋体" w:hAnsi="宋体" w:cs="Segoe UI"/>
                <w:color w:val="000000" w:themeColor="text1"/>
                <w:kern w:val="0"/>
                <w:sz w:val="18"/>
                <w:szCs w:val="18"/>
              </w:rPr>
            </w:pPr>
            <w:r w:rsidRPr="00CB4B9E">
              <w:rPr>
                <w:rFonts w:ascii="宋体" w:hAnsi="宋体" w:cs="Segoe UI" w:hint="eastAsia"/>
                <w:color w:val="000000" w:themeColor="text1"/>
                <w:kern w:val="0"/>
                <w:sz w:val="18"/>
                <w:szCs w:val="18"/>
              </w:rPr>
              <w:t>萨尔瓦多中央储备银行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 Salvador</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圣萨尔瓦多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Eritrea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厄立特里亚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Eritrea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厄立特里亚国家银行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Asmara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阿斯马拉</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Estonia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爱沙尼亚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Estonia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爱沙尼亚银行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Tallinn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塔林</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53</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Ethiopia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埃塞俄比亚</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Ethiopia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埃塞俄比亚国家银行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Addis Ababa</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亚的斯亚贝巴</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Fiji</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斐济</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Reserve Bank of Fiji</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斐济储备银行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Suva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苏瓦</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Finland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芬兰</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Finland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芬兰银行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Helsinki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赫尔辛基</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France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法国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France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法国银行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Paris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巴黎</w:t>
            </w:r>
          </w:p>
        </w:tc>
      </w:tr>
      <w:tr w:rsidR="00A67CEB" w:rsidRPr="009263D7" w:rsidTr="007243D9">
        <w:trPr>
          <w:trHeight w:val="57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French Polynesia</w:t>
            </w:r>
          </w:p>
        </w:tc>
        <w:tc>
          <w:tcPr>
            <w:tcW w:w="1520"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法属波利尼西亚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Institut d’Emission d’Outre-Mer(IEOM)</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海外发行协会（法国专门管理和发行殖民地货币的官方机构）</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Papeete</w:t>
            </w:r>
          </w:p>
        </w:tc>
        <w:tc>
          <w:tcPr>
            <w:tcW w:w="1904"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帕皮提</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Gambia, The</w:t>
            </w:r>
          </w:p>
        </w:tc>
        <w:tc>
          <w:tcPr>
            <w:tcW w:w="1520"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冈比亚共和国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Gambia</w:t>
            </w:r>
          </w:p>
        </w:tc>
        <w:tc>
          <w:tcPr>
            <w:tcW w:w="2552"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冈比亚中央银行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Banjul</w:t>
            </w:r>
          </w:p>
        </w:tc>
        <w:tc>
          <w:tcPr>
            <w:tcW w:w="1904"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班珠尔</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59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Georgia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格鲁吉亚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Georgia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格鲁吉亚国家银行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Tbilisi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第比利斯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Germany</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德国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Deutsche Bundesbank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德意志联邦银行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Frankfurt am Main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法兰克福</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Ghana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加纳</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Ghana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加纳银行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Accra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阿克拉</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Greece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希腊</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Greece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希腊银行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Athens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雅典</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Guatemala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危地马拉</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Guatemala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危地马拉银行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Guatemala City</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危地马拉市</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Guinea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几内亚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Republic of Guinea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几内亚共和国中央银行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Conakry</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科纳克里</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Guyana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圭亚那</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Guyana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圭亚那银行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Georgetown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乔治城</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Haiti</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海地</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the Republic of Haiti</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海地共和国银行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Port-au-Prince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太子港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Honduras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洪都拉斯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Honduras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洪都拉斯中央银行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Tegucigalpa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特古西加尔巴</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Hong Kong SAR</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香港特别行政区</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Hong Kong Monetary Authority</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香港金融管理局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Hong Kong SAR</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香港特别行政区</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69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Hungary</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匈牙利</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Magyar Nemzeti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匈牙利国家银行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Budapest</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布达佩斯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Iceland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冰岛</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Iceland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冰岛中央银行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Reykjavík</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雷克雅维克</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71</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India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印度</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Reserve Bank of India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印度储备银行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Mumbai</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孟买</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Indonesia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印度尼西亚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Indonesia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印度尼西亚银行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Jakarta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雅加达</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Iran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伊朗</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Islamic Republic of Iran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伊朗伊斯兰共和国中央银行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Tehran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德黑兰</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Iraq</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伊拉克</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Iraq</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伊拉克中央银行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Baghdad</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巴格达</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Ireland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爱尔兰</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Ireland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爱尔兰中央银行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Dublin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都柏林</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Israel</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以色列</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Israel</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以色列银行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Jerusalem</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耶路撒冷</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77</w:t>
            </w:r>
          </w:p>
        </w:tc>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Italy</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意大利</w:t>
            </w:r>
          </w:p>
        </w:tc>
        <w:tc>
          <w:tcPr>
            <w:tcW w:w="3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Italy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意大利银行</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Rome</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罗马</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78</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Jamaica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牙买加</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Jamaica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牙买加银行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Kingston</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金斯敦</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79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Japan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日本</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Japan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日本银行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Tokyo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东京</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Japan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日本</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Ministry of Finance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财政部</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Tokyo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东京</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Jordan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约旦</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Jordan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约旦中央银行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Amman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安曼</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Kazakhstan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哈萨克斯坦</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the Republic of Kazakhstan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哈萨克斯坦共和国国家银行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Almaty</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阿拉木图</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Kenya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肯尼亚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Kenya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肯尼亚中央银行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Nairobi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内罗毕</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Kiribati</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基里巴斯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Kiribati</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基里巴斯银行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Tarawa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塔拉瓦</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[South] Korea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韩国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Korea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韩国银行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Seoul</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首尔</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Kuwait</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科威特</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Kuwait</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科威特中央银行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Kuwait</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科威特</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Kyrgyz Republic</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吉尔吉斯共和国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the Kyrgyz Republic</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吉尔吉斯共和国国家银行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Bishkek</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比什凯克</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88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Laos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老挝</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the Lao People’s Democratic Republic</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老挝人民民主共和国银行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Vientiane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万象</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89</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Latvia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拉脱维亚</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Latvia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拉脱维亚银行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Riga</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里加</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Lebanon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黎巴嫩</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Lebanon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黎巴嫩中央银行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Beirut</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贝鲁特</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Lesotho</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莱索托</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Lesotho</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莱索托中央银行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Maseru</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马塞鲁</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Liberia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利比里亚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Liberia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利比里亚中央银行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Monrovia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蒙罗维亚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Libya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利比亚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Libya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利比亚中央银行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Tripoli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的黎波里</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Lithuania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立陶宛</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Lithuania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立陶宛银行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Vilnius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维尔纽斯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Luxembourg</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卢森堡</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Luxembourg</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卢森堡中央银行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Luxembourg</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卢森堡</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Macao SAR</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澳门特别行政区</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Monetary Authority of Macao</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澳门金融管理局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Macao SAR</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澳门特别行政区</w:t>
            </w:r>
          </w:p>
        </w:tc>
      </w:tr>
      <w:tr w:rsidR="00A67CEB" w:rsidRPr="009263D7" w:rsidTr="007243D9">
        <w:trPr>
          <w:trHeight w:val="51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Macedonia, FYR</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前南斯拉夫马其顿共和国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the Republic of Macedonia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马其顿共和国国家银行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Skopje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斯科普里</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Madagascar</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马达加斯加</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Madagascar</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马达加斯加中央银行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Antananarivo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塔那那利佛</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99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Malawi</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马拉维</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Reserve Bank of Malawi</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马拉维储备银行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Lilongwe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利隆圭</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Malaysia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马来西亚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Malaysia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马来西亚中央银行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Kuala Lumpur</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吉隆坡</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Maldives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马尔代夫</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Maldives Monetary Authority</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马尔代夫金融管理局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Male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Malta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马耳他</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Malta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马耳他中央银行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Valletta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瓦莱塔</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Mauritania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毛利塔尼亚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Mauritania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毛里塔尼亚中央银行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Nouakchott</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努瓦克肖特</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Mauritius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毛里求斯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Mauritius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毛里求斯银行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Port Louis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路易港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Mexico</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墨西哥</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Mexico</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墨西哥银行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Mexico City</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墨西哥城</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Moldova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摩尔多瓦</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Moldova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摩尔多瓦国家银行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Chisinau</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基希讷乌</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Mongolia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蒙古</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Mongolia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蒙古银行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Ulan Bator</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乌兰巴托</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Morocco</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摩洛哥</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Morocco</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摩洛哥银行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Rabat</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拉巴特</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109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Mozambique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莫桑比克</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Mozambique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莫桑比克银行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Maputo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马普托</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110</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Myanmar</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缅甸</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Myanmar</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缅甸中央银行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Rangoon</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仰光</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Namibia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纳米比亚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Namibia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纳米比亚银行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Windhoek</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温得和克</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Nauru</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瑙鲁</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Nauru</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瑙鲁银行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Nauru</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瑙鲁</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Nepal</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尼泊尔</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Nepal</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尼泊尔中央银行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Kathmandu</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加德满都</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Netherlands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荷兰</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Netherlands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荷兰银行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Amsterdam</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阿姆斯特丹</w:t>
            </w:r>
          </w:p>
        </w:tc>
      </w:tr>
      <w:tr w:rsidR="00A67CEB" w:rsidRPr="009263D7" w:rsidTr="007243D9">
        <w:trPr>
          <w:trHeight w:val="48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New Caledonia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新喀里多尼亚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Institut d’Emission d’Outre-Mer</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海外发行协会（法国专门管理和发行殖民地货币的官方机构）</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Nouméa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努美阿</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New Zealand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新西兰</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Reserve Bank of New Zealand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新西兰储备银行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Wellington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惠灵顿</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Nicaragua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尼加拉瓜</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Nicaragua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尼加拉瓜中央银行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Managua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马那瓜</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Nigeria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尼日利亚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Nigeria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尼日利亚中央银行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Abuja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阿布贾</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119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North Korea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朝鲜</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Korea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朝鲜中央银行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Pyongyang</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平壤</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120</w:t>
            </w:r>
          </w:p>
        </w:tc>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Norway</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挪威</w:t>
            </w:r>
          </w:p>
        </w:tc>
        <w:tc>
          <w:tcPr>
            <w:tcW w:w="3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Norway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挪威中央银行</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Oslo</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奥斯陆</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121</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Oman</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阿曼</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Oman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阿曼中央银行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Ruwi, Muscat</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马斯喀特</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Pakistan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巴基斯坦</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State Bank of Pakistan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巴基斯坦国家银行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Karachi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卡拉奇</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Panama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巴拿马</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Panama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巴拿马国家银行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Panama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巴拿马</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Papua New Guinea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巴布新几内亚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Papua New Guinea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巴布亚新几内亚银行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Port Moresby</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莫尔兹比港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Paraguay</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巴拉圭</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Paraguay</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巴拉圭中央银行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Asunción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亚松森</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Peru</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秘鲁</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Reserve Bank of Peru</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秘鲁中央储备银行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Lima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利马</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Philippines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菲律宾</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Bangko Sentral ng Pilipinas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菲律宾中央银行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Manila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马尼拉</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Poland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波兰</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Poland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波兰国家银行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Warsaw</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华沙</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129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Portugal</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葡萄牙</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Portugal</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葡萄牙银行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Lisbon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里斯本</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130</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Qatar</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卡塔尔</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Qatar Central Bank</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卡塔尔中央银行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Doha</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多哈</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Romania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罗马尼亚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Romania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罗马尼亚国家银行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Bucharest</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布加勒斯特</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Russia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俄罗斯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Russian Federation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俄罗斯联邦中央银行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Moscow</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莫斯科</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Rwanda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卢旺达</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Rwanda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卢旺达国民银行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Kigali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基加利</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Samoa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萨摩亚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Samoa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萨摩亚中央银行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Apia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阿皮亚</w:t>
            </w:r>
          </w:p>
        </w:tc>
      </w:tr>
      <w:tr w:rsidR="00A67CEB" w:rsidRPr="009263D7" w:rsidTr="007243D9">
        <w:trPr>
          <w:trHeight w:val="48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135</w:t>
            </w:r>
          </w:p>
        </w:tc>
        <w:tc>
          <w:tcPr>
            <w:tcW w:w="2257"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 Marino</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圣马力诺</w:t>
            </w:r>
          </w:p>
        </w:tc>
        <w:tc>
          <w:tcPr>
            <w:tcW w:w="3091"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 Marinese Institute of Credit</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圣马力诺信贷研究所（圣马力诺中央银行）</w:t>
            </w:r>
          </w:p>
        </w:tc>
        <w:tc>
          <w:tcPr>
            <w:tcW w:w="1498"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 Marino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圣马力诺</w:t>
            </w:r>
          </w:p>
        </w:tc>
      </w:tr>
      <w:tr w:rsidR="00A67CEB" w:rsidRPr="009263D7" w:rsidTr="007243D9">
        <w:trPr>
          <w:trHeight w:val="52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São Tomé and Príncipe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圣多美和普林西比</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São Tomé and Príncipe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圣多美和普林西比中央银行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São Tomé</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圣多美</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Saudi Arabia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沙特阿拉伯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Saudi Arabian Monetary Agency</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沙特阿拉伯货币管理局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Riyadh</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利雅得</w:t>
            </w:r>
          </w:p>
        </w:tc>
      </w:tr>
      <w:tr w:rsidR="00A67CEB" w:rsidRPr="009263D7" w:rsidTr="007243D9">
        <w:trPr>
          <w:trHeight w:val="85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Senegal</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塞内加尔</w:t>
            </w:r>
          </w:p>
        </w:tc>
        <w:tc>
          <w:tcPr>
            <w:tcW w:w="3091"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West African States (Benin, Burkina Faso, Côte d’Ivoire, Guinea-Bissau, Mali, Niger, Senegal and Togo)</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西非国家中央银行</w:t>
            </w:r>
            <w:r w:rsidRPr="00CB4B9E">
              <w:rPr>
                <w:rFonts w:ascii="宋体" w:hAnsi="宋体" w:cs="Arial"/>
                <w:color w:val="000000" w:themeColor="text1"/>
                <w:kern w:val="0"/>
                <w:sz w:val="18"/>
                <w:szCs w:val="18"/>
              </w:rPr>
              <w:t>(贝宁、布基纳法索、科特迪瓦、几内亚比绍、马里、尼日尔、塞内加尔和多哥)</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Dakar</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达喀尔</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139</w:t>
            </w:r>
          </w:p>
        </w:tc>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Serbia</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塞尔维亚</w:t>
            </w:r>
          </w:p>
        </w:tc>
        <w:tc>
          <w:tcPr>
            <w:tcW w:w="3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Serbia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塞尔维亚国家银行</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Belgrade</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贝尔格莱德</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140</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Seychelles</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塞舌尔</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Seychelles</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塞舌尔中央银行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Victoria</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维多利亚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Sierra Leone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塞拉利昂</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Sierra Leone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塞拉利昂银行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Freetown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弗里敦</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Singapore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新加坡</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Monetary Authority of Singapore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新加坡金融管理局</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Singapore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新加坡</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Slovakia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斯洛伐克</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Slovakia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斯洛伐克国家银行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Bratislava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伯拉第斯拉瓦</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Slovenia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斯洛文尼亚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Slovenia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斯洛文尼亚银行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Ljubljana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卢布尔雅那</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Solomon Islands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所罗门群岛</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Solomon Islands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所罗门群岛中央银行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Honiara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霍尼亚拉</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146</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Somalia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索马里</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Somalia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索马里中央银行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Mogadishu</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摩加迪沙</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South Africa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南非</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South African Reserve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南非储备银行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Pretoria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比勒陀利亚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South Sudan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南苏丹</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South Sudan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南苏丹银行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Juba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朱巴</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149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Spain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西班牙</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Spain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西班牙银行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Madrid</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马德里</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Sri Lanka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斯里兰卡</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Sri Lanka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斯里兰卡中央银行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Colombo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科伦坡</w:t>
            </w:r>
          </w:p>
        </w:tc>
      </w:tr>
      <w:tr w:rsidR="00A67CEB" w:rsidRPr="009263D7" w:rsidTr="007243D9">
        <w:trPr>
          <w:trHeight w:val="123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St Kitts and Nevis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圣基茨和尼维斯</w:t>
            </w:r>
          </w:p>
        </w:tc>
        <w:tc>
          <w:tcPr>
            <w:tcW w:w="3091"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Eastern Caribbean Central Bank (Anguilla, Antigua and Barbuda, Dominica, Grenada, Montserrat, St Kitts and Nevis, St Lucia, St Vincent and the Grenadines)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东加勒比中央银行</w:t>
            </w:r>
            <w:r w:rsidRPr="00CB4B9E">
              <w:rPr>
                <w:rFonts w:ascii="宋体" w:hAnsi="宋体" w:cs="Arial"/>
                <w:color w:val="000000" w:themeColor="text1"/>
                <w:kern w:val="0"/>
                <w:sz w:val="18"/>
                <w:szCs w:val="18"/>
              </w:rPr>
              <w:t>(安圭拉岛、安提瓜和巴布达、多米尼加、格林纳达、蒙特塞拉特、圣基茨和尼维斯、圣卢西亚、圣文森特和格林纳丁斯群岛)</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Basseterre, St Kitts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巴斯特尔</w:t>
            </w:r>
            <w:r w:rsidRPr="00CB4B9E">
              <w:rPr>
                <w:rFonts w:ascii="宋体" w:hAnsi="宋体" w:cs="Arial"/>
                <w:color w:val="000000" w:themeColor="text1"/>
                <w:kern w:val="0"/>
                <w:sz w:val="18"/>
                <w:szCs w:val="18"/>
              </w:rPr>
              <w:t>,圣基茨</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Sudan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苏丹</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Sudan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苏丹银行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Khartoum</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喀土穆</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Suriname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苏里南</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Suriname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苏里南中央银行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Paramaribo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帕拉马里博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Swaziland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斯威士兰</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Swaziland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斯威士兰中央银行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Mbabane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姆巴巴纳</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Sweden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瑞典</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Sveriges Riksbank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瑞典中央银行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Stockholm</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斯德哥尔摩</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Switzerland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瑞士</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for International Settlements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国际清算银行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Basel</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巴塞尔</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Switzerland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瑞士</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Swiss National Bank</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瑞士国家银行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Zurich</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苏黎世</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158</w:t>
            </w:r>
          </w:p>
        </w:tc>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Syria</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叙利亚</w:t>
            </w:r>
          </w:p>
        </w:tc>
        <w:tc>
          <w:tcPr>
            <w:tcW w:w="3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Syria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叙利亚中央银行</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Damascus</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大马士革</w:t>
            </w:r>
          </w:p>
        </w:tc>
      </w:tr>
      <w:tr w:rsidR="00A67CEB" w:rsidRPr="009263D7" w:rsidTr="007243D9">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159</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Tajikistan</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塔吉克斯坦</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the Republic of Tajikistan</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塔吉克斯坦共和国国家银行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Dushanbe</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杜尚别</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Tanzania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坦桑尼亚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Tanzania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坦桑尼亚银行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Dar es Salaam</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达累斯萨拉姆</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Thailand</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泰国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Thailand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泰国银行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Bangkok</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曼谷</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162</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Tonga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汤加</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Reserve Bank of Tonga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汤加国家储备银行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Nuku’alofa</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努库阿诺</w:t>
            </w:r>
          </w:p>
        </w:tc>
      </w:tr>
      <w:tr w:rsidR="00A67CEB" w:rsidRPr="009263D7" w:rsidTr="007243D9">
        <w:trPr>
          <w:trHeight w:val="52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Trinidad and Tobago</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特立尼达和多巴哥</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Trinidad and Tobago</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特立尼达和多巴哥中央银行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Port-of-Spain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西班牙港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Tunisia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突尼斯</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Tunisia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突尼斯央行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Tunis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突尼斯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Turkey</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土耳其</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Republic of Turkey</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土耳其共和国中央银行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Ankara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安卡拉</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166</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Turkmenistan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土库曼斯坦</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State Central Bank of Turkmenistan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土库曼斯坦国家中央银行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Ashgabat</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阿什哈巴德</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Tuvalu</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图瓦卢</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Tuvalu</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图瓦卢国家银行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Funafuti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富那富提</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Uganda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乌干达</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Uganda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乌干达银行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Kampala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坎帕拉</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169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Ukraine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乌克兰</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National Bank of Ukraine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乌克兰国家银行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Kiev</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基辅</w:t>
            </w:r>
          </w:p>
        </w:tc>
      </w:tr>
      <w:tr w:rsidR="00A67CEB" w:rsidRPr="009263D7" w:rsidTr="007243D9">
        <w:trPr>
          <w:trHeight w:val="52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United Arab Emirates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阿拉伯联合酋长国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United Arab Emirates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阿拉伯联合酋长国中央银行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Abu Dhabi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阿布扎比</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United Kingdom</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英国</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England</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英格兰银行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London</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伦敦</w:t>
            </w:r>
          </w:p>
        </w:tc>
      </w:tr>
      <w:tr w:rsidR="00A67CEB" w:rsidRPr="009263D7" w:rsidTr="007243D9">
        <w:trPr>
          <w:trHeight w:val="138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172</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United States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美国</w:t>
            </w:r>
          </w:p>
        </w:tc>
        <w:tc>
          <w:tcPr>
            <w:tcW w:w="3091"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Federal Reserve System (Board of Governors of the Federal Reserve, Federal Reserve Bank of New York, 11 other Federal Reserve Banks)</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联邦储备系统</w:t>
            </w:r>
            <w:r w:rsidRPr="00CB4B9E">
              <w:rPr>
                <w:rFonts w:ascii="宋体" w:hAnsi="宋体" w:cs="Arial"/>
                <w:color w:val="000000" w:themeColor="text1"/>
                <w:kern w:val="0"/>
                <w:sz w:val="18"/>
                <w:szCs w:val="18"/>
              </w:rPr>
              <w:t>(美联储理事会,纽约联邦储备银行,其他11个联邦储备银行)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Various locations</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不同城市</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173</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Uruguay</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乌拉圭</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Uruguay</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乌拉圭中央银行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Montevideo</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蒙得维的亚</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174</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Uzbekistan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乌兹别克斯坦</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the Republic of Uzbekistan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乌兹别克斯坦共和国中央银行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Tashkent</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塔什干</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175</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Vanuatu</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瓦努阿图</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Reserve Bank of Vanuatu</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瓦努阿储备银行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Port Vila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维拉港</w:t>
            </w:r>
          </w:p>
        </w:tc>
      </w:tr>
      <w:tr w:rsidR="00A67CEB" w:rsidRPr="009263D7" w:rsidTr="00A45EE7">
        <w:trPr>
          <w:trHeight w:val="285"/>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lastRenderedPageBreak/>
              <w:t>176</w:t>
            </w:r>
          </w:p>
        </w:tc>
        <w:tc>
          <w:tcPr>
            <w:tcW w:w="2257"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Venezuela</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委内瑞拉</w:t>
            </w:r>
          </w:p>
        </w:tc>
        <w:tc>
          <w:tcPr>
            <w:tcW w:w="3091"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Venezuela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委内瑞拉中央银行</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Caracas</w:t>
            </w:r>
          </w:p>
        </w:tc>
        <w:tc>
          <w:tcPr>
            <w:tcW w:w="1904" w:type="dxa"/>
            <w:tcBorders>
              <w:top w:val="single" w:sz="4" w:space="0" w:color="auto"/>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加拉加斯</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177</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Vietnam</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越南</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State Bank of Vietnam</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越南国家银行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Hanoi</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河内</w:t>
            </w:r>
          </w:p>
        </w:tc>
      </w:tr>
      <w:tr w:rsidR="00A67CEB" w:rsidRPr="009263D7" w:rsidTr="007243D9">
        <w:trPr>
          <w:trHeight w:val="51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178</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Wallis and Futuna Islands</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瓦利斯群岛和富图纳群岛群岛</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Institut d’Emission d’Outre-Mer</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海外发行协会（法国专门管理和发行殖民地货币的官方机构）</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Mata-Utu</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马塔乌图</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179</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Yemen</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也门</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Central Bank of Yemen</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也门中央银行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Sana’a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萨那</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180</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Zambia</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赞比亚</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Bank of Zambia</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赞比亚银行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Lusaka</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卢萨卡</w:t>
            </w:r>
          </w:p>
        </w:tc>
      </w:tr>
      <w:tr w:rsidR="00A67CEB" w:rsidRPr="009263D7" w:rsidTr="007243D9">
        <w:trPr>
          <w:trHeight w:val="2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181</w:t>
            </w:r>
          </w:p>
        </w:tc>
        <w:tc>
          <w:tcPr>
            <w:tcW w:w="2257"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Zimbabwe</w:t>
            </w:r>
          </w:p>
        </w:tc>
        <w:tc>
          <w:tcPr>
            <w:tcW w:w="1520"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color w:val="000000" w:themeColor="text1"/>
                <w:kern w:val="0"/>
                <w:sz w:val="18"/>
                <w:szCs w:val="18"/>
              </w:rPr>
              <w:t>津巴布韦</w:t>
            </w:r>
          </w:p>
        </w:tc>
        <w:tc>
          <w:tcPr>
            <w:tcW w:w="3091"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Reserve Bank of Zimbabwe</w:t>
            </w:r>
          </w:p>
        </w:tc>
        <w:tc>
          <w:tcPr>
            <w:tcW w:w="2552"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津巴布韦储备银行</w:t>
            </w:r>
          </w:p>
        </w:tc>
        <w:tc>
          <w:tcPr>
            <w:tcW w:w="1498" w:type="dxa"/>
            <w:tcBorders>
              <w:top w:val="nil"/>
              <w:left w:val="nil"/>
              <w:bottom w:val="single" w:sz="4" w:space="0" w:color="auto"/>
              <w:right w:val="single" w:sz="4" w:space="0" w:color="auto"/>
            </w:tcBorders>
            <w:shd w:val="clear" w:color="auto" w:fill="auto"/>
            <w:noWrap/>
            <w:vAlign w:val="center"/>
            <w:hideMark/>
          </w:tcPr>
          <w:p w:rsidR="00000000" w:rsidRDefault="00CB4B9E">
            <w:pPr>
              <w:widowControl/>
              <w:spacing w:line="360" w:lineRule="exact"/>
              <w:jc w:val="center"/>
              <w:rPr>
                <w:rFonts w:ascii="宋体" w:hAnsi="宋体" w:cs="Segoe UI"/>
                <w:color w:val="000000" w:themeColor="text1"/>
                <w:kern w:val="0"/>
                <w:sz w:val="18"/>
                <w:szCs w:val="18"/>
              </w:rPr>
            </w:pPr>
            <w:r w:rsidRPr="00CB4B9E">
              <w:rPr>
                <w:rFonts w:ascii="宋体" w:hAnsi="宋体" w:cs="Segoe UI"/>
                <w:color w:val="000000" w:themeColor="text1"/>
                <w:kern w:val="0"/>
                <w:sz w:val="18"/>
                <w:szCs w:val="18"/>
              </w:rPr>
              <w:t>Harare</w:t>
            </w:r>
          </w:p>
        </w:tc>
        <w:tc>
          <w:tcPr>
            <w:tcW w:w="1904" w:type="dxa"/>
            <w:tcBorders>
              <w:top w:val="nil"/>
              <w:left w:val="nil"/>
              <w:bottom w:val="single" w:sz="4" w:space="0" w:color="auto"/>
              <w:right w:val="single" w:sz="4" w:space="0" w:color="auto"/>
            </w:tcBorders>
            <w:shd w:val="clear" w:color="auto" w:fill="auto"/>
            <w:vAlign w:val="center"/>
            <w:hideMark/>
          </w:tcPr>
          <w:p w:rsidR="00000000" w:rsidRDefault="00CB4B9E">
            <w:pPr>
              <w:widowControl/>
              <w:spacing w:line="360" w:lineRule="exact"/>
              <w:jc w:val="center"/>
              <w:rPr>
                <w:rFonts w:ascii="宋体" w:hAnsi="宋体" w:cs="Arial"/>
                <w:color w:val="000000" w:themeColor="text1"/>
                <w:kern w:val="0"/>
                <w:sz w:val="18"/>
                <w:szCs w:val="18"/>
              </w:rPr>
            </w:pPr>
            <w:r w:rsidRPr="00CB4B9E">
              <w:rPr>
                <w:rFonts w:ascii="宋体" w:hAnsi="宋体" w:cs="Arial" w:hint="eastAsia"/>
                <w:color w:val="000000" w:themeColor="text1"/>
                <w:kern w:val="0"/>
                <w:sz w:val="18"/>
                <w:szCs w:val="18"/>
              </w:rPr>
              <w:t>哈拉雷</w:t>
            </w:r>
          </w:p>
        </w:tc>
      </w:tr>
    </w:tbl>
    <w:p w:rsidR="00A67CEB" w:rsidRPr="009263D7" w:rsidRDefault="00A67CEB" w:rsidP="00A67CEB">
      <w:pPr>
        <w:spacing w:line="360" w:lineRule="auto"/>
        <w:rPr>
          <w:rFonts w:ascii="宋体" w:hAnsi="宋体"/>
          <w:b/>
          <w:color w:val="000000" w:themeColor="text1"/>
          <w:sz w:val="18"/>
          <w:szCs w:val="18"/>
        </w:rPr>
      </w:pPr>
    </w:p>
    <w:p w:rsidR="00105ED1" w:rsidRPr="009263D7" w:rsidRDefault="00105ED1" w:rsidP="0086405C">
      <w:pPr>
        <w:ind w:firstLineChars="200" w:firstLine="360"/>
        <w:rPr>
          <w:rFonts w:ascii="宋体" w:hAnsi="宋体"/>
          <w:color w:val="000000" w:themeColor="text1"/>
          <w:sz w:val="18"/>
          <w:szCs w:val="18"/>
        </w:rPr>
        <w:sectPr w:rsidR="00105ED1" w:rsidRPr="009263D7" w:rsidSect="00A67CEB">
          <w:pgSz w:w="16838" w:h="11906" w:orient="landscape" w:code="9"/>
          <w:pgMar w:top="1797" w:right="1440" w:bottom="1797" w:left="1440" w:header="851" w:footer="992" w:gutter="0"/>
          <w:cols w:space="425"/>
          <w:docGrid w:type="linesAndChars" w:linePitch="312"/>
        </w:sectPr>
      </w:pPr>
    </w:p>
    <w:p w:rsidR="00000000" w:rsidRDefault="00CB4B9E">
      <w:pPr>
        <w:pStyle w:val="2"/>
        <w:numPr>
          <w:ilvl w:val="0"/>
          <w:numId w:val="28"/>
        </w:numPr>
        <w:tabs>
          <w:tab w:val="left" w:pos="780"/>
        </w:tabs>
        <w:spacing w:before="0" w:after="0" w:line="960" w:lineRule="exact"/>
        <w:ind w:left="1701"/>
        <w:jc w:val="center"/>
        <w:rPr>
          <w:rFonts w:ascii="宋体" w:hAnsi="宋体"/>
          <w:b w:val="0"/>
          <w:color w:val="000000" w:themeColor="text1"/>
          <w:sz w:val="28"/>
          <w:szCs w:val="28"/>
        </w:rPr>
      </w:pPr>
      <w:bookmarkStart w:id="301" w:name="_Toc452019952"/>
      <w:r w:rsidRPr="00CB4B9E">
        <w:rPr>
          <w:rFonts w:ascii="宋体" w:hAnsi="宋体" w:hint="eastAsia"/>
          <w:b w:val="0"/>
          <w:color w:val="000000" w:themeColor="text1"/>
          <w:sz w:val="28"/>
          <w:szCs w:val="28"/>
        </w:rPr>
        <w:lastRenderedPageBreak/>
        <w:t>境外上市非金融企业参考名录</w:t>
      </w:r>
      <w:bookmarkEnd w:id="301"/>
    </w:p>
    <w:tbl>
      <w:tblPr>
        <w:tblW w:w="8600" w:type="dxa"/>
        <w:tblInd w:w="98" w:type="dxa"/>
        <w:tblLook w:val="04A0"/>
      </w:tblPr>
      <w:tblGrid>
        <w:gridCol w:w="516"/>
        <w:gridCol w:w="916"/>
        <w:gridCol w:w="1555"/>
        <w:gridCol w:w="1082"/>
        <w:gridCol w:w="903"/>
        <w:gridCol w:w="1654"/>
        <w:gridCol w:w="1974"/>
      </w:tblGrid>
      <w:tr w:rsidR="00105ED1" w:rsidRPr="009263D7" w:rsidTr="00A207E5">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b/>
                <w:bCs/>
                <w:color w:val="000000" w:themeColor="text1"/>
                <w:kern w:val="0"/>
                <w:sz w:val="20"/>
                <w:szCs w:val="20"/>
              </w:rPr>
            </w:pPr>
            <w:r w:rsidRPr="00CB4B9E">
              <w:rPr>
                <w:rFonts w:ascii="仿宋_GB2312" w:eastAsia="仿宋_GB2312" w:hAnsi="宋体" w:cs="宋体" w:hint="eastAsia"/>
                <w:b/>
                <w:bCs/>
                <w:color w:val="000000" w:themeColor="text1"/>
                <w:kern w:val="0"/>
                <w:sz w:val="20"/>
                <w:szCs w:val="20"/>
              </w:rPr>
              <w:t>序号</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b/>
                <w:bCs/>
                <w:color w:val="000000" w:themeColor="text1"/>
                <w:kern w:val="0"/>
                <w:sz w:val="20"/>
                <w:szCs w:val="20"/>
              </w:rPr>
            </w:pPr>
            <w:r w:rsidRPr="00CB4B9E">
              <w:rPr>
                <w:rFonts w:ascii="仿宋_GB2312" w:eastAsia="仿宋_GB2312" w:hAnsi="宋体" w:cs="宋体" w:hint="eastAsia"/>
                <w:b/>
                <w:bCs/>
                <w:color w:val="000000" w:themeColor="text1"/>
                <w:kern w:val="0"/>
                <w:sz w:val="20"/>
                <w:szCs w:val="20"/>
              </w:rPr>
              <w:t>股票代码</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b/>
                <w:bCs/>
                <w:color w:val="000000" w:themeColor="text1"/>
                <w:kern w:val="0"/>
                <w:sz w:val="20"/>
                <w:szCs w:val="20"/>
              </w:rPr>
            </w:pPr>
            <w:r w:rsidRPr="00CB4B9E">
              <w:rPr>
                <w:rFonts w:ascii="仿宋_GB2312" w:eastAsia="仿宋_GB2312" w:hAnsi="宋体" w:cs="宋体" w:hint="eastAsia"/>
                <w:b/>
                <w:bCs/>
                <w:color w:val="000000" w:themeColor="text1"/>
                <w:kern w:val="0"/>
                <w:sz w:val="20"/>
                <w:szCs w:val="20"/>
              </w:rPr>
              <w:t>企业名称</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b/>
                <w:bCs/>
                <w:color w:val="000000" w:themeColor="text1"/>
                <w:kern w:val="0"/>
                <w:sz w:val="20"/>
                <w:szCs w:val="20"/>
              </w:rPr>
            </w:pPr>
            <w:r w:rsidRPr="00CB4B9E">
              <w:rPr>
                <w:rFonts w:ascii="仿宋_GB2312" w:eastAsia="仿宋_GB2312" w:hAnsi="宋体" w:cs="宋体" w:hint="eastAsia"/>
                <w:b/>
                <w:bCs/>
                <w:color w:val="000000" w:themeColor="text1"/>
                <w:kern w:val="0"/>
                <w:sz w:val="20"/>
                <w:szCs w:val="20"/>
              </w:rPr>
              <w:t>行业</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b/>
                <w:bCs/>
                <w:color w:val="000000" w:themeColor="text1"/>
                <w:kern w:val="0"/>
                <w:sz w:val="20"/>
                <w:szCs w:val="20"/>
              </w:rPr>
            </w:pPr>
            <w:r w:rsidRPr="00CB4B9E">
              <w:rPr>
                <w:rFonts w:ascii="仿宋_GB2312" w:eastAsia="仿宋_GB2312" w:hAnsi="宋体" w:cs="宋体" w:hint="eastAsia"/>
                <w:b/>
                <w:bCs/>
                <w:color w:val="000000" w:themeColor="text1"/>
                <w:kern w:val="0"/>
                <w:sz w:val="20"/>
                <w:szCs w:val="20"/>
              </w:rPr>
              <w:t>境外上市地</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b/>
                <w:bCs/>
                <w:color w:val="000000" w:themeColor="text1"/>
                <w:kern w:val="0"/>
                <w:sz w:val="20"/>
                <w:szCs w:val="20"/>
              </w:rPr>
            </w:pPr>
            <w:r w:rsidRPr="00CB4B9E">
              <w:rPr>
                <w:rFonts w:ascii="仿宋_GB2312" w:eastAsia="仿宋_GB2312" w:hAnsi="宋体" w:cs="宋体" w:hint="eastAsia"/>
                <w:b/>
                <w:bCs/>
                <w:color w:val="000000" w:themeColor="text1"/>
                <w:kern w:val="0"/>
                <w:sz w:val="20"/>
                <w:szCs w:val="20"/>
              </w:rPr>
              <w:t>上市日期</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b/>
                <w:bCs/>
                <w:color w:val="000000" w:themeColor="text1"/>
                <w:kern w:val="0"/>
                <w:sz w:val="20"/>
                <w:szCs w:val="20"/>
              </w:rPr>
            </w:pPr>
            <w:r w:rsidRPr="00CB4B9E">
              <w:rPr>
                <w:rFonts w:ascii="仿宋_GB2312" w:eastAsia="仿宋_GB2312" w:hAnsi="宋体" w:cs="宋体" w:hint="eastAsia"/>
                <w:b/>
                <w:bCs/>
                <w:color w:val="000000" w:themeColor="text1"/>
                <w:kern w:val="0"/>
                <w:sz w:val="20"/>
                <w:szCs w:val="20"/>
              </w:rPr>
              <w:t>企业所属外汇局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1122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庆铃汽车股份有限公司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1994/8/17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国家外汇管理局重庆外汇管理部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1292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重庆长安民生物流股份有限公司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2006/2/23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国家外汇管理局重庆外汇管理部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3903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瀚华金控集团股份有限公司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2014/6/19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国家外汇管理局重庆外汇管理部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2722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重庆机电股份有限公司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2008/6/13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国家外汇管理局重庆外汇管理部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1053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重庆钢铁股份有限公司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1997/10/17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国家外汇管理局重庆外汇管理部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8249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宁波屹东电子股份有限公司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2003/11/14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国家外汇管理局浙江省分局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2355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宝业集团股份有限公司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2003/6/30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国家外汇管理局浙江省分局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8211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浙江永隆实业股份有限公司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2002/11/8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国家外汇管理局浙江省分局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8273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浙江展望股份有限公司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2004/2/18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国家外汇管理局浙江省分局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954</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浙江浙大网新兰德股份有限公司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2002/5/3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国家外汇管理局浙江省分局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576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浙江沪杭甬高速公路股份有限公司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香港、伦敦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1997/5/15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国家外汇管理局浙江省分局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8139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浙江长安仁恒科技股份有限公司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2015/1/16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国家外汇管理局浙江省分局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1057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浙江世宝股份有限公司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2006/5/16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国家外汇管理局浙江省分局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300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沈机集团昆明机床股份有限公司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1993/12/7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国家外汇管理局云南省分局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6839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云南水务投资股份有限公司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2015/5/27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国家外汇管理局云南省分局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3833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新疆新鑫矿业股份有限公司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2007/10/12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国家外汇管理局新疆维吾尔自治区分局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6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2208</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6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新疆金风科技股份有限公司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6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6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6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2010/10/8</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6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国家外汇管理局新疆维吾尔自治区分局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18</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840</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新疆天业节水灌溉股份有限公司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2006/2/28</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国家外汇管理局新疆维吾尔自治区分局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1065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天津创业环保股份有限公司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1994/5/17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国家外汇管理局天津市分局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2883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中海油田服务股份有限公司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2002/11/20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国家外汇管理局天津市分局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1919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中国远洋控股股份有限公司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2005/6/30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国家外汇管理局天津市分局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8189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天津泰达生物医学工程股份有限公司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2002/6/18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国家外汇管理局天津市分局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8348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天津滨海泰达物流集团股份有限公司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2008/4/30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国家外汇管理局天津市分局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1265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天津天联公用事业股份有限公司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2004/1/9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国家外汇管理局天津市分局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*SSE</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天津中新药业集团股份有限公司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新加坡</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1997/6/27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国家外汇管理局天津市分局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811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四川新华文轩连锁股份有限公司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2007/5/30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国家外汇管理局四川省分局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1072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东方电气股份有限公司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1994/6/6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国家外汇管理局四川省分局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1202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成都普天电缆股份有限公司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1994/12/13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国家外汇管理局四川省分局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29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四川成渝高速公路股份有限公司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1997/10/7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国家外汇管理局四川省分局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8329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深圳海王英特龙生物技术股份有限公司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2005/9/12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161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深圳中航实业股份有限公司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1997/9/29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895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深圳市东江环保股份有限公司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45EE7">
        <w:trPr>
          <w:trHeight w:val="78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33</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2039</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中国国际海运集装箱（集团）股份有限公司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2012/12/19</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2202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万科企业股份有限公司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2014/6/25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35</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1816</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中广核电力股份有限公司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2014/12/10</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8236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深圳市宝德科技股份有限公司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2002/12/12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525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广深铁路股份有限公司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香港、纽约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1996/5/14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548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深圳高速公路股份有限公司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1997/3/12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28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39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1211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比亚迪股份有限公司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2002/7/31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763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中兴通讯股份有限公司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2004/12/9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2308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研祥智能科技股份有限公司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2010/7/12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2488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深圳市元征科技股份有限公司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2002/10/7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1330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绿色动力环保集团股份有限公司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2014/6/19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8301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深圳市明华澳汉科技股份有限公司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2004/7/7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国家外汇管理局深圳市分局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2607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上海医药股份有限公司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2011/5/20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8102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上海复旦微电子股份有限公司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2000/8/4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中国石化上海石油化工股份有限公司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香港、纽约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1993/7/26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1138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中海发展股份有限公司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1994/11/11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49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670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中国东方航空股份有限公司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香港、纽约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1997/2/5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980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联华超市股份有限公司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2003/6/27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51</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2866</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中海集装箱运输股份有限公司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2004/6/16</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2727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上海电气集团股份有限公司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2005/4/28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3355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上海先进半导体制造股份有限公司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2006/4/7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54</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2345</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上海集优机械股份有限公司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2006/4/27</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78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上海锦江国际酒店（集团）股份有限公司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2006/12/15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1099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国药控股股份有限公司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2009/9/23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1103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上海栋华石油化工股份有限公司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2005/7/13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2196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上海复星医药（集团）股份有限公司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2012/10/30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59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1349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上海复旦张江生物医药股份有限公司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2002/8/13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6116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上海拉夏贝尔服饰股份有限公司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2014/10/9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8205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上海交大慧谷信息产业股份有限公司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2002/7/31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8115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上海青浦消防器材股份有限公司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2004/6/30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6826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上海昊海生物科技股份有限公司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2015/4/30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1528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红星美凯龙家居集团股份有限公司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2015/6/29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国家外汇管理局上海市分局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438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彩虹电子集团股份有限公司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2004/12/20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国家外汇管理局陕西省分局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8258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陕西西北新技术实业股份有限公司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2003/7/3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国家外汇管理局陕西省分局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67</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8227</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西安海天天线科技股份有限公司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2003/11/5</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国家外汇管理局陕西省分局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8286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山西长城微光器材股份有限公司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2004/5/18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国家外汇管理局山西省分局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69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8058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山东罗欣药业股份有限公司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2005/12/9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2698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魏桥纺织股份有限公司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2003/9/24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71</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1171</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兖州煤业股份有限公司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香港、纽约</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1998/4/1</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719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山东新华制药股份有限公司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1996/12/31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1818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招金矿业股份有限公司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2006/12/8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2338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潍柴动力股份有限公司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2004/3/11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78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1066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山东威高集团医用高分子制品股份有限公司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2010/7/29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568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山东墨龙石油机械股份有限公司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2004/4/15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1812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山东晨鸣纸业集团股份有限公司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2008/6/18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1071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华电国际股份有限公司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1999/6/30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79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2218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烟台北方安德利果汁股份有限公司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2003/4/22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国家外汇管理局山东省分局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3378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厦门国际港务股份有限公司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2005/12/19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国家外汇管理局厦门市分局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168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青岛啤酒股份有限公司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1993/7/15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国家外汇管理局青岛市分局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6198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青岛港国际股份有限公司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2014/6/6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国家外汇管理局青岛市分局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3948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内蒙古伊泰煤炭股份有限公司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2012/7/12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国家外汇管理局内蒙古自治区分局</w:t>
            </w:r>
          </w:p>
        </w:tc>
      </w:tr>
      <w:tr w:rsidR="00105ED1" w:rsidRPr="009263D7" w:rsidTr="00A207E5">
        <w:trPr>
          <w:trHeight w:val="28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347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鞍钢股份有限公司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1997/7/24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国家外汇管理局辽宁省分局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85</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42</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东北电气发展股份有限公司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1995/7/6</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国家外汇管理局辽宁省分局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747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沈阳公用发展股份有限公司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1999/12/16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国家外汇管理局辽宁省分局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358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江西铜业股份有限公司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香港、伦敦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1997/6/12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国家外汇管理局江西省分局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*JUN SP</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骏马化纤股份有限公司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新加坡</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2004/11/25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89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1033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中国石化仪征化纤股份有限公司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1994/3/29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90</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914</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安徽海螺水泥股份有限公司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1997/10/21</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1289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无锡盛力达科技股份有限公司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2014/11/11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553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南京熊猫电子股份有限公司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1996/5/2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177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江苏宁沪高速公路股份有限公司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1997/6/27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1708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南京三宝科技股份有限公司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2004/6/9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8045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江苏南大苏富特软件股份有限公司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2001/4/24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8243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南京大贺户外传媒股份有限公司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2003/11/13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3332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南京中生联合股份有限公司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8208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常茂生物化学工程股份有限公司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2002/6/28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国家外汇管理局江苏省分局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99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8049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吉林省辉南长龙生化药业股份有限公司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2001/5/24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国家外汇管理局吉林省分局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549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吉林奇峰化纤股份有限公司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2006/6/21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国家外汇管理局吉林省分局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8197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吉林东北虎药业股份有限公司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2002/2/28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国家外汇管理局吉林省分局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3898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株洲南车时代电气股份有限公司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2006/12/20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国家外汇管理局湖南省分局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1157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长沙中联重工科技发展股份有限公司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2010/12/23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国家外汇管理局湖南省分局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2626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湖南有色金属股份有限公司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2006/3/31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国家外汇管理局湖南省分局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489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东风汽车集团股份有限公司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2005/12/7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国家外汇管理局湖北省分局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6869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长飞光纤光缆股份有限公司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2014/12/10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国家外汇管理局湖北省分局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1133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哈尔滨动力设备股份有限公司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1994/12/16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国家外汇管理局黑龙江省分局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108</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3330</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灵宝黄金股份有限公司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2006/1/12</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109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8253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三门峡天元铝业股份有限公司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2004/7/13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1108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洛阳玻璃股份有限公司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1994/7/8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第一拖拉机股份有限公司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1997/6/23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3993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洛阳栾川钼业集团股份有限公司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2007/4/26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564</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郑州煤矿机械集团股份有限公司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2012/12/5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2333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长城汽车股份有限公司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2003/12/15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3369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秦皇岛港股份有限公司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2013/12/12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956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新天绿色能源股份有限公司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2010/10/13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国家外汇管理局河北省分局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357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海南美兰机场股份有限公司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2002/11/18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国家外汇管理局海南省分局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3983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中海石油化学股份有限公司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2006/9/29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国家外汇管理局海南省分局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119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1513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丽珠医药集团股份有限公司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2014/1/14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国家外汇管理局广东省分局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921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海信科龙电器股份有限公司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1996/7/23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国家外汇管理局广东省分局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874</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广州药业股份有限公司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1997/10/30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国家外汇管理局广东省分局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3399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广东南粤物流股份有限公司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2005/10/26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国家外汇管理局广东省分局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317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广州广船国际股份有限公司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1993/8/6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国家外汇管理局广东省分局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1055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中国南方航空股份有限公司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香港、纽约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1997/7/31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国家外汇管理局广东省分局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2777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广州富力地产股份有限公司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2005/7/14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国家外汇管理局广东省分局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2238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广州汽车集团股份有限公司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2010/8/30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国家外汇管理局广东省分局</w:t>
            </w:r>
          </w:p>
        </w:tc>
      </w:tr>
      <w:tr w:rsidR="00105ED1" w:rsidRPr="009263D7" w:rsidTr="00A207E5">
        <w:trPr>
          <w:trHeight w:val="28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1819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富贵鸟股份有限公司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2013/12/20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国家外汇管理局福建省分局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128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2899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紫金矿业集团股份有限公司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2003/12/23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国家外汇管理局福建省分局</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129</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1353</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福建诺奇股份有限公司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2014/1/9</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国家外汇管理局福建省分局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*FUJIAN ZY</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福建振云塑业股份有限公司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新加坡</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2007/8/3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国家外汇管理局福建省分局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816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华电福新能源股份有限公司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2012/6/28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国家外汇管理局福建省分局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3606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福耀玻璃工业集团股份有限公司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2015/3/31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国家外汇管理局福建省分局</w:t>
            </w:r>
          </w:p>
        </w:tc>
      </w:tr>
      <w:tr w:rsidR="00105ED1" w:rsidRPr="009263D7" w:rsidTr="00A207E5">
        <w:trPr>
          <w:trHeight w:val="28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2880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大连港股份有限公司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2006/4/28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国家外汇管理局大连市分局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3699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万达商业地产股份有限公司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2014/12/23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国家外汇管理局大连市分局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北人印刷机械股份有限公司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1993/8/6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350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经纬纺织机械股份有限公司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1996/2/2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902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华能国际电力股份有限公司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1998/1/21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991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大唐国际发电股份有限公司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香港、伦敦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1997/3/21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139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588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北京北辰实业股份有限公司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1997/5/14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694</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北京首都国际机场股份有限公司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2000/2/1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857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中国石油天然气股份有限公司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香港、纽约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2000/4/7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78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386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中国石油化工股份有限公司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香港、纽约、伦敦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2000/10/19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0696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中国民航信息网络股份有限公司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2001/2/7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2600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中国铝业股份有限公司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香港、纽约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2001/12/12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728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中国电信股份有限公司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香港、美国</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2002/11/15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598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中国外运股份有限公司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2003/2/13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2868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首创置业股份有限公司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2003/6/19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148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2357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中国航空科技工业股份有限公司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2003/10/30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28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149</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2328</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中国人民财产保险股份有限公司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2003/11/6</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753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中国国际航空股份有限公司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香港、伦敦</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2004/12/15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1000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北青传媒股份有限公司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2004/12/22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1088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中国神华能源股份有限公司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2005/6/15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3323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中国建材股份有限公司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2006/3/23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552</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中国通信服务股份有限公司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2006/12/8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1800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中国交通建设股份有限公司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2006/12/15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1898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中国中煤能源股份有限公司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2006/12/19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390</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中国中铁股份有限公司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2007/12/7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1893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中国中材股份有限公司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2007/12/20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159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814</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北京京客隆商业集团股份有限公司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2006/9/25</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1186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中国铁建股份有限公司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2008/3/13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1766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中国南车股份有限公司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2008/8/21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北京金隅股份有限公司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2009/7/29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1618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中国冶金科工股份有限公司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2009/9/24</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916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龙源电力集团股份有限公司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2009/12/10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1666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北京同仁堂科技发展股份有限公司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2010/7/9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1798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中国大唐集团新能源股份有限公司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2010/12/17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1075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首都信息发展股份有限公司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2001/12/21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168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958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华能新能源股份有限公司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2011/6/10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169</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1025</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北京物美商业集团股份有限公司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2003/11/21</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579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北京京能清洁能源电力股份有限公司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2011/12/22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1296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国电科技环保集团股份有限公司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2011/12/30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2068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中铝国际工程股份有限公司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2012/7/6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1829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中国机械设备工程股份有限公司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2012/12/21</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6881</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中国银河证券股份有限公司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非银行金融机构</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2013/5/22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2386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中石化炼化工程（集团）股份有限公司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2013/5/23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176</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3636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保利文化集团股份有限公司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2014/3/6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6199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中国北车股份有限公司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2014/5/22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1558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畅捷通信息技术股份有限公司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2014/6/26</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179</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6188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北京迪信通商贸股份有限公司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2014/7/8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180</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1599</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北京城建设计发展集团股份有限公司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2014/7/8</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181</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1958</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北京汽车股份有限公司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2014/12/19</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182</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8095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北京北大青鸟环宇科技股份有限公司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2000/7/27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183</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8235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赛迪顾问股份有限公司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2002/12/12</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184</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8247</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中生北控生物科技股份有限公司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2006/2/27</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185</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3396</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联想控股股份有限公司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2015/6/30</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2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国家外汇管理局北京外汇管理部</w:t>
            </w:r>
          </w:p>
        </w:tc>
      </w:tr>
      <w:tr w:rsidR="00105ED1" w:rsidRPr="009263D7" w:rsidTr="00A45EE7">
        <w:trPr>
          <w:trHeight w:val="520"/>
        </w:trPr>
        <w:tc>
          <w:tcPr>
            <w:tcW w:w="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lastRenderedPageBreak/>
              <w:t>186</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839</w:t>
            </w:r>
          </w:p>
        </w:tc>
        <w:tc>
          <w:tcPr>
            <w:tcW w:w="1555"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安徽天大石油管材股份有限公司</w:t>
            </w:r>
          </w:p>
        </w:tc>
        <w:tc>
          <w:tcPr>
            <w:tcW w:w="1082"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2006/12/1</w:t>
            </w:r>
          </w:p>
        </w:tc>
        <w:tc>
          <w:tcPr>
            <w:tcW w:w="1974" w:type="dxa"/>
            <w:tcBorders>
              <w:top w:val="single" w:sz="4" w:space="0" w:color="auto"/>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国家外汇管理局安徽省分局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187</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323</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马鞍山钢铁股份有限公司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1993/11/3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国家外汇管理局安徽省分局</w:t>
            </w:r>
          </w:p>
        </w:tc>
      </w:tr>
      <w:tr w:rsidR="00105ED1" w:rsidRPr="009263D7" w:rsidTr="00A207E5">
        <w:trPr>
          <w:trHeight w:val="520"/>
        </w:trPr>
        <w:tc>
          <w:tcPr>
            <w:tcW w:w="516" w:type="dxa"/>
            <w:tcBorders>
              <w:top w:val="nil"/>
              <w:left w:val="single" w:sz="4" w:space="0" w:color="auto"/>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color w:val="000000" w:themeColor="text1"/>
                <w:sz w:val="20"/>
                <w:szCs w:val="20"/>
              </w:rPr>
              <w:t>188</w:t>
            </w:r>
          </w:p>
        </w:tc>
        <w:tc>
          <w:tcPr>
            <w:tcW w:w="916"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995</w:t>
            </w:r>
          </w:p>
        </w:tc>
        <w:tc>
          <w:tcPr>
            <w:tcW w:w="1555"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安徽皖通高速公路股份有限公司</w:t>
            </w:r>
          </w:p>
        </w:tc>
        <w:tc>
          <w:tcPr>
            <w:tcW w:w="1082"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非金融</w:t>
            </w:r>
          </w:p>
        </w:tc>
        <w:tc>
          <w:tcPr>
            <w:tcW w:w="903"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香港</w:t>
            </w:r>
          </w:p>
        </w:tc>
        <w:tc>
          <w:tcPr>
            <w:tcW w:w="165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color w:val="000000" w:themeColor="text1"/>
                <w:kern w:val="0"/>
                <w:sz w:val="20"/>
                <w:szCs w:val="20"/>
              </w:rPr>
              <w:t>1996/11/13</w:t>
            </w:r>
          </w:p>
        </w:tc>
        <w:tc>
          <w:tcPr>
            <w:tcW w:w="1974" w:type="dxa"/>
            <w:tcBorders>
              <w:top w:val="nil"/>
              <w:left w:val="nil"/>
              <w:bottom w:val="single" w:sz="4" w:space="0" w:color="auto"/>
              <w:right w:val="single" w:sz="4" w:space="0" w:color="auto"/>
            </w:tcBorders>
            <w:shd w:val="clear" w:color="000000" w:fill="FFFFFF"/>
            <w:vAlign w:val="center"/>
            <w:hideMark/>
          </w:tcPr>
          <w:p w:rsidR="00000000" w:rsidRDefault="00CB4B9E">
            <w:pPr>
              <w:widowControl/>
              <w:spacing w:line="300" w:lineRule="exact"/>
              <w:jc w:val="center"/>
              <w:rPr>
                <w:rFonts w:ascii="仿宋_GB2312" w:eastAsia="仿宋_GB2312" w:hAnsi="宋体" w:cs="宋体"/>
                <w:color w:val="000000" w:themeColor="text1"/>
                <w:kern w:val="0"/>
                <w:sz w:val="20"/>
                <w:szCs w:val="20"/>
              </w:rPr>
            </w:pPr>
            <w:r w:rsidRPr="00CB4B9E">
              <w:rPr>
                <w:rFonts w:ascii="仿宋_GB2312" w:eastAsia="仿宋_GB2312" w:hAnsi="宋体" w:cs="宋体" w:hint="eastAsia"/>
                <w:color w:val="000000" w:themeColor="text1"/>
                <w:kern w:val="0"/>
                <w:sz w:val="20"/>
                <w:szCs w:val="20"/>
              </w:rPr>
              <w:t>国家外汇管理局安徽省分局</w:t>
            </w:r>
          </w:p>
        </w:tc>
      </w:tr>
    </w:tbl>
    <w:p w:rsidR="00000000" w:rsidRDefault="00C97103">
      <w:pPr>
        <w:rPr>
          <w:b/>
          <w:color w:val="000000" w:themeColor="text1"/>
        </w:rPr>
      </w:pPr>
    </w:p>
    <w:p w:rsidR="008118AE" w:rsidRPr="009263D7" w:rsidRDefault="008118AE" w:rsidP="0086405C">
      <w:pPr>
        <w:ind w:firstLineChars="200" w:firstLine="360"/>
        <w:rPr>
          <w:rFonts w:ascii="宋体" w:hAnsi="宋体"/>
          <w:color w:val="000000" w:themeColor="text1"/>
          <w:sz w:val="18"/>
          <w:szCs w:val="18"/>
        </w:rPr>
      </w:pPr>
    </w:p>
    <w:sectPr w:rsidR="008118AE" w:rsidRPr="009263D7" w:rsidSect="00105ED1">
      <w:pgSz w:w="11906" w:h="16838" w:code="9"/>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103" w:rsidRDefault="00C97103">
      <w:r>
        <w:separator/>
      </w:r>
    </w:p>
  </w:endnote>
  <w:endnote w:type="continuationSeparator" w:id="1">
    <w:p w:rsidR="00C97103" w:rsidRDefault="00C97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81B" w:rsidRDefault="00CB4B9E" w:rsidP="004C48FD">
    <w:pPr>
      <w:pStyle w:val="a6"/>
      <w:framePr w:wrap="around" w:vAnchor="text" w:hAnchor="margin" w:xAlign="center" w:y="1"/>
      <w:rPr>
        <w:rStyle w:val="a5"/>
      </w:rPr>
    </w:pPr>
    <w:r>
      <w:rPr>
        <w:rStyle w:val="a5"/>
      </w:rPr>
      <w:fldChar w:fldCharType="begin"/>
    </w:r>
    <w:r w:rsidR="0075681B">
      <w:rPr>
        <w:rStyle w:val="a5"/>
      </w:rPr>
      <w:instrText xml:space="preserve">PAGE  </w:instrText>
    </w:r>
    <w:r>
      <w:rPr>
        <w:rStyle w:val="a5"/>
      </w:rPr>
      <w:fldChar w:fldCharType="end"/>
    </w:r>
  </w:p>
  <w:p w:rsidR="0075681B" w:rsidRDefault="0075681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81B" w:rsidRDefault="00CB4B9E" w:rsidP="004C48FD">
    <w:pPr>
      <w:pStyle w:val="a6"/>
      <w:framePr w:wrap="around" w:vAnchor="text" w:hAnchor="margin" w:xAlign="center" w:y="1"/>
      <w:rPr>
        <w:rStyle w:val="a5"/>
      </w:rPr>
    </w:pPr>
    <w:r>
      <w:rPr>
        <w:rStyle w:val="a5"/>
      </w:rPr>
      <w:fldChar w:fldCharType="begin"/>
    </w:r>
    <w:r w:rsidR="0075681B">
      <w:rPr>
        <w:rStyle w:val="a5"/>
      </w:rPr>
      <w:instrText xml:space="preserve">PAGE  </w:instrText>
    </w:r>
    <w:r>
      <w:rPr>
        <w:rStyle w:val="a5"/>
      </w:rPr>
      <w:fldChar w:fldCharType="separate"/>
    </w:r>
    <w:r w:rsidR="00D1396C">
      <w:rPr>
        <w:rStyle w:val="a5"/>
        <w:noProof/>
      </w:rPr>
      <w:t>2</w:t>
    </w:r>
    <w:r>
      <w:rPr>
        <w:rStyle w:val="a5"/>
      </w:rPr>
      <w:fldChar w:fldCharType="end"/>
    </w:r>
  </w:p>
  <w:p w:rsidR="0075681B" w:rsidRDefault="0075681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81B" w:rsidRDefault="00CB4B9E">
    <w:pPr>
      <w:pStyle w:val="a6"/>
      <w:jc w:val="center"/>
    </w:pPr>
    <w:fldSimple w:instr=" PAGE   \* MERGEFORMAT ">
      <w:r w:rsidR="00D1396C" w:rsidRPr="00D1396C">
        <w:rPr>
          <w:noProof/>
          <w:lang w:val="zh-CN"/>
        </w:rPr>
        <w:t>1</w:t>
      </w:r>
    </w:fldSimple>
  </w:p>
  <w:p w:rsidR="0075681B" w:rsidRDefault="0075681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103" w:rsidRDefault="00C97103">
      <w:r>
        <w:separator/>
      </w:r>
    </w:p>
  </w:footnote>
  <w:footnote w:type="continuationSeparator" w:id="1">
    <w:p w:rsidR="00C97103" w:rsidRDefault="00C971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07DC5"/>
    <w:multiLevelType w:val="hybridMultilevel"/>
    <w:tmpl w:val="9CB429E2"/>
    <w:lvl w:ilvl="0" w:tplc="BA9443B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1210B2"/>
    <w:multiLevelType w:val="hybridMultilevel"/>
    <w:tmpl w:val="9B06D136"/>
    <w:lvl w:ilvl="0" w:tplc="D32CD0A4">
      <w:start w:val="1"/>
      <w:numFmt w:val="decimal"/>
      <w:lvlText w:val="%1."/>
      <w:lvlJc w:val="left"/>
      <w:pPr>
        <w:ind w:left="1050" w:hanging="630"/>
      </w:pPr>
      <w:rPr>
        <w:rFonts w:ascii="黑体" w:eastAsia="黑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32A0669"/>
    <w:multiLevelType w:val="hybridMultilevel"/>
    <w:tmpl w:val="3B405E76"/>
    <w:lvl w:ilvl="0" w:tplc="2814EE70">
      <w:start w:val="1"/>
      <w:numFmt w:val="decimal"/>
      <w:lvlText w:val="%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A05C0E"/>
    <w:multiLevelType w:val="hybridMultilevel"/>
    <w:tmpl w:val="349CB648"/>
    <w:lvl w:ilvl="0" w:tplc="A2E23586">
      <w:start w:val="1"/>
      <w:numFmt w:val="decimal"/>
      <w:lvlText w:val="5.%1"/>
      <w:lvlJc w:val="left"/>
      <w:pPr>
        <w:tabs>
          <w:tab w:val="num" w:pos="0"/>
        </w:tabs>
        <w:ind w:left="0" w:firstLine="0"/>
      </w:pPr>
      <w:rPr>
        <w:rFonts w:hint="default"/>
        <w:b w:val="0"/>
        <w:i w:val="0"/>
        <w:sz w:val="24"/>
        <w:szCs w:val="24"/>
      </w:rPr>
    </w:lvl>
    <w:lvl w:ilvl="1" w:tplc="04090019">
      <w:start w:val="1"/>
      <w:numFmt w:val="lowerLetter"/>
      <w:lvlText w:val="%2."/>
      <w:lvlJc w:val="left"/>
      <w:pPr>
        <w:tabs>
          <w:tab w:val="num" w:pos="1584"/>
        </w:tabs>
        <w:ind w:left="1584" w:hanging="360"/>
      </w:pPr>
    </w:lvl>
    <w:lvl w:ilvl="2" w:tplc="F0F8F9C4">
      <w:start w:val="1"/>
      <w:numFmt w:val="lowerLetter"/>
      <w:lvlText w:val="(%3)"/>
      <w:lvlJc w:val="left"/>
      <w:pPr>
        <w:tabs>
          <w:tab w:val="num" w:pos="2484"/>
        </w:tabs>
        <w:ind w:left="2484" w:hanging="360"/>
      </w:pPr>
      <w:rPr>
        <w:rFonts w:hint="default"/>
      </w:r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4">
    <w:nsid w:val="0E9E018F"/>
    <w:multiLevelType w:val="hybridMultilevel"/>
    <w:tmpl w:val="56EAA374"/>
    <w:lvl w:ilvl="0" w:tplc="7DF0F6D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E1D6F"/>
    <w:multiLevelType w:val="hybridMultilevel"/>
    <w:tmpl w:val="2E96A272"/>
    <w:lvl w:ilvl="0" w:tplc="AA6221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E67FA"/>
    <w:multiLevelType w:val="hybridMultilevel"/>
    <w:tmpl w:val="4E8E33B2"/>
    <w:lvl w:ilvl="0" w:tplc="765C22EC">
      <w:start w:val="1"/>
      <w:numFmt w:val="bullet"/>
      <w:lvlText w:val="•"/>
      <w:lvlJc w:val="left"/>
      <w:pPr>
        <w:tabs>
          <w:tab w:val="num" w:pos="720"/>
        </w:tabs>
        <w:ind w:left="720" w:hanging="360"/>
      </w:pPr>
      <w:rPr>
        <w:rFonts w:ascii="宋体" w:hAnsi="宋体" w:hint="default"/>
      </w:rPr>
    </w:lvl>
    <w:lvl w:ilvl="1" w:tplc="F90CF1C0" w:tentative="1">
      <w:start w:val="1"/>
      <w:numFmt w:val="bullet"/>
      <w:lvlText w:val="•"/>
      <w:lvlJc w:val="left"/>
      <w:pPr>
        <w:tabs>
          <w:tab w:val="num" w:pos="1440"/>
        </w:tabs>
        <w:ind w:left="1440" w:hanging="360"/>
      </w:pPr>
      <w:rPr>
        <w:rFonts w:ascii="宋体" w:hAnsi="宋体" w:hint="default"/>
      </w:rPr>
    </w:lvl>
    <w:lvl w:ilvl="2" w:tplc="1D300560" w:tentative="1">
      <w:start w:val="1"/>
      <w:numFmt w:val="bullet"/>
      <w:lvlText w:val="•"/>
      <w:lvlJc w:val="left"/>
      <w:pPr>
        <w:tabs>
          <w:tab w:val="num" w:pos="2160"/>
        </w:tabs>
        <w:ind w:left="2160" w:hanging="360"/>
      </w:pPr>
      <w:rPr>
        <w:rFonts w:ascii="宋体" w:hAnsi="宋体" w:hint="default"/>
      </w:rPr>
    </w:lvl>
    <w:lvl w:ilvl="3" w:tplc="771E4370" w:tentative="1">
      <w:start w:val="1"/>
      <w:numFmt w:val="bullet"/>
      <w:lvlText w:val="•"/>
      <w:lvlJc w:val="left"/>
      <w:pPr>
        <w:tabs>
          <w:tab w:val="num" w:pos="2880"/>
        </w:tabs>
        <w:ind w:left="2880" w:hanging="360"/>
      </w:pPr>
      <w:rPr>
        <w:rFonts w:ascii="宋体" w:hAnsi="宋体" w:hint="default"/>
      </w:rPr>
    </w:lvl>
    <w:lvl w:ilvl="4" w:tplc="B4A848AC" w:tentative="1">
      <w:start w:val="1"/>
      <w:numFmt w:val="bullet"/>
      <w:lvlText w:val="•"/>
      <w:lvlJc w:val="left"/>
      <w:pPr>
        <w:tabs>
          <w:tab w:val="num" w:pos="3600"/>
        </w:tabs>
        <w:ind w:left="3600" w:hanging="360"/>
      </w:pPr>
      <w:rPr>
        <w:rFonts w:ascii="宋体" w:hAnsi="宋体" w:hint="default"/>
      </w:rPr>
    </w:lvl>
    <w:lvl w:ilvl="5" w:tplc="6C847E70" w:tentative="1">
      <w:start w:val="1"/>
      <w:numFmt w:val="bullet"/>
      <w:lvlText w:val="•"/>
      <w:lvlJc w:val="left"/>
      <w:pPr>
        <w:tabs>
          <w:tab w:val="num" w:pos="4320"/>
        </w:tabs>
        <w:ind w:left="4320" w:hanging="360"/>
      </w:pPr>
      <w:rPr>
        <w:rFonts w:ascii="宋体" w:hAnsi="宋体" w:hint="default"/>
      </w:rPr>
    </w:lvl>
    <w:lvl w:ilvl="6" w:tplc="F1B67008" w:tentative="1">
      <w:start w:val="1"/>
      <w:numFmt w:val="bullet"/>
      <w:lvlText w:val="•"/>
      <w:lvlJc w:val="left"/>
      <w:pPr>
        <w:tabs>
          <w:tab w:val="num" w:pos="5040"/>
        </w:tabs>
        <w:ind w:left="5040" w:hanging="360"/>
      </w:pPr>
      <w:rPr>
        <w:rFonts w:ascii="宋体" w:hAnsi="宋体" w:hint="default"/>
      </w:rPr>
    </w:lvl>
    <w:lvl w:ilvl="7" w:tplc="7ECCF5CA" w:tentative="1">
      <w:start w:val="1"/>
      <w:numFmt w:val="bullet"/>
      <w:lvlText w:val="•"/>
      <w:lvlJc w:val="left"/>
      <w:pPr>
        <w:tabs>
          <w:tab w:val="num" w:pos="5760"/>
        </w:tabs>
        <w:ind w:left="5760" w:hanging="360"/>
      </w:pPr>
      <w:rPr>
        <w:rFonts w:ascii="宋体" w:hAnsi="宋体" w:hint="default"/>
      </w:rPr>
    </w:lvl>
    <w:lvl w:ilvl="8" w:tplc="DF6CEFD4" w:tentative="1">
      <w:start w:val="1"/>
      <w:numFmt w:val="bullet"/>
      <w:lvlText w:val="•"/>
      <w:lvlJc w:val="left"/>
      <w:pPr>
        <w:tabs>
          <w:tab w:val="num" w:pos="6480"/>
        </w:tabs>
        <w:ind w:left="6480" w:hanging="360"/>
      </w:pPr>
      <w:rPr>
        <w:rFonts w:ascii="宋体" w:hAnsi="宋体" w:hint="default"/>
      </w:rPr>
    </w:lvl>
  </w:abstractNum>
  <w:abstractNum w:abstractNumId="7">
    <w:nsid w:val="1540725D"/>
    <w:multiLevelType w:val="hybridMultilevel"/>
    <w:tmpl w:val="A90CBF9C"/>
    <w:lvl w:ilvl="0" w:tplc="E7E27E08">
      <w:start w:val="1"/>
      <w:numFmt w:val="japaneseCounting"/>
      <w:lvlText w:val="%1、"/>
      <w:lvlJc w:val="left"/>
      <w:pPr>
        <w:ind w:left="360" w:hanging="360"/>
      </w:pPr>
      <w:rPr>
        <w:rFonts w:hint="default"/>
      </w:rPr>
    </w:lvl>
    <w:lvl w:ilvl="1" w:tplc="6CD00A34" w:tentative="1">
      <w:start w:val="1"/>
      <w:numFmt w:val="lowerLetter"/>
      <w:lvlText w:val="%2)"/>
      <w:lvlJc w:val="left"/>
      <w:pPr>
        <w:ind w:left="840" w:hanging="420"/>
      </w:pPr>
    </w:lvl>
    <w:lvl w:ilvl="2" w:tplc="BBB6B278" w:tentative="1">
      <w:start w:val="1"/>
      <w:numFmt w:val="lowerRoman"/>
      <w:lvlText w:val="%3."/>
      <w:lvlJc w:val="right"/>
      <w:pPr>
        <w:ind w:left="1260" w:hanging="420"/>
      </w:pPr>
    </w:lvl>
    <w:lvl w:ilvl="3" w:tplc="38962136" w:tentative="1">
      <w:start w:val="1"/>
      <w:numFmt w:val="decimal"/>
      <w:lvlText w:val="%4."/>
      <w:lvlJc w:val="left"/>
      <w:pPr>
        <w:ind w:left="1680" w:hanging="420"/>
      </w:pPr>
    </w:lvl>
    <w:lvl w:ilvl="4" w:tplc="957E8154" w:tentative="1">
      <w:start w:val="1"/>
      <w:numFmt w:val="lowerLetter"/>
      <w:lvlText w:val="%5)"/>
      <w:lvlJc w:val="left"/>
      <w:pPr>
        <w:ind w:left="2100" w:hanging="420"/>
      </w:pPr>
    </w:lvl>
    <w:lvl w:ilvl="5" w:tplc="081C9B92" w:tentative="1">
      <w:start w:val="1"/>
      <w:numFmt w:val="lowerRoman"/>
      <w:lvlText w:val="%6."/>
      <w:lvlJc w:val="right"/>
      <w:pPr>
        <w:ind w:left="2520" w:hanging="420"/>
      </w:pPr>
    </w:lvl>
    <w:lvl w:ilvl="6" w:tplc="D9A4EB24" w:tentative="1">
      <w:start w:val="1"/>
      <w:numFmt w:val="decimal"/>
      <w:lvlText w:val="%7."/>
      <w:lvlJc w:val="left"/>
      <w:pPr>
        <w:ind w:left="2940" w:hanging="420"/>
      </w:pPr>
    </w:lvl>
    <w:lvl w:ilvl="7" w:tplc="490CA5F4" w:tentative="1">
      <w:start w:val="1"/>
      <w:numFmt w:val="lowerLetter"/>
      <w:lvlText w:val="%8)"/>
      <w:lvlJc w:val="left"/>
      <w:pPr>
        <w:ind w:left="3360" w:hanging="420"/>
      </w:pPr>
    </w:lvl>
    <w:lvl w:ilvl="8" w:tplc="04CC7B18" w:tentative="1">
      <w:start w:val="1"/>
      <w:numFmt w:val="lowerRoman"/>
      <w:lvlText w:val="%9."/>
      <w:lvlJc w:val="right"/>
      <w:pPr>
        <w:ind w:left="3780" w:hanging="420"/>
      </w:pPr>
    </w:lvl>
  </w:abstractNum>
  <w:abstractNum w:abstractNumId="8">
    <w:nsid w:val="17250D85"/>
    <w:multiLevelType w:val="hybridMultilevel"/>
    <w:tmpl w:val="F210D45C"/>
    <w:lvl w:ilvl="0" w:tplc="10EEC7FA">
      <w:start w:val="1"/>
      <w:numFmt w:val="decimal"/>
      <w:lvlText w:val="%1．"/>
      <w:lvlJc w:val="left"/>
      <w:pPr>
        <w:ind w:left="782" w:hanging="360"/>
      </w:pPr>
      <w:rPr>
        <w:rFonts w:hint="default"/>
        <w:b/>
      </w:rPr>
    </w:lvl>
    <w:lvl w:ilvl="1" w:tplc="44BA12B6" w:tentative="1">
      <w:start w:val="1"/>
      <w:numFmt w:val="lowerLetter"/>
      <w:lvlText w:val="%2)"/>
      <w:lvlJc w:val="left"/>
      <w:pPr>
        <w:ind w:left="1262" w:hanging="420"/>
      </w:pPr>
    </w:lvl>
    <w:lvl w:ilvl="2" w:tplc="3CACFCF4" w:tentative="1">
      <w:start w:val="1"/>
      <w:numFmt w:val="lowerRoman"/>
      <w:lvlText w:val="%3."/>
      <w:lvlJc w:val="right"/>
      <w:pPr>
        <w:ind w:left="1682" w:hanging="420"/>
      </w:pPr>
    </w:lvl>
    <w:lvl w:ilvl="3" w:tplc="9F4223A6" w:tentative="1">
      <w:start w:val="1"/>
      <w:numFmt w:val="decimal"/>
      <w:lvlText w:val="%4."/>
      <w:lvlJc w:val="left"/>
      <w:pPr>
        <w:ind w:left="2102" w:hanging="420"/>
      </w:pPr>
    </w:lvl>
    <w:lvl w:ilvl="4" w:tplc="23E69E4C" w:tentative="1">
      <w:start w:val="1"/>
      <w:numFmt w:val="lowerLetter"/>
      <w:lvlText w:val="%5)"/>
      <w:lvlJc w:val="left"/>
      <w:pPr>
        <w:ind w:left="2522" w:hanging="420"/>
      </w:pPr>
    </w:lvl>
    <w:lvl w:ilvl="5" w:tplc="6EB8E32A" w:tentative="1">
      <w:start w:val="1"/>
      <w:numFmt w:val="lowerRoman"/>
      <w:lvlText w:val="%6."/>
      <w:lvlJc w:val="right"/>
      <w:pPr>
        <w:ind w:left="2942" w:hanging="420"/>
      </w:pPr>
    </w:lvl>
    <w:lvl w:ilvl="6" w:tplc="6BDC4A6A" w:tentative="1">
      <w:start w:val="1"/>
      <w:numFmt w:val="decimal"/>
      <w:lvlText w:val="%7."/>
      <w:lvlJc w:val="left"/>
      <w:pPr>
        <w:ind w:left="3362" w:hanging="420"/>
      </w:pPr>
    </w:lvl>
    <w:lvl w:ilvl="7" w:tplc="59F0B018" w:tentative="1">
      <w:start w:val="1"/>
      <w:numFmt w:val="lowerLetter"/>
      <w:lvlText w:val="%8)"/>
      <w:lvlJc w:val="left"/>
      <w:pPr>
        <w:ind w:left="3782" w:hanging="420"/>
      </w:pPr>
    </w:lvl>
    <w:lvl w:ilvl="8" w:tplc="3A86AED4" w:tentative="1">
      <w:start w:val="1"/>
      <w:numFmt w:val="lowerRoman"/>
      <w:lvlText w:val="%9."/>
      <w:lvlJc w:val="right"/>
      <w:pPr>
        <w:ind w:left="4202" w:hanging="420"/>
      </w:pPr>
    </w:lvl>
  </w:abstractNum>
  <w:abstractNum w:abstractNumId="9">
    <w:nsid w:val="1AB834EB"/>
    <w:multiLevelType w:val="hybridMultilevel"/>
    <w:tmpl w:val="6810A470"/>
    <w:lvl w:ilvl="0" w:tplc="809EC0E2">
      <w:start w:val="1"/>
      <w:numFmt w:val="japaneseCounting"/>
      <w:lvlText w:val="%1、"/>
      <w:lvlJc w:val="left"/>
      <w:pPr>
        <w:ind w:left="360" w:hanging="360"/>
      </w:pPr>
      <w:rPr>
        <w:rFonts w:hint="default"/>
      </w:rPr>
    </w:lvl>
    <w:lvl w:ilvl="1" w:tplc="1F10170E" w:tentative="1">
      <w:start w:val="1"/>
      <w:numFmt w:val="lowerLetter"/>
      <w:lvlText w:val="%2)"/>
      <w:lvlJc w:val="left"/>
      <w:pPr>
        <w:ind w:left="840" w:hanging="420"/>
      </w:pPr>
    </w:lvl>
    <w:lvl w:ilvl="2" w:tplc="D932D074" w:tentative="1">
      <w:start w:val="1"/>
      <w:numFmt w:val="lowerRoman"/>
      <w:lvlText w:val="%3."/>
      <w:lvlJc w:val="right"/>
      <w:pPr>
        <w:ind w:left="1260" w:hanging="420"/>
      </w:pPr>
    </w:lvl>
    <w:lvl w:ilvl="3" w:tplc="841CC7DC" w:tentative="1">
      <w:start w:val="1"/>
      <w:numFmt w:val="decimal"/>
      <w:lvlText w:val="%4."/>
      <w:lvlJc w:val="left"/>
      <w:pPr>
        <w:ind w:left="1680" w:hanging="420"/>
      </w:pPr>
    </w:lvl>
    <w:lvl w:ilvl="4" w:tplc="D6202FE0" w:tentative="1">
      <w:start w:val="1"/>
      <w:numFmt w:val="lowerLetter"/>
      <w:lvlText w:val="%5)"/>
      <w:lvlJc w:val="left"/>
      <w:pPr>
        <w:ind w:left="2100" w:hanging="420"/>
      </w:pPr>
    </w:lvl>
    <w:lvl w:ilvl="5" w:tplc="32FE89FC" w:tentative="1">
      <w:start w:val="1"/>
      <w:numFmt w:val="lowerRoman"/>
      <w:lvlText w:val="%6."/>
      <w:lvlJc w:val="right"/>
      <w:pPr>
        <w:ind w:left="2520" w:hanging="420"/>
      </w:pPr>
    </w:lvl>
    <w:lvl w:ilvl="6" w:tplc="0C1E1F00" w:tentative="1">
      <w:start w:val="1"/>
      <w:numFmt w:val="decimal"/>
      <w:lvlText w:val="%7."/>
      <w:lvlJc w:val="left"/>
      <w:pPr>
        <w:ind w:left="2940" w:hanging="420"/>
      </w:pPr>
    </w:lvl>
    <w:lvl w:ilvl="7" w:tplc="A5764986" w:tentative="1">
      <w:start w:val="1"/>
      <w:numFmt w:val="lowerLetter"/>
      <w:lvlText w:val="%8)"/>
      <w:lvlJc w:val="left"/>
      <w:pPr>
        <w:ind w:left="3360" w:hanging="420"/>
      </w:pPr>
    </w:lvl>
    <w:lvl w:ilvl="8" w:tplc="0E122FBA" w:tentative="1">
      <w:start w:val="1"/>
      <w:numFmt w:val="lowerRoman"/>
      <w:lvlText w:val="%9."/>
      <w:lvlJc w:val="right"/>
      <w:pPr>
        <w:ind w:left="3780" w:hanging="420"/>
      </w:pPr>
    </w:lvl>
  </w:abstractNum>
  <w:abstractNum w:abstractNumId="10">
    <w:nsid w:val="1C010F57"/>
    <w:multiLevelType w:val="hybridMultilevel"/>
    <w:tmpl w:val="4F8883E0"/>
    <w:lvl w:ilvl="0" w:tplc="58040268">
      <w:start w:val="1"/>
      <w:numFmt w:val="decimal"/>
      <w:lvlText w:val="%1、"/>
      <w:lvlJc w:val="left"/>
      <w:pPr>
        <w:tabs>
          <w:tab w:val="num" w:pos="885"/>
        </w:tabs>
        <w:ind w:left="885" w:hanging="360"/>
      </w:pPr>
      <w:rPr>
        <w:rFonts w:hint="eastAsia"/>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1">
    <w:nsid w:val="21986E15"/>
    <w:multiLevelType w:val="multilevel"/>
    <w:tmpl w:val="FF0CFB2E"/>
    <w:styleLink w:val="1"/>
    <w:lvl w:ilvl="0">
      <w:start w:val="1"/>
      <w:numFmt w:val="chineseCountingThousand"/>
      <w:lvlText w:val="第%1章"/>
      <w:lvlJc w:val="left"/>
      <w:pPr>
        <w:ind w:left="425" w:hanging="425"/>
      </w:pPr>
      <w:rPr>
        <w:rFonts w:eastAsia="宋体" w:hint="eastAsia"/>
        <w:sz w:val="32"/>
      </w:rPr>
    </w:lvl>
    <w:lvl w:ilvl="1">
      <w:start w:val="1"/>
      <w:numFmt w:val="decimal"/>
      <w:isLgl/>
      <w:lvlText w:val="%1.%2"/>
      <w:lvlJc w:val="left"/>
      <w:pPr>
        <w:ind w:left="992" w:hanging="567"/>
      </w:pPr>
      <w:rPr>
        <w:rFonts w:eastAsia="黑体" w:hint="eastAsia"/>
        <w:sz w:val="28"/>
      </w:rPr>
    </w:lvl>
    <w:lvl w:ilvl="2">
      <w:start w:val="1"/>
      <w:numFmt w:val="decimal"/>
      <w:isLgl/>
      <w:lvlText w:val="%1.%2.%3"/>
      <w:lvlJc w:val="left"/>
      <w:pPr>
        <w:ind w:left="1418" w:hanging="567"/>
      </w:pPr>
      <w:rPr>
        <w:rFonts w:eastAsia="黑体" w:hint="eastAsia"/>
        <w:sz w:val="28"/>
      </w:rPr>
    </w:lvl>
    <w:lvl w:ilvl="3">
      <w:start w:val="1"/>
      <w:numFmt w:val="decimal"/>
      <w:isLgl/>
      <w:lvlText w:val="%1.%2.%3.%4"/>
      <w:lvlJc w:val="left"/>
      <w:pPr>
        <w:ind w:left="1984" w:hanging="708"/>
      </w:pPr>
      <w:rPr>
        <w:rFonts w:eastAsia="黑体" w:hint="eastAsia"/>
        <w:sz w:val="28"/>
      </w:rPr>
    </w:lvl>
    <w:lvl w:ilvl="4">
      <w:start w:val="1"/>
      <w:numFmt w:val="decimal"/>
      <w:isLgl/>
      <w:lvlText w:val="%1.%2.%3.%4.%5"/>
      <w:lvlJc w:val="left"/>
      <w:pPr>
        <w:ind w:left="2551" w:hanging="850"/>
      </w:pPr>
      <w:rPr>
        <w:rFonts w:hint="eastAsia"/>
      </w:rPr>
    </w:lvl>
    <w:lvl w:ilvl="5">
      <w:start w:val="1"/>
      <w:numFmt w:val="decimal"/>
      <w:isLgl/>
      <w:lvlText w:val="%1.%2.%3.%4.%5.%6"/>
      <w:lvlJc w:val="left"/>
      <w:pPr>
        <w:ind w:left="3260" w:hanging="1134"/>
      </w:pPr>
      <w:rPr>
        <w:rFonts w:hint="eastAsia"/>
      </w:rPr>
    </w:lvl>
    <w:lvl w:ilvl="6">
      <w:start w:val="1"/>
      <w:numFmt w:val="decimal"/>
      <w:isLgl/>
      <w:lvlText w:val="%1.%2.%3.%4.%5.%6.%7"/>
      <w:lvlJc w:val="left"/>
      <w:pPr>
        <w:ind w:left="3827" w:hanging="1276"/>
      </w:pPr>
      <w:rPr>
        <w:rFonts w:hint="eastAsia"/>
      </w:rPr>
    </w:lvl>
    <w:lvl w:ilvl="7">
      <w:start w:val="1"/>
      <w:numFmt w:val="decimal"/>
      <w:isLgl/>
      <w:lvlText w:val="%1.%2.%3.%4.%5.%6.%7.%8"/>
      <w:lvlJc w:val="left"/>
      <w:pPr>
        <w:ind w:left="4394" w:hanging="1418"/>
      </w:pPr>
      <w:rPr>
        <w:rFonts w:hint="eastAsia"/>
      </w:rPr>
    </w:lvl>
    <w:lvl w:ilvl="8">
      <w:start w:val="1"/>
      <w:numFmt w:val="decimal"/>
      <w:isLgl/>
      <w:lvlText w:val="%1.%2.%3.%4.%5.%6.%7.%8.%9"/>
      <w:lvlJc w:val="left"/>
      <w:pPr>
        <w:ind w:left="5102" w:hanging="1700"/>
      </w:pPr>
      <w:rPr>
        <w:rFonts w:hint="eastAsia"/>
      </w:rPr>
    </w:lvl>
  </w:abstractNum>
  <w:abstractNum w:abstractNumId="12">
    <w:nsid w:val="25060875"/>
    <w:multiLevelType w:val="hybridMultilevel"/>
    <w:tmpl w:val="DDE2CBB2"/>
    <w:lvl w:ilvl="0" w:tplc="04090017">
      <w:start w:val="1"/>
      <w:numFmt w:val="chineseCountingThousand"/>
      <w:lvlText w:val="(%1)"/>
      <w:lvlJc w:val="left"/>
      <w:pPr>
        <w:ind w:left="2789" w:hanging="945"/>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9E4AAF"/>
    <w:multiLevelType w:val="hybridMultilevel"/>
    <w:tmpl w:val="82EC3778"/>
    <w:lvl w:ilvl="0" w:tplc="3D0C715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2B615996"/>
    <w:multiLevelType w:val="hybridMultilevel"/>
    <w:tmpl w:val="93A0CB5E"/>
    <w:lvl w:ilvl="0" w:tplc="2B4A0088">
      <w:start w:val="1"/>
      <w:numFmt w:val="decimal"/>
      <w:lvlText w:val="11.%1"/>
      <w:lvlJc w:val="left"/>
      <w:pPr>
        <w:tabs>
          <w:tab w:val="num" w:pos="864"/>
        </w:tabs>
        <w:ind w:left="0" w:firstLine="0"/>
      </w:pPr>
      <w:rPr>
        <w:rFonts w:hint="default"/>
        <w:b w:val="0"/>
        <w:i w:val="0"/>
        <w:color w:val="000000"/>
        <w:sz w:val="24"/>
        <w:szCs w:val="24"/>
      </w:rPr>
    </w:lvl>
    <w:lvl w:ilvl="1" w:tplc="9DF670DA">
      <w:start w:val="1"/>
      <w:numFmt w:val="lowerLetter"/>
      <w:lvlText w:val="(%2)"/>
      <w:lvlJc w:val="left"/>
      <w:pPr>
        <w:tabs>
          <w:tab w:val="num" w:pos="1440"/>
        </w:tabs>
        <w:ind w:left="1440" w:hanging="720"/>
      </w:pPr>
      <w:rPr>
        <w:rFonts w:hint="default"/>
        <w:b w:val="0"/>
        <w:i w:val="0"/>
        <w:sz w:val="24"/>
        <w:szCs w:val="24"/>
      </w:rPr>
    </w:lvl>
    <w:lvl w:ilvl="2" w:tplc="C480D556">
      <w:start w:val="1"/>
      <w:numFmt w:val="lowerRoman"/>
      <w:lvlText w:val="%3."/>
      <w:lvlJc w:val="right"/>
      <w:pPr>
        <w:tabs>
          <w:tab w:val="num" w:pos="2160"/>
        </w:tabs>
        <w:ind w:left="2160" w:hanging="180"/>
      </w:pPr>
    </w:lvl>
    <w:lvl w:ilvl="3" w:tplc="E9702834" w:tentative="1">
      <w:start w:val="1"/>
      <w:numFmt w:val="decimal"/>
      <w:lvlText w:val="%4."/>
      <w:lvlJc w:val="left"/>
      <w:pPr>
        <w:tabs>
          <w:tab w:val="num" w:pos="2880"/>
        </w:tabs>
        <w:ind w:left="2880" w:hanging="360"/>
      </w:pPr>
    </w:lvl>
    <w:lvl w:ilvl="4" w:tplc="DDD0FC02" w:tentative="1">
      <w:start w:val="1"/>
      <w:numFmt w:val="lowerLetter"/>
      <w:lvlText w:val="%5."/>
      <w:lvlJc w:val="left"/>
      <w:pPr>
        <w:tabs>
          <w:tab w:val="num" w:pos="3600"/>
        </w:tabs>
        <w:ind w:left="3600" w:hanging="360"/>
      </w:pPr>
    </w:lvl>
    <w:lvl w:ilvl="5" w:tplc="7A5EC506" w:tentative="1">
      <w:start w:val="1"/>
      <w:numFmt w:val="lowerRoman"/>
      <w:lvlText w:val="%6."/>
      <w:lvlJc w:val="right"/>
      <w:pPr>
        <w:tabs>
          <w:tab w:val="num" w:pos="4320"/>
        </w:tabs>
        <w:ind w:left="4320" w:hanging="180"/>
      </w:pPr>
    </w:lvl>
    <w:lvl w:ilvl="6" w:tplc="F37EF20E" w:tentative="1">
      <w:start w:val="1"/>
      <w:numFmt w:val="decimal"/>
      <w:lvlText w:val="%7."/>
      <w:lvlJc w:val="left"/>
      <w:pPr>
        <w:tabs>
          <w:tab w:val="num" w:pos="5040"/>
        </w:tabs>
        <w:ind w:left="5040" w:hanging="360"/>
      </w:pPr>
    </w:lvl>
    <w:lvl w:ilvl="7" w:tplc="A520387A" w:tentative="1">
      <w:start w:val="1"/>
      <w:numFmt w:val="lowerLetter"/>
      <w:lvlText w:val="%8."/>
      <w:lvlJc w:val="left"/>
      <w:pPr>
        <w:tabs>
          <w:tab w:val="num" w:pos="5760"/>
        </w:tabs>
        <w:ind w:left="5760" w:hanging="360"/>
      </w:pPr>
    </w:lvl>
    <w:lvl w:ilvl="8" w:tplc="1EBEE5A6" w:tentative="1">
      <w:start w:val="1"/>
      <w:numFmt w:val="lowerRoman"/>
      <w:lvlText w:val="%9."/>
      <w:lvlJc w:val="right"/>
      <w:pPr>
        <w:tabs>
          <w:tab w:val="num" w:pos="6480"/>
        </w:tabs>
        <w:ind w:left="6480" w:hanging="180"/>
      </w:pPr>
    </w:lvl>
  </w:abstractNum>
  <w:abstractNum w:abstractNumId="15">
    <w:nsid w:val="308E658B"/>
    <w:multiLevelType w:val="hybridMultilevel"/>
    <w:tmpl w:val="DB46868C"/>
    <w:lvl w:ilvl="0" w:tplc="0A327CA8">
      <w:start w:val="1"/>
      <w:numFmt w:val="japaneseCounting"/>
      <w:lvlText w:val="（%1）"/>
      <w:lvlJc w:val="left"/>
      <w:pPr>
        <w:ind w:left="855" w:hanging="855"/>
      </w:pPr>
      <w:rPr>
        <w:rFonts w:hint="default"/>
      </w:rPr>
    </w:lvl>
    <w:lvl w:ilvl="1" w:tplc="B898256E" w:tentative="1">
      <w:start w:val="1"/>
      <w:numFmt w:val="lowerLetter"/>
      <w:lvlText w:val="%2)"/>
      <w:lvlJc w:val="left"/>
      <w:pPr>
        <w:ind w:left="840" w:hanging="420"/>
      </w:pPr>
    </w:lvl>
    <w:lvl w:ilvl="2" w:tplc="71D44A16" w:tentative="1">
      <w:start w:val="1"/>
      <w:numFmt w:val="lowerRoman"/>
      <w:lvlText w:val="%3."/>
      <w:lvlJc w:val="right"/>
      <w:pPr>
        <w:ind w:left="1260" w:hanging="420"/>
      </w:pPr>
    </w:lvl>
    <w:lvl w:ilvl="3" w:tplc="BBDA403C" w:tentative="1">
      <w:start w:val="1"/>
      <w:numFmt w:val="decimal"/>
      <w:lvlText w:val="%4."/>
      <w:lvlJc w:val="left"/>
      <w:pPr>
        <w:ind w:left="1680" w:hanging="420"/>
      </w:pPr>
    </w:lvl>
    <w:lvl w:ilvl="4" w:tplc="D2F80D06" w:tentative="1">
      <w:start w:val="1"/>
      <w:numFmt w:val="lowerLetter"/>
      <w:lvlText w:val="%5)"/>
      <w:lvlJc w:val="left"/>
      <w:pPr>
        <w:ind w:left="2100" w:hanging="420"/>
      </w:pPr>
    </w:lvl>
    <w:lvl w:ilvl="5" w:tplc="0F0696CE" w:tentative="1">
      <w:start w:val="1"/>
      <w:numFmt w:val="lowerRoman"/>
      <w:lvlText w:val="%6."/>
      <w:lvlJc w:val="right"/>
      <w:pPr>
        <w:ind w:left="2520" w:hanging="420"/>
      </w:pPr>
    </w:lvl>
    <w:lvl w:ilvl="6" w:tplc="FB6E546C" w:tentative="1">
      <w:start w:val="1"/>
      <w:numFmt w:val="decimal"/>
      <w:lvlText w:val="%7."/>
      <w:lvlJc w:val="left"/>
      <w:pPr>
        <w:ind w:left="2940" w:hanging="420"/>
      </w:pPr>
    </w:lvl>
    <w:lvl w:ilvl="7" w:tplc="02B05958" w:tentative="1">
      <w:start w:val="1"/>
      <w:numFmt w:val="lowerLetter"/>
      <w:lvlText w:val="%8)"/>
      <w:lvlJc w:val="left"/>
      <w:pPr>
        <w:ind w:left="3360" w:hanging="420"/>
      </w:pPr>
    </w:lvl>
    <w:lvl w:ilvl="8" w:tplc="E528E2B8" w:tentative="1">
      <w:start w:val="1"/>
      <w:numFmt w:val="lowerRoman"/>
      <w:lvlText w:val="%9."/>
      <w:lvlJc w:val="right"/>
      <w:pPr>
        <w:ind w:left="3780" w:hanging="420"/>
      </w:pPr>
    </w:lvl>
  </w:abstractNum>
  <w:abstractNum w:abstractNumId="16">
    <w:nsid w:val="35814859"/>
    <w:multiLevelType w:val="hybridMultilevel"/>
    <w:tmpl w:val="A0488BE8"/>
    <w:lvl w:ilvl="0" w:tplc="BC8850C0">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7">
    <w:nsid w:val="36830CEA"/>
    <w:multiLevelType w:val="hybridMultilevel"/>
    <w:tmpl w:val="432C6416"/>
    <w:lvl w:ilvl="0" w:tplc="0A327CA8">
      <w:start w:val="1"/>
      <w:numFmt w:val="decimal"/>
      <w:lvlText w:val="8.%1"/>
      <w:lvlJc w:val="left"/>
      <w:pPr>
        <w:tabs>
          <w:tab w:val="num" w:pos="720"/>
        </w:tabs>
        <w:ind w:left="0" w:firstLine="0"/>
      </w:pPr>
      <w:rPr>
        <w:rFonts w:hint="default"/>
      </w:rPr>
    </w:lvl>
    <w:lvl w:ilvl="1" w:tplc="B898256E">
      <w:start w:val="1"/>
      <w:numFmt w:val="lowerLetter"/>
      <w:lvlText w:val="%2."/>
      <w:lvlJc w:val="left"/>
      <w:pPr>
        <w:tabs>
          <w:tab w:val="num" w:pos="1440"/>
        </w:tabs>
        <w:ind w:left="1440" w:hanging="360"/>
      </w:pPr>
    </w:lvl>
    <w:lvl w:ilvl="2" w:tplc="71D44A16" w:tentative="1">
      <w:start w:val="1"/>
      <w:numFmt w:val="lowerRoman"/>
      <w:lvlText w:val="%3."/>
      <w:lvlJc w:val="right"/>
      <w:pPr>
        <w:tabs>
          <w:tab w:val="num" w:pos="2160"/>
        </w:tabs>
        <w:ind w:left="2160" w:hanging="180"/>
      </w:pPr>
    </w:lvl>
    <w:lvl w:ilvl="3" w:tplc="BBDA403C" w:tentative="1">
      <w:start w:val="1"/>
      <w:numFmt w:val="decimal"/>
      <w:lvlText w:val="%4."/>
      <w:lvlJc w:val="left"/>
      <w:pPr>
        <w:tabs>
          <w:tab w:val="num" w:pos="2880"/>
        </w:tabs>
        <w:ind w:left="2880" w:hanging="360"/>
      </w:pPr>
    </w:lvl>
    <w:lvl w:ilvl="4" w:tplc="D2F80D06" w:tentative="1">
      <w:start w:val="1"/>
      <w:numFmt w:val="lowerLetter"/>
      <w:lvlText w:val="%5."/>
      <w:lvlJc w:val="left"/>
      <w:pPr>
        <w:tabs>
          <w:tab w:val="num" w:pos="3600"/>
        </w:tabs>
        <w:ind w:left="3600" w:hanging="360"/>
      </w:pPr>
    </w:lvl>
    <w:lvl w:ilvl="5" w:tplc="0F0696CE" w:tentative="1">
      <w:start w:val="1"/>
      <w:numFmt w:val="lowerRoman"/>
      <w:lvlText w:val="%6."/>
      <w:lvlJc w:val="right"/>
      <w:pPr>
        <w:tabs>
          <w:tab w:val="num" w:pos="4320"/>
        </w:tabs>
        <w:ind w:left="4320" w:hanging="180"/>
      </w:pPr>
    </w:lvl>
    <w:lvl w:ilvl="6" w:tplc="FB6E546C" w:tentative="1">
      <w:start w:val="1"/>
      <w:numFmt w:val="decimal"/>
      <w:lvlText w:val="%7."/>
      <w:lvlJc w:val="left"/>
      <w:pPr>
        <w:tabs>
          <w:tab w:val="num" w:pos="5040"/>
        </w:tabs>
        <w:ind w:left="5040" w:hanging="360"/>
      </w:pPr>
    </w:lvl>
    <w:lvl w:ilvl="7" w:tplc="02B05958" w:tentative="1">
      <w:start w:val="1"/>
      <w:numFmt w:val="lowerLetter"/>
      <w:lvlText w:val="%8."/>
      <w:lvlJc w:val="left"/>
      <w:pPr>
        <w:tabs>
          <w:tab w:val="num" w:pos="5760"/>
        </w:tabs>
        <w:ind w:left="5760" w:hanging="360"/>
      </w:pPr>
    </w:lvl>
    <w:lvl w:ilvl="8" w:tplc="E528E2B8" w:tentative="1">
      <w:start w:val="1"/>
      <w:numFmt w:val="lowerRoman"/>
      <w:lvlText w:val="%9."/>
      <w:lvlJc w:val="right"/>
      <w:pPr>
        <w:tabs>
          <w:tab w:val="num" w:pos="6480"/>
        </w:tabs>
        <w:ind w:left="6480" w:hanging="180"/>
      </w:pPr>
    </w:lvl>
  </w:abstractNum>
  <w:abstractNum w:abstractNumId="18">
    <w:nsid w:val="3877674C"/>
    <w:multiLevelType w:val="hybridMultilevel"/>
    <w:tmpl w:val="64C65472"/>
    <w:lvl w:ilvl="0" w:tplc="7F02E7D6">
      <w:start w:val="1"/>
      <w:numFmt w:val="decimal"/>
      <w:lvlText w:val="%1．"/>
      <w:lvlJc w:val="left"/>
      <w:pPr>
        <w:ind w:left="782" w:hanging="360"/>
      </w:pPr>
      <w:rPr>
        <w:rFonts w:hint="default"/>
        <w:b/>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9">
    <w:nsid w:val="40CD3CE0"/>
    <w:multiLevelType w:val="hybridMultilevel"/>
    <w:tmpl w:val="0D2822DA"/>
    <w:lvl w:ilvl="0" w:tplc="0A327CA8">
      <w:start w:val="1"/>
      <w:numFmt w:val="decimal"/>
      <w:lvlText w:val="%1."/>
      <w:lvlJc w:val="left"/>
      <w:pPr>
        <w:ind w:left="360" w:hanging="360"/>
      </w:pPr>
      <w:rPr>
        <w:rFonts w:hint="default"/>
      </w:rPr>
    </w:lvl>
    <w:lvl w:ilvl="1" w:tplc="B898256E" w:tentative="1">
      <w:start w:val="1"/>
      <w:numFmt w:val="lowerLetter"/>
      <w:lvlText w:val="%2)"/>
      <w:lvlJc w:val="left"/>
      <w:pPr>
        <w:ind w:left="840" w:hanging="420"/>
      </w:pPr>
    </w:lvl>
    <w:lvl w:ilvl="2" w:tplc="71D44A16" w:tentative="1">
      <w:start w:val="1"/>
      <w:numFmt w:val="lowerRoman"/>
      <w:lvlText w:val="%3."/>
      <w:lvlJc w:val="right"/>
      <w:pPr>
        <w:ind w:left="1260" w:hanging="420"/>
      </w:pPr>
    </w:lvl>
    <w:lvl w:ilvl="3" w:tplc="BBDA403C" w:tentative="1">
      <w:start w:val="1"/>
      <w:numFmt w:val="decimal"/>
      <w:lvlText w:val="%4."/>
      <w:lvlJc w:val="left"/>
      <w:pPr>
        <w:ind w:left="1680" w:hanging="420"/>
      </w:pPr>
    </w:lvl>
    <w:lvl w:ilvl="4" w:tplc="D2F80D06" w:tentative="1">
      <w:start w:val="1"/>
      <w:numFmt w:val="lowerLetter"/>
      <w:lvlText w:val="%5)"/>
      <w:lvlJc w:val="left"/>
      <w:pPr>
        <w:ind w:left="2100" w:hanging="420"/>
      </w:pPr>
    </w:lvl>
    <w:lvl w:ilvl="5" w:tplc="0F0696CE" w:tentative="1">
      <w:start w:val="1"/>
      <w:numFmt w:val="lowerRoman"/>
      <w:lvlText w:val="%6."/>
      <w:lvlJc w:val="right"/>
      <w:pPr>
        <w:ind w:left="2520" w:hanging="420"/>
      </w:pPr>
    </w:lvl>
    <w:lvl w:ilvl="6" w:tplc="FB6E546C" w:tentative="1">
      <w:start w:val="1"/>
      <w:numFmt w:val="decimal"/>
      <w:lvlText w:val="%7."/>
      <w:lvlJc w:val="left"/>
      <w:pPr>
        <w:ind w:left="2940" w:hanging="420"/>
      </w:pPr>
    </w:lvl>
    <w:lvl w:ilvl="7" w:tplc="02B05958" w:tentative="1">
      <w:start w:val="1"/>
      <w:numFmt w:val="lowerLetter"/>
      <w:lvlText w:val="%8)"/>
      <w:lvlJc w:val="left"/>
      <w:pPr>
        <w:ind w:left="3360" w:hanging="420"/>
      </w:pPr>
    </w:lvl>
    <w:lvl w:ilvl="8" w:tplc="E528E2B8" w:tentative="1">
      <w:start w:val="1"/>
      <w:numFmt w:val="lowerRoman"/>
      <w:lvlText w:val="%9."/>
      <w:lvlJc w:val="right"/>
      <w:pPr>
        <w:ind w:left="3780" w:hanging="420"/>
      </w:pPr>
    </w:lvl>
  </w:abstractNum>
  <w:abstractNum w:abstractNumId="20">
    <w:nsid w:val="41477D3A"/>
    <w:multiLevelType w:val="hybridMultilevel"/>
    <w:tmpl w:val="BE58BD5C"/>
    <w:lvl w:ilvl="0" w:tplc="1BB41E5E">
      <w:start w:val="1"/>
      <w:numFmt w:val="japaneseCounting"/>
      <w:lvlText w:val="（%1）"/>
      <w:lvlJc w:val="left"/>
      <w:pPr>
        <w:ind w:left="2789" w:hanging="945"/>
      </w:pPr>
      <w:rPr>
        <w:rFonts w:hint="default"/>
        <w:b w:val="0"/>
      </w:rPr>
    </w:lvl>
    <w:lvl w:ilvl="1" w:tplc="89DA0532" w:tentative="1">
      <w:start w:val="1"/>
      <w:numFmt w:val="lowerLetter"/>
      <w:lvlText w:val="%2)"/>
      <w:lvlJc w:val="left"/>
      <w:pPr>
        <w:ind w:left="2684" w:hanging="420"/>
      </w:pPr>
    </w:lvl>
    <w:lvl w:ilvl="2" w:tplc="0409001B" w:tentative="1">
      <w:start w:val="1"/>
      <w:numFmt w:val="lowerRoman"/>
      <w:lvlText w:val="%3."/>
      <w:lvlJc w:val="right"/>
      <w:pPr>
        <w:ind w:left="3104" w:hanging="420"/>
      </w:pPr>
    </w:lvl>
    <w:lvl w:ilvl="3" w:tplc="0409000F" w:tentative="1">
      <w:start w:val="1"/>
      <w:numFmt w:val="decimal"/>
      <w:lvlText w:val="%4."/>
      <w:lvlJc w:val="left"/>
      <w:pPr>
        <w:ind w:left="3524" w:hanging="420"/>
      </w:pPr>
    </w:lvl>
    <w:lvl w:ilvl="4" w:tplc="04090019" w:tentative="1">
      <w:start w:val="1"/>
      <w:numFmt w:val="lowerLetter"/>
      <w:lvlText w:val="%5)"/>
      <w:lvlJc w:val="left"/>
      <w:pPr>
        <w:ind w:left="3944" w:hanging="420"/>
      </w:pPr>
    </w:lvl>
    <w:lvl w:ilvl="5" w:tplc="0409001B" w:tentative="1">
      <w:start w:val="1"/>
      <w:numFmt w:val="lowerRoman"/>
      <w:lvlText w:val="%6."/>
      <w:lvlJc w:val="right"/>
      <w:pPr>
        <w:ind w:left="4364" w:hanging="420"/>
      </w:pPr>
    </w:lvl>
    <w:lvl w:ilvl="6" w:tplc="0409000F" w:tentative="1">
      <w:start w:val="1"/>
      <w:numFmt w:val="decimal"/>
      <w:lvlText w:val="%7."/>
      <w:lvlJc w:val="left"/>
      <w:pPr>
        <w:ind w:left="4784" w:hanging="420"/>
      </w:pPr>
    </w:lvl>
    <w:lvl w:ilvl="7" w:tplc="04090019" w:tentative="1">
      <w:start w:val="1"/>
      <w:numFmt w:val="lowerLetter"/>
      <w:lvlText w:val="%8)"/>
      <w:lvlJc w:val="left"/>
      <w:pPr>
        <w:ind w:left="5204" w:hanging="420"/>
      </w:pPr>
    </w:lvl>
    <w:lvl w:ilvl="8" w:tplc="0409001B" w:tentative="1">
      <w:start w:val="1"/>
      <w:numFmt w:val="lowerRoman"/>
      <w:lvlText w:val="%9."/>
      <w:lvlJc w:val="right"/>
      <w:pPr>
        <w:ind w:left="5624" w:hanging="420"/>
      </w:pPr>
    </w:lvl>
  </w:abstractNum>
  <w:abstractNum w:abstractNumId="21">
    <w:nsid w:val="4C3010A6"/>
    <w:multiLevelType w:val="hybridMultilevel"/>
    <w:tmpl w:val="2FAAEBB4"/>
    <w:lvl w:ilvl="0" w:tplc="F5FC79B4">
      <w:start w:val="1"/>
      <w:numFmt w:val="japaneseCounting"/>
      <w:lvlText w:val="（%1）"/>
      <w:lvlJc w:val="left"/>
      <w:pPr>
        <w:ind w:left="2789" w:hanging="945"/>
      </w:pPr>
      <w:rPr>
        <w:rFonts w:hint="default"/>
        <w:b w:val="0"/>
        <w:sz w:val="28"/>
        <w:szCs w:val="28"/>
      </w:rPr>
    </w:lvl>
    <w:lvl w:ilvl="1" w:tplc="89DA0532" w:tentative="1">
      <w:start w:val="1"/>
      <w:numFmt w:val="lowerLetter"/>
      <w:lvlText w:val="%2)"/>
      <w:lvlJc w:val="left"/>
      <w:pPr>
        <w:ind w:left="2684" w:hanging="420"/>
      </w:pPr>
    </w:lvl>
    <w:lvl w:ilvl="2" w:tplc="0409001B" w:tentative="1">
      <w:start w:val="1"/>
      <w:numFmt w:val="lowerRoman"/>
      <w:lvlText w:val="%3."/>
      <w:lvlJc w:val="right"/>
      <w:pPr>
        <w:ind w:left="3104" w:hanging="420"/>
      </w:pPr>
    </w:lvl>
    <w:lvl w:ilvl="3" w:tplc="0409000F" w:tentative="1">
      <w:start w:val="1"/>
      <w:numFmt w:val="decimal"/>
      <w:lvlText w:val="%4."/>
      <w:lvlJc w:val="left"/>
      <w:pPr>
        <w:ind w:left="3524" w:hanging="420"/>
      </w:pPr>
    </w:lvl>
    <w:lvl w:ilvl="4" w:tplc="04090019" w:tentative="1">
      <w:start w:val="1"/>
      <w:numFmt w:val="lowerLetter"/>
      <w:lvlText w:val="%5)"/>
      <w:lvlJc w:val="left"/>
      <w:pPr>
        <w:ind w:left="3944" w:hanging="420"/>
      </w:pPr>
    </w:lvl>
    <w:lvl w:ilvl="5" w:tplc="0409001B" w:tentative="1">
      <w:start w:val="1"/>
      <w:numFmt w:val="lowerRoman"/>
      <w:lvlText w:val="%6."/>
      <w:lvlJc w:val="right"/>
      <w:pPr>
        <w:ind w:left="4364" w:hanging="420"/>
      </w:pPr>
    </w:lvl>
    <w:lvl w:ilvl="6" w:tplc="0409000F" w:tentative="1">
      <w:start w:val="1"/>
      <w:numFmt w:val="decimal"/>
      <w:lvlText w:val="%7."/>
      <w:lvlJc w:val="left"/>
      <w:pPr>
        <w:ind w:left="4784" w:hanging="420"/>
      </w:pPr>
    </w:lvl>
    <w:lvl w:ilvl="7" w:tplc="04090019" w:tentative="1">
      <w:start w:val="1"/>
      <w:numFmt w:val="lowerLetter"/>
      <w:lvlText w:val="%8)"/>
      <w:lvlJc w:val="left"/>
      <w:pPr>
        <w:ind w:left="5204" w:hanging="420"/>
      </w:pPr>
    </w:lvl>
    <w:lvl w:ilvl="8" w:tplc="0409001B" w:tentative="1">
      <w:start w:val="1"/>
      <w:numFmt w:val="lowerRoman"/>
      <w:lvlText w:val="%9."/>
      <w:lvlJc w:val="right"/>
      <w:pPr>
        <w:ind w:left="5624" w:hanging="420"/>
      </w:pPr>
    </w:lvl>
  </w:abstractNum>
  <w:abstractNum w:abstractNumId="22">
    <w:nsid w:val="4D0B76B3"/>
    <w:multiLevelType w:val="hybridMultilevel"/>
    <w:tmpl w:val="2C6809C0"/>
    <w:lvl w:ilvl="0" w:tplc="5AB66060">
      <w:start w:val="1"/>
      <w:numFmt w:val="decimal"/>
      <w:lvlText w:val="（%1）"/>
      <w:lvlJc w:val="left"/>
      <w:pPr>
        <w:ind w:left="885" w:hanging="72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23">
    <w:nsid w:val="574539A5"/>
    <w:multiLevelType w:val="hybridMultilevel"/>
    <w:tmpl w:val="7298BC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535AE1"/>
    <w:multiLevelType w:val="hybridMultilevel"/>
    <w:tmpl w:val="498E1F98"/>
    <w:lvl w:ilvl="0" w:tplc="4C1AE22A">
      <w:start w:val="1"/>
      <w:numFmt w:val="decimal"/>
      <w:lvlText w:val="%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9402FEB"/>
    <w:multiLevelType w:val="hybridMultilevel"/>
    <w:tmpl w:val="2C6809C0"/>
    <w:lvl w:ilvl="0" w:tplc="FAC85766">
      <w:start w:val="1"/>
      <w:numFmt w:val="decimal"/>
      <w:lvlText w:val="（%1）"/>
      <w:lvlJc w:val="left"/>
      <w:pPr>
        <w:ind w:left="885" w:hanging="72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26">
    <w:nsid w:val="651F2D97"/>
    <w:multiLevelType w:val="hybridMultilevel"/>
    <w:tmpl w:val="891A546C"/>
    <w:lvl w:ilvl="0" w:tplc="16C290AE">
      <w:start w:val="9"/>
      <w:numFmt w:val="chineseCountingThousand"/>
      <w:lvlText w:val="(%1)"/>
      <w:lvlJc w:val="left"/>
      <w:pPr>
        <w:ind w:left="2789" w:hanging="945"/>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89C72B9"/>
    <w:multiLevelType w:val="hybridMultilevel"/>
    <w:tmpl w:val="EC1817E0"/>
    <w:lvl w:ilvl="0" w:tplc="8C4CEC02">
      <w:start w:val="1"/>
      <w:numFmt w:val="japaneseCounting"/>
      <w:lvlText w:val="（%1）"/>
      <w:lvlJc w:val="left"/>
      <w:pPr>
        <w:ind w:left="1087" w:hanging="945"/>
      </w:pPr>
      <w:rPr>
        <w:rFonts w:hint="default"/>
      </w:rPr>
    </w:lvl>
    <w:lvl w:ilvl="1" w:tplc="89DA0532"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8">
    <w:nsid w:val="6A161842"/>
    <w:multiLevelType w:val="hybridMultilevel"/>
    <w:tmpl w:val="9C282894"/>
    <w:lvl w:ilvl="0" w:tplc="9DBE1BD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D45467"/>
    <w:multiLevelType w:val="hybridMultilevel"/>
    <w:tmpl w:val="6094A69A"/>
    <w:lvl w:ilvl="0" w:tplc="E8000A84">
      <w:start w:val="1"/>
      <w:numFmt w:val="bullet"/>
      <w:lvlText w:val="•"/>
      <w:lvlJc w:val="left"/>
      <w:pPr>
        <w:tabs>
          <w:tab w:val="num" w:pos="720"/>
        </w:tabs>
        <w:ind w:left="720" w:hanging="360"/>
      </w:pPr>
      <w:rPr>
        <w:rFonts w:ascii="宋体" w:hAnsi="宋体" w:hint="default"/>
      </w:rPr>
    </w:lvl>
    <w:lvl w:ilvl="1" w:tplc="04090019" w:tentative="1">
      <w:start w:val="1"/>
      <w:numFmt w:val="bullet"/>
      <w:lvlText w:val="•"/>
      <w:lvlJc w:val="left"/>
      <w:pPr>
        <w:tabs>
          <w:tab w:val="num" w:pos="1440"/>
        </w:tabs>
        <w:ind w:left="1440" w:hanging="360"/>
      </w:pPr>
      <w:rPr>
        <w:rFonts w:ascii="宋体" w:hAnsi="宋体" w:hint="default"/>
      </w:rPr>
    </w:lvl>
    <w:lvl w:ilvl="2" w:tplc="0409001B" w:tentative="1">
      <w:start w:val="1"/>
      <w:numFmt w:val="bullet"/>
      <w:lvlText w:val="•"/>
      <w:lvlJc w:val="left"/>
      <w:pPr>
        <w:tabs>
          <w:tab w:val="num" w:pos="2160"/>
        </w:tabs>
        <w:ind w:left="2160" w:hanging="360"/>
      </w:pPr>
      <w:rPr>
        <w:rFonts w:ascii="宋体" w:hAnsi="宋体" w:hint="default"/>
      </w:rPr>
    </w:lvl>
    <w:lvl w:ilvl="3" w:tplc="0409000F" w:tentative="1">
      <w:start w:val="1"/>
      <w:numFmt w:val="bullet"/>
      <w:lvlText w:val="•"/>
      <w:lvlJc w:val="left"/>
      <w:pPr>
        <w:tabs>
          <w:tab w:val="num" w:pos="2880"/>
        </w:tabs>
        <w:ind w:left="2880" w:hanging="360"/>
      </w:pPr>
      <w:rPr>
        <w:rFonts w:ascii="宋体" w:hAnsi="宋体" w:hint="default"/>
      </w:rPr>
    </w:lvl>
    <w:lvl w:ilvl="4" w:tplc="04090019" w:tentative="1">
      <w:start w:val="1"/>
      <w:numFmt w:val="bullet"/>
      <w:lvlText w:val="•"/>
      <w:lvlJc w:val="left"/>
      <w:pPr>
        <w:tabs>
          <w:tab w:val="num" w:pos="3600"/>
        </w:tabs>
        <w:ind w:left="3600" w:hanging="360"/>
      </w:pPr>
      <w:rPr>
        <w:rFonts w:ascii="宋体" w:hAnsi="宋体" w:hint="default"/>
      </w:rPr>
    </w:lvl>
    <w:lvl w:ilvl="5" w:tplc="0409001B" w:tentative="1">
      <w:start w:val="1"/>
      <w:numFmt w:val="bullet"/>
      <w:lvlText w:val="•"/>
      <w:lvlJc w:val="left"/>
      <w:pPr>
        <w:tabs>
          <w:tab w:val="num" w:pos="4320"/>
        </w:tabs>
        <w:ind w:left="4320" w:hanging="360"/>
      </w:pPr>
      <w:rPr>
        <w:rFonts w:ascii="宋体" w:hAnsi="宋体" w:hint="default"/>
      </w:rPr>
    </w:lvl>
    <w:lvl w:ilvl="6" w:tplc="0409000F" w:tentative="1">
      <w:start w:val="1"/>
      <w:numFmt w:val="bullet"/>
      <w:lvlText w:val="•"/>
      <w:lvlJc w:val="left"/>
      <w:pPr>
        <w:tabs>
          <w:tab w:val="num" w:pos="5040"/>
        </w:tabs>
        <w:ind w:left="5040" w:hanging="360"/>
      </w:pPr>
      <w:rPr>
        <w:rFonts w:ascii="宋体" w:hAnsi="宋体" w:hint="default"/>
      </w:rPr>
    </w:lvl>
    <w:lvl w:ilvl="7" w:tplc="04090019" w:tentative="1">
      <w:start w:val="1"/>
      <w:numFmt w:val="bullet"/>
      <w:lvlText w:val="•"/>
      <w:lvlJc w:val="left"/>
      <w:pPr>
        <w:tabs>
          <w:tab w:val="num" w:pos="5760"/>
        </w:tabs>
        <w:ind w:left="5760" w:hanging="360"/>
      </w:pPr>
      <w:rPr>
        <w:rFonts w:ascii="宋体" w:hAnsi="宋体" w:hint="default"/>
      </w:rPr>
    </w:lvl>
    <w:lvl w:ilvl="8" w:tplc="0409001B" w:tentative="1">
      <w:start w:val="1"/>
      <w:numFmt w:val="bullet"/>
      <w:lvlText w:val="•"/>
      <w:lvlJc w:val="left"/>
      <w:pPr>
        <w:tabs>
          <w:tab w:val="num" w:pos="6480"/>
        </w:tabs>
        <w:ind w:left="6480" w:hanging="360"/>
      </w:pPr>
      <w:rPr>
        <w:rFonts w:ascii="宋体" w:hAnsi="宋体" w:hint="default"/>
      </w:rPr>
    </w:lvl>
  </w:abstractNum>
  <w:abstractNum w:abstractNumId="30">
    <w:nsid w:val="6D2E47B8"/>
    <w:multiLevelType w:val="hybridMultilevel"/>
    <w:tmpl w:val="3C248B36"/>
    <w:lvl w:ilvl="0" w:tplc="F502E2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31">
    <w:nsid w:val="6E046863"/>
    <w:multiLevelType w:val="hybridMultilevel"/>
    <w:tmpl w:val="2C6809C0"/>
    <w:lvl w:ilvl="0" w:tplc="0409000B">
      <w:start w:val="1"/>
      <w:numFmt w:val="decimal"/>
      <w:lvlText w:val="（%1）"/>
      <w:lvlJc w:val="left"/>
      <w:pPr>
        <w:ind w:left="885" w:hanging="720"/>
      </w:pPr>
      <w:rPr>
        <w:rFonts w:hint="default"/>
      </w:rPr>
    </w:lvl>
    <w:lvl w:ilvl="1" w:tplc="04090003" w:tentative="1">
      <w:start w:val="1"/>
      <w:numFmt w:val="lowerLetter"/>
      <w:lvlText w:val="%2)"/>
      <w:lvlJc w:val="left"/>
      <w:pPr>
        <w:ind w:left="1005" w:hanging="420"/>
      </w:pPr>
    </w:lvl>
    <w:lvl w:ilvl="2" w:tplc="04090005" w:tentative="1">
      <w:start w:val="1"/>
      <w:numFmt w:val="lowerRoman"/>
      <w:lvlText w:val="%3."/>
      <w:lvlJc w:val="right"/>
      <w:pPr>
        <w:ind w:left="1425" w:hanging="420"/>
      </w:pPr>
    </w:lvl>
    <w:lvl w:ilvl="3" w:tplc="04090001" w:tentative="1">
      <w:start w:val="1"/>
      <w:numFmt w:val="decimal"/>
      <w:lvlText w:val="%4."/>
      <w:lvlJc w:val="left"/>
      <w:pPr>
        <w:ind w:left="1845" w:hanging="420"/>
      </w:pPr>
    </w:lvl>
    <w:lvl w:ilvl="4" w:tplc="04090003" w:tentative="1">
      <w:start w:val="1"/>
      <w:numFmt w:val="lowerLetter"/>
      <w:lvlText w:val="%5)"/>
      <w:lvlJc w:val="left"/>
      <w:pPr>
        <w:ind w:left="2265" w:hanging="420"/>
      </w:pPr>
    </w:lvl>
    <w:lvl w:ilvl="5" w:tplc="04090005" w:tentative="1">
      <w:start w:val="1"/>
      <w:numFmt w:val="lowerRoman"/>
      <w:lvlText w:val="%6."/>
      <w:lvlJc w:val="right"/>
      <w:pPr>
        <w:ind w:left="2685" w:hanging="420"/>
      </w:pPr>
    </w:lvl>
    <w:lvl w:ilvl="6" w:tplc="04090001" w:tentative="1">
      <w:start w:val="1"/>
      <w:numFmt w:val="decimal"/>
      <w:lvlText w:val="%7."/>
      <w:lvlJc w:val="left"/>
      <w:pPr>
        <w:ind w:left="3105" w:hanging="420"/>
      </w:pPr>
    </w:lvl>
    <w:lvl w:ilvl="7" w:tplc="04090003" w:tentative="1">
      <w:start w:val="1"/>
      <w:numFmt w:val="lowerLetter"/>
      <w:lvlText w:val="%8)"/>
      <w:lvlJc w:val="left"/>
      <w:pPr>
        <w:ind w:left="3525" w:hanging="420"/>
      </w:pPr>
    </w:lvl>
    <w:lvl w:ilvl="8" w:tplc="04090005" w:tentative="1">
      <w:start w:val="1"/>
      <w:numFmt w:val="lowerRoman"/>
      <w:lvlText w:val="%9."/>
      <w:lvlJc w:val="right"/>
      <w:pPr>
        <w:ind w:left="3945" w:hanging="420"/>
      </w:pPr>
    </w:lvl>
  </w:abstractNum>
  <w:abstractNum w:abstractNumId="32">
    <w:nsid w:val="78400429"/>
    <w:multiLevelType w:val="hybridMultilevel"/>
    <w:tmpl w:val="8FA06BBA"/>
    <w:lvl w:ilvl="0" w:tplc="AB00C024">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78CB543B"/>
    <w:multiLevelType w:val="singleLevel"/>
    <w:tmpl w:val="695C8496"/>
    <w:lvl w:ilvl="0">
      <w:start w:val="1"/>
      <w:numFmt w:val="bullet"/>
      <w:lvlText w:val=""/>
      <w:lvlJc w:val="left"/>
      <w:pPr>
        <w:tabs>
          <w:tab w:val="num" w:pos="927"/>
        </w:tabs>
        <w:ind w:left="0" w:firstLine="567"/>
      </w:pPr>
      <w:rPr>
        <w:rFonts w:ascii="Wingdings" w:hAnsi="Wingdings" w:hint="default"/>
      </w:rPr>
    </w:lvl>
  </w:abstractNum>
  <w:abstractNum w:abstractNumId="34">
    <w:nsid w:val="7A4217B4"/>
    <w:multiLevelType w:val="hybridMultilevel"/>
    <w:tmpl w:val="167E5D22"/>
    <w:lvl w:ilvl="0" w:tplc="41444DBC">
      <w:start w:val="1"/>
      <w:numFmt w:val="bullet"/>
      <w:lvlText w:val=""/>
      <w:lvlJc w:val="left"/>
      <w:pPr>
        <w:ind w:left="420" w:hanging="420"/>
      </w:pPr>
      <w:rPr>
        <w:rFonts w:ascii="Wingdings" w:hAnsi="Wingdings" w:hint="default"/>
      </w:rPr>
    </w:lvl>
    <w:lvl w:ilvl="1" w:tplc="8C6EC12A" w:tentative="1">
      <w:start w:val="1"/>
      <w:numFmt w:val="bullet"/>
      <w:lvlText w:val=""/>
      <w:lvlJc w:val="left"/>
      <w:pPr>
        <w:ind w:left="840" w:hanging="420"/>
      </w:pPr>
      <w:rPr>
        <w:rFonts w:ascii="Wingdings" w:hAnsi="Wingdings" w:hint="default"/>
      </w:rPr>
    </w:lvl>
    <w:lvl w:ilvl="2" w:tplc="EA6E0D88" w:tentative="1">
      <w:start w:val="1"/>
      <w:numFmt w:val="bullet"/>
      <w:lvlText w:val=""/>
      <w:lvlJc w:val="left"/>
      <w:pPr>
        <w:ind w:left="1260" w:hanging="420"/>
      </w:pPr>
      <w:rPr>
        <w:rFonts w:ascii="Wingdings" w:hAnsi="Wingdings" w:hint="default"/>
      </w:rPr>
    </w:lvl>
    <w:lvl w:ilvl="3" w:tplc="6086702A" w:tentative="1">
      <w:start w:val="1"/>
      <w:numFmt w:val="bullet"/>
      <w:lvlText w:val=""/>
      <w:lvlJc w:val="left"/>
      <w:pPr>
        <w:ind w:left="1680" w:hanging="420"/>
      </w:pPr>
      <w:rPr>
        <w:rFonts w:ascii="Wingdings" w:hAnsi="Wingdings" w:hint="default"/>
      </w:rPr>
    </w:lvl>
    <w:lvl w:ilvl="4" w:tplc="7EF633D2" w:tentative="1">
      <w:start w:val="1"/>
      <w:numFmt w:val="bullet"/>
      <w:lvlText w:val=""/>
      <w:lvlJc w:val="left"/>
      <w:pPr>
        <w:ind w:left="2100" w:hanging="420"/>
      </w:pPr>
      <w:rPr>
        <w:rFonts w:ascii="Wingdings" w:hAnsi="Wingdings" w:hint="default"/>
      </w:rPr>
    </w:lvl>
    <w:lvl w:ilvl="5" w:tplc="4A04E27E" w:tentative="1">
      <w:start w:val="1"/>
      <w:numFmt w:val="bullet"/>
      <w:lvlText w:val=""/>
      <w:lvlJc w:val="left"/>
      <w:pPr>
        <w:ind w:left="2520" w:hanging="420"/>
      </w:pPr>
      <w:rPr>
        <w:rFonts w:ascii="Wingdings" w:hAnsi="Wingdings" w:hint="default"/>
      </w:rPr>
    </w:lvl>
    <w:lvl w:ilvl="6" w:tplc="AF3E8938" w:tentative="1">
      <w:start w:val="1"/>
      <w:numFmt w:val="bullet"/>
      <w:lvlText w:val=""/>
      <w:lvlJc w:val="left"/>
      <w:pPr>
        <w:ind w:left="2940" w:hanging="420"/>
      </w:pPr>
      <w:rPr>
        <w:rFonts w:ascii="Wingdings" w:hAnsi="Wingdings" w:hint="default"/>
      </w:rPr>
    </w:lvl>
    <w:lvl w:ilvl="7" w:tplc="CC72D8FE" w:tentative="1">
      <w:start w:val="1"/>
      <w:numFmt w:val="bullet"/>
      <w:lvlText w:val=""/>
      <w:lvlJc w:val="left"/>
      <w:pPr>
        <w:ind w:left="3360" w:hanging="420"/>
      </w:pPr>
      <w:rPr>
        <w:rFonts w:ascii="Wingdings" w:hAnsi="Wingdings" w:hint="default"/>
      </w:rPr>
    </w:lvl>
    <w:lvl w:ilvl="8" w:tplc="3900132C" w:tentative="1">
      <w:start w:val="1"/>
      <w:numFmt w:val="bullet"/>
      <w:lvlText w:val=""/>
      <w:lvlJc w:val="left"/>
      <w:pPr>
        <w:ind w:left="3780" w:hanging="420"/>
      </w:pPr>
      <w:rPr>
        <w:rFonts w:ascii="Wingdings" w:hAnsi="Wingdings" w:hint="default"/>
      </w:rPr>
    </w:lvl>
  </w:abstractNum>
  <w:abstractNum w:abstractNumId="35">
    <w:nsid w:val="7E33362A"/>
    <w:multiLevelType w:val="hybridMultilevel"/>
    <w:tmpl w:val="44B8AC30"/>
    <w:lvl w:ilvl="0" w:tplc="72B0624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
  </w:num>
  <w:num w:numId="3">
    <w:abstractNumId w:val="24"/>
  </w:num>
  <w:num w:numId="4">
    <w:abstractNumId w:val="3"/>
  </w:num>
  <w:num w:numId="5">
    <w:abstractNumId w:val="17"/>
  </w:num>
  <w:num w:numId="6">
    <w:abstractNumId w:val="14"/>
  </w:num>
  <w:num w:numId="7">
    <w:abstractNumId w:val="8"/>
  </w:num>
  <w:num w:numId="8">
    <w:abstractNumId w:val="18"/>
  </w:num>
  <w:num w:numId="9">
    <w:abstractNumId w:val="31"/>
  </w:num>
  <w:num w:numId="10">
    <w:abstractNumId w:val="32"/>
  </w:num>
  <w:num w:numId="11">
    <w:abstractNumId w:val="16"/>
  </w:num>
  <w:num w:numId="12">
    <w:abstractNumId w:val="34"/>
  </w:num>
  <w:num w:numId="13">
    <w:abstractNumId w:val="23"/>
  </w:num>
  <w:num w:numId="14">
    <w:abstractNumId w:val="1"/>
  </w:num>
  <w:num w:numId="15">
    <w:abstractNumId w:val="22"/>
  </w:num>
  <w:num w:numId="16">
    <w:abstractNumId w:val="7"/>
  </w:num>
  <w:num w:numId="17">
    <w:abstractNumId w:val="15"/>
  </w:num>
  <w:num w:numId="18">
    <w:abstractNumId w:val="33"/>
  </w:num>
  <w:num w:numId="19">
    <w:abstractNumId w:val="6"/>
  </w:num>
  <w:num w:numId="20">
    <w:abstractNumId w:val="29"/>
  </w:num>
  <w:num w:numId="21">
    <w:abstractNumId w:val="28"/>
  </w:num>
  <w:num w:numId="22">
    <w:abstractNumId w:val="13"/>
  </w:num>
  <w:num w:numId="23">
    <w:abstractNumId w:val="25"/>
  </w:num>
  <w:num w:numId="24">
    <w:abstractNumId w:val="19"/>
  </w:num>
  <w:num w:numId="25">
    <w:abstractNumId w:val="0"/>
  </w:num>
  <w:num w:numId="26">
    <w:abstractNumId w:val="4"/>
  </w:num>
  <w:num w:numId="27">
    <w:abstractNumId w:val="9"/>
  </w:num>
  <w:num w:numId="28">
    <w:abstractNumId w:val="21"/>
  </w:num>
  <w:num w:numId="29">
    <w:abstractNumId w:val="35"/>
  </w:num>
  <w:num w:numId="30">
    <w:abstractNumId w:val="5"/>
  </w:num>
  <w:num w:numId="31">
    <w:abstractNumId w:val="11"/>
  </w:num>
  <w:num w:numId="32">
    <w:abstractNumId w:val="30"/>
  </w:num>
  <w:num w:numId="33">
    <w:abstractNumId w:val="27"/>
  </w:num>
  <w:num w:numId="34">
    <w:abstractNumId w:val="20"/>
  </w:num>
  <w:num w:numId="35">
    <w:abstractNumId w:val="12"/>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62818" fillcolor="silver">
      <v:fill color="silver"/>
      <o:colormenu v:ext="edit" fill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129C"/>
    <w:rsid w:val="0000022A"/>
    <w:rsid w:val="000002F4"/>
    <w:rsid w:val="0000042E"/>
    <w:rsid w:val="00000476"/>
    <w:rsid w:val="0000054D"/>
    <w:rsid w:val="00000898"/>
    <w:rsid w:val="00000D23"/>
    <w:rsid w:val="000010BB"/>
    <w:rsid w:val="000026CF"/>
    <w:rsid w:val="00002A9A"/>
    <w:rsid w:val="00003530"/>
    <w:rsid w:val="00003710"/>
    <w:rsid w:val="0000403D"/>
    <w:rsid w:val="0000419C"/>
    <w:rsid w:val="0000483F"/>
    <w:rsid w:val="00004880"/>
    <w:rsid w:val="00004B59"/>
    <w:rsid w:val="00004DA4"/>
    <w:rsid w:val="00005CF8"/>
    <w:rsid w:val="000065E4"/>
    <w:rsid w:val="0000742F"/>
    <w:rsid w:val="000077FC"/>
    <w:rsid w:val="0001129C"/>
    <w:rsid w:val="00012557"/>
    <w:rsid w:val="00012978"/>
    <w:rsid w:val="00013193"/>
    <w:rsid w:val="00013298"/>
    <w:rsid w:val="00013721"/>
    <w:rsid w:val="000137AC"/>
    <w:rsid w:val="00013890"/>
    <w:rsid w:val="00013E69"/>
    <w:rsid w:val="000151DF"/>
    <w:rsid w:val="00015447"/>
    <w:rsid w:val="0001580D"/>
    <w:rsid w:val="00015D80"/>
    <w:rsid w:val="00016782"/>
    <w:rsid w:val="000167B6"/>
    <w:rsid w:val="0001706E"/>
    <w:rsid w:val="00020F25"/>
    <w:rsid w:val="00020F80"/>
    <w:rsid w:val="000214C6"/>
    <w:rsid w:val="000217B2"/>
    <w:rsid w:val="000219E6"/>
    <w:rsid w:val="000219EE"/>
    <w:rsid w:val="00021C6D"/>
    <w:rsid w:val="00021D63"/>
    <w:rsid w:val="0002289E"/>
    <w:rsid w:val="00022A27"/>
    <w:rsid w:val="00022B97"/>
    <w:rsid w:val="00022F74"/>
    <w:rsid w:val="000231AD"/>
    <w:rsid w:val="0002352F"/>
    <w:rsid w:val="00023559"/>
    <w:rsid w:val="00023E30"/>
    <w:rsid w:val="000240F6"/>
    <w:rsid w:val="00024162"/>
    <w:rsid w:val="00024549"/>
    <w:rsid w:val="00024B39"/>
    <w:rsid w:val="00024E42"/>
    <w:rsid w:val="0002577D"/>
    <w:rsid w:val="00025AC7"/>
    <w:rsid w:val="00025CC9"/>
    <w:rsid w:val="00025D59"/>
    <w:rsid w:val="00026A6D"/>
    <w:rsid w:val="00027624"/>
    <w:rsid w:val="00027A71"/>
    <w:rsid w:val="0003020F"/>
    <w:rsid w:val="000305B5"/>
    <w:rsid w:val="00031101"/>
    <w:rsid w:val="0003147F"/>
    <w:rsid w:val="00031786"/>
    <w:rsid w:val="000318A6"/>
    <w:rsid w:val="0003190D"/>
    <w:rsid w:val="00031B11"/>
    <w:rsid w:val="000326B4"/>
    <w:rsid w:val="00032F12"/>
    <w:rsid w:val="000332F5"/>
    <w:rsid w:val="00033FE1"/>
    <w:rsid w:val="00034339"/>
    <w:rsid w:val="00034AE1"/>
    <w:rsid w:val="00034BBA"/>
    <w:rsid w:val="00034DB1"/>
    <w:rsid w:val="000358C5"/>
    <w:rsid w:val="00035A85"/>
    <w:rsid w:val="0003602C"/>
    <w:rsid w:val="000363E3"/>
    <w:rsid w:val="0003734D"/>
    <w:rsid w:val="00037447"/>
    <w:rsid w:val="0004066D"/>
    <w:rsid w:val="00040905"/>
    <w:rsid w:val="0004098C"/>
    <w:rsid w:val="00040D97"/>
    <w:rsid w:val="00041033"/>
    <w:rsid w:val="0004112D"/>
    <w:rsid w:val="00041C57"/>
    <w:rsid w:val="00042448"/>
    <w:rsid w:val="00042699"/>
    <w:rsid w:val="00042776"/>
    <w:rsid w:val="00042FD2"/>
    <w:rsid w:val="000438FB"/>
    <w:rsid w:val="00043D08"/>
    <w:rsid w:val="0004469A"/>
    <w:rsid w:val="00044B0A"/>
    <w:rsid w:val="00045B83"/>
    <w:rsid w:val="0004615D"/>
    <w:rsid w:val="00046388"/>
    <w:rsid w:val="000464EC"/>
    <w:rsid w:val="0004680A"/>
    <w:rsid w:val="00046B71"/>
    <w:rsid w:val="00046D2B"/>
    <w:rsid w:val="00046D94"/>
    <w:rsid w:val="000470A2"/>
    <w:rsid w:val="0004717F"/>
    <w:rsid w:val="00047D5D"/>
    <w:rsid w:val="00050503"/>
    <w:rsid w:val="00050C95"/>
    <w:rsid w:val="000527EC"/>
    <w:rsid w:val="00052C8F"/>
    <w:rsid w:val="00052E71"/>
    <w:rsid w:val="00052EA1"/>
    <w:rsid w:val="00052FBC"/>
    <w:rsid w:val="00053390"/>
    <w:rsid w:val="0005387A"/>
    <w:rsid w:val="00053BC2"/>
    <w:rsid w:val="00054880"/>
    <w:rsid w:val="0005488F"/>
    <w:rsid w:val="000558D6"/>
    <w:rsid w:val="00055B0D"/>
    <w:rsid w:val="00055DE7"/>
    <w:rsid w:val="00055FEA"/>
    <w:rsid w:val="00056C99"/>
    <w:rsid w:val="00056FCE"/>
    <w:rsid w:val="000573A6"/>
    <w:rsid w:val="000575E9"/>
    <w:rsid w:val="00057633"/>
    <w:rsid w:val="00057812"/>
    <w:rsid w:val="0006002B"/>
    <w:rsid w:val="000601D3"/>
    <w:rsid w:val="00060635"/>
    <w:rsid w:val="00061D78"/>
    <w:rsid w:val="00061FF9"/>
    <w:rsid w:val="00062972"/>
    <w:rsid w:val="00062A84"/>
    <w:rsid w:val="00062B06"/>
    <w:rsid w:val="0006354D"/>
    <w:rsid w:val="00063CB8"/>
    <w:rsid w:val="0006426A"/>
    <w:rsid w:val="00064838"/>
    <w:rsid w:val="00064B33"/>
    <w:rsid w:val="00064C87"/>
    <w:rsid w:val="0006501B"/>
    <w:rsid w:val="000652A1"/>
    <w:rsid w:val="000655C4"/>
    <w:rsid w:val="00065F26"/>
    <w:rsid w:val="00065FE5"/>
    <w:rsid w:val="00066124"/>
    <w:rsid w:val="00066BE2"/>
    <w:rsid w:val="00066CFD"/>
    <w:rsid w:val="0006750B"/>
    <w:rsid w:val="00067A1C"/>
    <w:rsid w:val="00067ADB"/>
    <w:rsid w:val="00070258"/>
    <w:rsid w:val="00070467"/>
    <w:rsid w:val="00070787"/>
    <w:rsid w:val="000708B3"/>
    <w:rsid w:val="00070AE9"/>
    <w:rsid w:val="000710B4"/>
    <w:rsid w:val="00071CF9"/>
    <w:rsid w:val="00071E49"/>
    <w:rsid w:val="00072369"/>
    <w:rsid w:val="00072415"/>
    <w:rsid w:val="00072B16"/>
    <w:rsid w:val="00072FC2"/>
    <w:rsid w:val="00073B8F"/>
    <w:rsid w:val="00073B92"/>
    <w:rsid w:val="00073D1A"/>
    <w:rsid w:val="00073E5E"/>
    <w:rsid w:val="00073ECD"/>
    <w:rsid w:val="000741AC"/>
    <w:rsid w:val="00074256"/>
    <w:rsid w:val="00074386"/>
    <w:rsid w:val="0007452B"/>
    <w:rsid w:val="0007581B"/>
    <w:rsid w:val="0007595E"/>
    <w:rsid w:val="00075D20"/>
    <w:rsid w:val="00076C21"/>
    <w:rsid w:val="00077024"/>
    <w:rsid w:val="000774FC"/>
    <w:rsid w:val="000775E7"/>
    <w:rsid w:val="00077C97"/>
    <w:rsid w:val="0008007F"/>
    <w:rsid w:val="0008085F"/>
    <w:rsid w:val="00081047"/>
    <w:rsid w:val="0008114B"/>
    <w:rsid w:val="00081374"/>
    <w:rsid w:val="000814E9"/>
    <w:rsid w:val="000816EE"/>
    <w:rsid w:val="0008179D"/>
    <w:rsid w:val="0008191C"/>
    <w:rsid w:val="00081C2E"/>
    <w:rsid w:val="000825A2"/>
    <w:rsid w:val="00082BBA"/>
    <w:rsid w:val="00082D68"/>
    <w:rsid w:val="00082FF7"/>
    <w:rsid w:val="000834FD"/>
    <w:rsid w:val="00083C8C"/>
    <w:rsid w:val="000841E1"/>
    <w:rsid w:val="00085342"/>
    <w:rsid w:val="00085D82"/>
    <w:rsid w:val="00085F9E"/>
    <w:rsid w:val="000860D3"/>
    <w:rsid w:val="00086898"/>
    <w:rsid w:val="00087178"/>
    <w:rsid w:val="000871B6"/>
    <w:rsid w:val="00087602"/>
    <w:rsid w:val="00087928"/>
    <w:rsid w:val="00090A46"/>
    <w:rsid w:val="00090DFE"/>
    <w:rsid w:val="000910AB"/>
    <w:rsid w:val="0009184F"/>
    <w:rsid w:val="00091A72"/>
    <w:rsid w:val="00091E13"/>
    <w:rsid w:val="000925BD"/>
    <w:rsid w:val="0009298C"/>
    <w:rsid w:val="00092E44"/>
    <w:rsid w:val="0009394B"/>
    <w:rsid w:val="00093A73"/>
    <w:rsid w:val="00093F05"/>
    <w:rsid w:val="0009422E"/>
    <w:rsid w:val="00094447"/>
    <w:rsid w:val="00095FAE"/>
    <w:rsid w:val="000960AA"/>
    <w:rsid w:val="0009771B"/>
    <w:rsid w:val="00097755"/>
    <w:rsid w:val="000979C0"/>
    <w:rsid w:val="00097A33"/>
    <w:rsid w:val="000A0D72"/>
    <w:rsid w:val="000A10E5"/>
    <w:rsid w:val="000A11EC"/>
    <w:rsid w:val="000A168F"/>
    <w:rsid w:val="000A1871"/>
    <w:rsid w:val="000A2504"/>
    <w:rsid w:val="000A2654"/>
    <w:rsid w:val="000A2A0F"/>
    <w:rsid w:val="000A2CEA"/>
    <w:rsid w:val="000A3375"/>
    <w:rsid w:val="000A3647"/>
    <w:rsid w:val="000A3A79"/>
    <w:rsid w:val="000A3C87"/>
    <w:rsid w:val="000A449F"/>
    <w:rsid w:val="000A4845"/>
    <w:rsid w:val="000A5142"/>
    <w:rsid w:val="000A520E"/>
    <w:rsid w:val="000A541A"/>
    <w:rsid w:val="000A6759"/>
    <w:rsid w:val="000A687A"/>
    <w:rsid w:val="000A6A75"/>
    <w:rsid w:val="000A6EE9"/>
    <w:rsid w:val="000B0351"/>
    <w:rsid w:val="000B0AE7"/>
    <w:rsid w:val="000B0D8B"/>
    <w:rsid w:val="000B0F38"/>
    <w:rsid w:val="000B18E5"/>
    <w:rsid w:val="000B1E82"/>
    <w:rsid w:val="000B1F4D"/>
    <w:rsid w:val="000B2CB8"/>
    <w:rsid w:val="000B339D"/>
    <w:rsid w:val="000B3833"/>
    <w:rsid w:val="000B3A3B"/>
    <w:rsid w:val="000B3E90"/>
    <w:rsid w:val="000B41FE"/>
    <w:rsid w:val="000B476D"/>
    <w:rsid w:val="000B4BF3"/>
    <w:rsid w:val="000B52FA"/>
    <w:rsid w:val="000B645C"/>
    <w:rsid w:val="000B65BC"/>
    <w:rsid w:val="000B6AC0"/>
    <w:rsid w:val="000B7204"/>
    <w:rsid w:val="000C013A"/>
    <w:rsid w:val="000C0820"/>
    <w:rsid w:val="000C0ACE"/>
    <w:rsid w:val="000C132D"/>
    <w:rsid w:val="000C150F"/>
    <w:rsid w:val="000C1704"/>
    <w:rsid w:val="000C1721"/>
    <w:rsid w:val="000C21D2"/>
    <w:rsid w:val="000C221E"/>
    <w:rsid w:val="000C2C1A"/>
    <w:rsid w:val="000C332F"/>
    <w:rsid w:val="000C377E"/>
    <w:rsid w:val="000C3B63"/>
    <w:rsid w:val="000C3FA2"/>
    <w:rsid w:val="000C5468"/>
    <w:rsid w:val="000C5528"/>
    <w:rsid w:val="000C5828"/>
    <w:rsid w:val="000C596E"/>
    <w:rsid w:val="000C5B81"/>
    <w:rsid w:val="000C5F43"/>
    <w:rsid w:val="000C6193"/>
    <w:rsid w:val="000C68C7"/>
    <w:rsid w:val="000C690C"/>
    <w:rsid w:val="000C6DDE"/>
    <w:rsid w:val="000C7313"/>
    <w:rsid w:val="000C796C"/>
    <w:rsid w:val="000C7999"/>
    <w:rsid w:val="000D0083"/>
    <w:rsid w:val="000D02D5"/>
    <w:rsid w:val="000D0547"/>
    <w:rsid w:val="000D11D5"/>
    <w:rsid w:val="000D1739"/>
    <w:rsid w:val="000D1C12"/>
    <w:rsid w:val="000D25C5"/>
    <w:rsid w:val="000D271C"/>
    <w:rsid w:val="000D29B1"/>
    <w:rsid w:val="000D2A9D"/>
    <w:rsid w:val="000D371E"/>
    <w:rsid w:val="000D3867"/>
    <w:rsid w:val="000D3978"/>
    <w:rsid w:val="000D4194"/>
    <w:rsid w:val="000D45A9"/>
    <w:rsid w:val="000D511F"/>
    <w:rsid w:val="000D57F2"/>
    <w:rsid w:val="000D5D8E"/>
    <w:rsid w:val="000D756E"/>
    <w:rsid w:val="000D7AAE"/>
    <w:rsid w:val="000E072A"/>
    <w:rsid w:val="000E0ECF"/>
    <w:rsid w:val="000E1143"/>
    <w:rsid w:val="000E1284"/>
    <w:rsid w:val="000E1565"/>
    <w:rsid w:val="000E15EE"/>
    <w:rsid w:val="000E1670"/>
    <w:rsid w:val="000E17F5"/>
    <w:rsid w:val="000E1CAE"/>
    <w:rsid w:val="000E1D7C"/>
    <w:rsid w:val="000E1F53"/>
    <w:rsid w:val="000E216B"/>
    <w:rsid w:val="000E220C"/>
    <w:rsid w:val="000E25B8"/>
    <w:rsid w:val="000E262E"/>
    <w:rsid w:val="000E2A75"/>
    <w:rsid w:val="000E2BF3"/>
    <w:rsid w:val="000E2E9B"/>
    <w:rsid w:val="000E2EE1"/>
    <w:rsid w:val="000E344A"/>
    <w:rsid w:val="000E3FF2"/>
    <w:rsid w:val="000E4246"/>
    <w:rsid w:val="000E450D"/>
    <w:rsid w:val="000E4FB8"/>
    <w:rsid w:val="000E5A6B"/>
    <w:rsid w:val="000E5B3E"/>
    <w:rsid w:val="000E6310"/>
    <w:rsid w:val="000E65F6"/>
    <w:rsid w:val="000E6864"/>
    <w:rsid w:val="000E6ACF"/>
    <w:rsid w:val="000E6EB6"/>
    <w:rsid w:val="000E6F7D"/>
    <w:rsid w:val="000E7676"/>
    <w:rsid w:val="000E79ED"/>
    <w:rsid w:val="000E7A35"/>
    <w:rsid w:val="000F0149"/>
    <w:rsid w:val="000F01C4"/>
    <w:rsid w:val="000F032B"/>
    <w:rsid w:val="000F0629"/>
    <w:rsid w:val="000F0781"/>
    <w:rsid w:val="000F09F0"/>
    <w:rsid w:val="000F0C70"/>
    <w:rsid w:val="000F0DEA"/>
    <w:rsid w:val="000F0FC1"/>
    <w:rsid w:val="000F0FD0"/>
    <w:rsid w:val="000F1F62"/>
    <w:rsid w:val="000F20C0"/>
    <w:rsid w:val="000F2FF6"/>
    <w:rsid w:val="000F329C"/>
    <w:rsid w:val="000F372B"/>
    <w:rsid w:val="000F379B"/>
    <w:rsid w:val="000F43C3"/>
    <w:rsid w:val="000F503B"/>
    <w:rsid w:val="000F5081"/>
    <w:rsid w:val="000F55EC"/>
    <w:rsid w:val="000F57F3"/>
    <w:rsid w:val="000F5A65"/>
    <w:rsid w:val="000F5C8B"/>
    <w:rsid w:val="000F5FC0"/>
    <w:rsid w:val="000F6493"/>
    <w:rsid w:val="000F6AAB"/>
    <w:rsid w:val="000F6E2D"/>
    <w:rsid w:val="000F706B"/>
    <w:rsid w:val="000F74A5"/>
    <w:rsid w:val="000F7727"/>
    <w:rsid w:val="000F78D8"/>
    <w:rsid w:val="000F7AC4"/>
    <w:rsid w:val="001000B1"/>
    <w:rsid w:val="001013B2"/>
    <w:rsid w:val="00101731"/>
    <w:rsid w:val="00101999"/>
    <w:rsid w:val="00101A1D"/>
    <w:rsid w:val="00101BB3"/>
    <w:rsid w:val="001021B9"/>
    <w:rsid w:val="001024F5"/>
    <w:rsid w:val="00102737"/>
    <w:rsid w:val="001032E6"/>
    <w:rsid w:val="00103D28"/>
    <w:rsid w:val="00103DD6"/>
    <w:rsid w:val="00104164"/>
    <w:rsid w:val="00104454"/>
    <w:rsid w:val="00104FCB"/>
    <w:rsid w:val="00105792"/>
    <w:rsid w:val="00105839"/>
    <w:rsid w:val="00105B53"/>
    <w:rsid w:val="00105ED1"/>
    <w:rsid w:val="00105F0D"/>
    <w:rsid w:val="00106484"/>
    <w:rsid w:val="00106C21"/>
    <w:rsid w:val="00107C3E"/>
    <w:rsid w:val="00110FA9"/>
    <w:rsid w:val="00110FF0"/>
    <w:rsid w:val="001110FD"/>
    <w:rsid w:val="0011164D"/>
    <w:rsid w:val="0011234A"/>
    <w:rsid w:val="001124BD"/>
    <w:rsid w:val="00112AB3"/>
    <w:rsid w:val="00112C4A"/>
    <w:rsid w:val="00112D9B"/>
    <w:rsid w:val="00113089"/>
    <w:rsid w:val="00113190"/>
    <w:rsid w:val="00114142"/>
    <w:rsid w:val="00114507"/>
    <w:rsid w:val="00114EE9"/>
    <w:rsid w:val="00114F69"/>
    <w:rsid w:val="0011520C"/>
    <w:rsid w:val="001153D7"/>
    <w:rsid w:val="00115791"/>
    <w:rsid w:val="0011597F"/>
    <w:rsid w:val="001159F3"/>
    <w:rsid w:val="00115A4C"/>
    <w:rsid w:val="001160D8"/>
    <w:rsid w:val="001161B2"/>
    <w:rsid w:val="001165A3"/>
    <w:rsid w:val="001173F7"/>
    <w:rsid w:val="0011781C"/>
    <w:rsid w:val="001179B4"/>
    <w:rsid w:val="00117FC2"/>
    <w:rsid w:val="00120B67"/>
    <w:rsid w:val="00121147"/>
    <w:rsid w:val="00121382"/>
    <w:rsid w:val="00122925"/>
    <w:rsid w:val="00122F12"/>
    <w:rsid w:val="001230FF"/>
    <w:rsid w:val="0012346A"/>
    <w:rsid w:val="00123F11"/>
    <w:rsid w:val="00124AE9"/>
    <w:rsid w:val="00124CBF"/>
    <w:rsid w:val="00124D2E"/>
    <w:rsid w:val="0012508E"/>
    <w:rsid w:val="001251C3"/>
    <w:rsid w:val="00125903"/>
    <w:rsid w:val="00126BF3"/>
    <w:rsid w:val="00126CA1"/>
    <w:rsid w:val="00126F17"/>
    <w:rsid w:val="00127023"/>
    <w:rsid w:val="001275F1"/>
    <w:rsid w:val="001277C7"/>
    <w:rsid w:val="00127D5B"/>
    <w:rsid w:val="001311C9"/>
    <w:rsid w:val="001315F0"/>
    <w:rsid w:val="00131CC2"/>
    <w:rsid w:val="001327E9"/>
    <w:rsid w:val="00132806"/>
    <w:rsid w:val="00132F8A"/>
    <w:rsid w:val="00133C44"/>
    <w:rsid w:val="00134015"/>
    <w:rsid w:val="0013487F"/>
    <w:rsid w:val="00134FA6"/>
    <w:rsid w:val="00135126"/>
    <w:rsid w:val="00135872"/>
    <w:rsid w:val="001362CC"/>
    <w:rsid w:val="001366BF"/>
    <w:rsid w:val="001368FB"/>
    <w:rsid w:val="00136EA0"/>
    <w:rsid w:val="00136FEF"/>
    <w:rsid w:val="001377AF"/>
    <w:rsid w:val="001379A6"/>
    <w:rsid w:val="00137E56"/>
    <w:rsid w:val="00137FF3"/>
    <w:rsid w:val="00140722"/>
    <w:rsid w:val="0014077A"/>
    <w:rsid w:val="001409D0"/>
    <w:rsid w:val="00140AB2"/>
    <w:rsid w:val="00140FEA"/>
    <w:rsid w:val="00141906"/>
    <w:rsid w:val="00141C10"/>
    <w:rsid w:val="00142920"/>
    <w:rsid w:val="00142A1D"/>
    <w:rsid w:val="00142A76"/>
    <w:rsid w:val="00142AB1"/>
    <w:rsid w:val="00142B1F"/>
    <w:rsid w:val="00142F26"/>
    <w:rsid w:val="00143743"/>
    <w:rsid w:val="00143AB5"/>
    <w:rsid w:val="00143B43"/>
    <w:rsid w:val="0014438B"/>
    <w:rsid w:val="0014445C"/>
    <w:rsid w:val="00144674"/>
    <w:rsid w:val="001447D1"/>
    <w:rsid w:val="00144D63"/>
    <w:rsid w:val="001450E4"/>
    <w:rsid w:val="0014798E"/>
    <w:rsid w:val="00147BC5"/>
    <w:rsid w:val="00147E55"/>
    <w:rsid w:val="001510DB"/>
    <w:rsid w:val="0015122C"/>
    <w:rsid w:val="00151401"/>
    <w:rsid w:val="00151599"/>
    <w:rsid w:val="00151A7E"/>
    <w:rsid w:val="00151F7B"/>
    <w:rsid w:val="00153960"/>
    <w:rsid w:val="001539AC"/>
    <w:rsid w:val="00153D23"/>
    <w:rsid w:val="00153EB1"/>
    <w:rsid w:val="00153F00"/>
    <w:rsid w:val="001542B1"/>
    <w:rsid w:val="001549A2"/>
    <w:rsid w:val="00154B4F"/>
    <w:rsid w:val="00155224"/>
    <w:rsid w:val="0015561D"/>
    <w:rsid w:val="00155B38"/>
    <w:rsid w:val="00155B9D"/>
    <w:rsid w:val="0015633C"/>
    <w:rsid w:val="00156391"/>
    <w:rsid w:val="001563E3"/>
    <w:rsid w:val="001565EA"/>
    <w:rsid w:val="00156BFA"/>
    <w:rsid w:val="00157AB9"/>
    <w:rsid w:val="00157B11"/>
    <w:rsid w:val="00157D52"/>
    <w:rsid w:val="00157E5F"/>
    <w:rsid w:val="00160083"/>
    <w:rsid w:val="001601E5"/>
    <w:rsid w:val="001601FD"/>
    <w:rsid w:val="0016036E"/>
    <w:rsid w:val="00160890"/>
    <w:rsid w:val="0016095D"/>
    <w:rsid w:val="00160FA4"/>
    <w:rsid w:val="001610CF"/>
    <w:rsid w:val="001614C5"/>
    <w:rsid w:val="0016150F"/>
    <w:rsid w:val="00161779"/>
    <w:rsid w:val="001617A7"/>
    <w:rsid w:val="00162739"/>
    <w:rsid w:val="001635E7"/>
    <w:rsid w:val="00163BD2"/>
    <w:rsid w:val="0016416A"/>
    <w:rsid w:val="0016418F"/>
    <w:rsid w:val="001645D0"/>
    <w:rsid w:val="0016475F"/>
    <w:rsid w:val="00164D25"/>
    <w:rsid w:val="001661F3"/>
    <w:rsid w:val="00167315"/>
    <w:rsid w:val="00167426"/>
    <w:rsid w:val="0016749B"/>
    <w:rsid w:val="0016758B"/>
    <w:rsid w:val="00167C55"/>
    <w:rsid w:val="00167DC4"/>
    <w:rsid w:val="001700D4"/>
    <w:rsid w:val="00170192"/>
    <w:rsid w:val="00170695"/>
    <w:rsid w:val="00170A1A"/>
    <w:rsid w:val="00170AD3"/>
    <w:rsid w:val="00171018"/>
    <w:rsid w:val="001711EE"/>
    <w:rsid w:val="0017158F"/>
    <w:rsid w:val="00172227"/>
    <w:rsid w:val="00172629"/>
    <w:rsid w:val="0017324B"/>
    <w:rsid w:val="0017336C"/>
    <w:rsid w:val="00173D1B"/>
    <w:rsid w:val="00174A58"/>
    <w:rsid w:val="00174F69"/>
    <w:rsid w:val="0017516F"/>
    <w:rsid w:val="00175374"/>
    <w:rsid w:val="0017581C"/>
    <w:rsid w:val="00175B6D"/>
    <w:rsid w:val="00175D4B"/>
    <w:rsid w:val="00176477"/>
    <w:rsid w:val="00177EC4"/>
    <w:rsid w:val="001808A7"/>
    <w:rsid w:val="00180C6A"/>
    <w:rsid w:val="00180E47"/>
    <w:rsid w:val="0018118D"/>
    <w:rsid w:val="0018145F"/>
    <w:rsid w:val="00181995"/>
    <w:rsid w:val="00181EEA"/>
    <w:rsid w:val="001822F4"/>
    <w:rsid w:val="00182964"/>
    <w:rsid w:val="00182DEA"/>
    <w:rsid w:val="00183B05"/>
    <w:rsid w:val="00183E54"/>
    <w:rsid w:val="00183F73"/>
    <w:rsid w:val="0018466B"/>
    <w:rsid w:val="00184C75"/>
    <w:rsid w:val="00185254"/>
    <w:rsid w:val="00185E2B"/>
    <w:rsid w:val="00185FC0"/>
    <w:rsid w:val="00186201"/>
    <w:rsid w:val="00186459"/>
    <w:rsid w:val="0018671A"/>
    <w:rsid w:val="001867B8"/>
    <w:rsid w:val="00186AC5"/>
    <w:rsid w:val="00186C64"/>
    <w:rsid w:val="00186DE1"/>
    <w:rsid w:val="001875F7"/>
    <w:rsid w:val="001875FA"/>
    <w:rsid w:val="00187657"/>
    <w:rsid w:val="0018775A"/>
    <w:rsid w:val="0018778F"/>
    <w:rsid w:val="001879B3"/>
    <w:rsid w:val="00187C63"/>
    <w:rsid w:val="00187C73"/>
    <w:rsid w:val="00187EFB"/>
    <w:rsid w:val="00190AF0"/>
    <w:rsid w:val="00190DE6"/>
    <w:rsid w:val="00190E3A"/>
    <w:rsid w:val="001916D1"/>
    <w:rsid w:val="00191837"/>
    <w:rsid w:val="001919CC"/>
    <w:rsid w:val="0019204A"/>
    <w:rsid w:val="00192CD5"/>
    <w:rsid w:val="00192D1B"/>
    <w:rsid w:val="00192E07"/>
    <w:rsid w:val="0019339D"/>
    <w:rsid w:val="001935EB"/>
    <w:rsid w:val="00193E5F"/>
    <w:rsid w:val="001943A5"/>
    <w:rsid w:val="00194562"/>
    <w:rsid w:val="00194FA0"/>
    <w:rsid w:val="00195302"/>
    <w:rsid w:val="0019535D"/>
    <w:rsid w:val="0019570B"/>
    <w:rsid w:val="00195F33"/>
    <w:rsid w:val="00196C71"/>
    <w:rsid w:val="0019757F"/>
    <w:rsid w:val="001976EC"/>
    <w:rsid w:val="00197A29"/>
    <w:rsid w:val="001A08A8"/>
    <w:rsid w:val="001A1458"/>
    <w:rsid w:val="001A27BC"/>
    <w:rsid w:val="001A3054"/>
    <w:rsid w:val="001A3074"/>
    <w:rsid w:val="001A36B0"/>
    <w:rsid w:val="001A4251"/>
    <w:rsid w:val="001A4779"/>
    <w:rsid w:val="001A49A0"/>
    <w:rsid w:val="001A4E2A"/>
    <w:rsid w:val="001A56F0"/>
    <w:rsid w:val="001A5D60"/>
    <w:rsid w:val="001A686D"/>
    <w:rsid w:val="001A6A9D"/>
    <w:rsid w:val="001A70A6"/>
    <w:rsid w:val="001A7388"/>
    <w:rsid w:val="001A7A13"/>
    <w:rsid w:val="001A7E08"/>
    <w:rsid w:val="001A7F19"/>
    <w:rsid w:val="001B05EC"/>
    <w:rsid w:val="001B0DFD"/>
    <w:rsid w:val="001B1890"/>
    <w:rsid w:val="001B1A2B"/>
    <w:rsid w:val="001B1B8D"/>
    <w:rsid w:val="001B1F61"/>
    <w:rsid w:val="001B2071"/>
    <w:rsid w:val="001B20CE"/>
    <w:rsid w:val="001B282D"/>
    <w:rsid w:val="001B2B88"/>
    <w:rsid w:val="001B2ECE"/>
    <w:rsid w:val="001B32C7"/>
    <w:rsid w:val="001B4227"/>
    <w:rsid w:val="001B4E30"/>
    <w:rsid w:val="001B553B"/>
    <w:rsid w:val="001B5802"/>
    <w:rsid w:val="001B5BA3"/>
    <w:rsid w:val="001B6494"/>
    <w:rsid w:val="001B64A5"/>
    <w:rsid w:val="001B68BA"/>
    <w:rsid w:val="001B6914"/>
    <w:rsid w:val="001B69D0"/>
    <w:rsid w:val="001B6A77"/>
    <w:rsid w:val="001B7983"/>
    <w:rsid w:val="001C073A"/>
    <w:rsid w:val="001C0AFB"/>
    <w:rsid w:val="001C0BB0"/>
    <w:rsid w:val="001C0C27"/>
    <w:rsid w:val="001C0F2A"/>
    <w:rsid w:val="001C1587"/>
    <w:rsid w:val="001C1795"/>
    <w:rsid w:val="001C21CA"/>
    <w:rsid w:val="001C25E9"/>
    <w:rsid w:val="001C274E"/>
    <w:rsid w:val="001C2756"/>
    <w:rsid w:val="001C33F0"/>
    <w:rsid w:val="001C38D1"/>
    <w:rsid w:val="001C41BF"/>
    <w:rsid w:val="001C48A4"/>
    <w:rsid w:val="001C533D"/>
    <w:rsid w:val="001C547D"/>
    <w:rsid w:val="001C59D8"/>
    <w:rsid w:val="001C5C72"/>
    <w:rsid w:val="001C5D18"/>
    <w:rsid w:val="001C6AFD"/>
    <w:rsid w:val="001C79F2"/>
    <w:rsid w:val="001C7A7C"/>
    <w:rsid w:val="001C7C10"/>
    <w:rsid w:val="001C7DF4"/>
    <w:rsid w:val="001D0007"/>
    <w:rsid w:val="001D02AD"/>
    <w:rsid w:val="001D0A49"/>
    <w:rsid w:val="001D1877"/>
    <w:rsid w:val="001D1B4D"/>
    <w:rsid w:val="001D1FA1"/>
    <w:rsid w:val="001D21F6"/>
    <w:rsid w:val="001D2E46"/>
    <w:rsid w:val="001D2E52"/>
    <w:rsid w:val="001D34C2"/>
    <w:rsid w:val="001D383E"/>
    <w:rsid w:val="001D3934"/>
    <w:rsid w:val="001D3FE6"/>
    <w:rsid w:val="001D44C0"/>
    <w:rsid w:val="001D4E59"/>
    <w:rsid w:val="001D5032"/>
    <w:rsid w:val="001D5093"/>
    <w:rsid w:val="001D5108"/>
    <w:rsid w:val="001D5AC0"/>
    <w:rsid w:val="001D5D55"/>
    <w:rsid w:val="001D6992"/>
    <w:rsid w:val="001D6F4C"/>
    <w:rsid w:val="001D709C"/>
    <w:rsid w:val="001D73C0"/>
    <w:rsid w:val="001D79F6"/>
    <w:rsid w:val="001E066D"/>
    <w:rsid w:val="001E12B5"/>
    <w:rsid w:val="001E14D5"/>
    <w:rsid w:val="001E2002"/>
    <w:rsid w:val="001E2012"/>
    <w:rsid w:val="001E2204"/>
    <w:rsid w:val="001E2330"/>
    <w:rsid w:val="001E2A8F"/>
    <w:rsid w:val="001E2E22"/>
    <w:rsid w:val="001E3082"/>
    <w:rsid w:val="001E3270"/>
    <w:rsid w:val="001E4047"/>
    <w:rsid w:val="001E4516"/>
    <w:rsid w:val="001E4A8D"/>
    <w:rsid w:val="001E4AE4"/>
    <w:rsid w:val="001E5013"/>
    <w:rsid w:val="001E592A"/>
    <w:rsid w:val="001E6A78"/>
    <w:rsid w:val="001E760B"/>
    <w:rsid w:val="001E76EA"/>
    <w:rsid w:val="001F020B"/>
    <w:rsid w:val="001F0A54"/>
    <w:rsid w:val="001F12A0"/>
    <w:rsid w:val="001F1B6D"/>
    <w:rsid w:val="001F227E"/>
    <w:rsid w:val="001F294F"/>
    <w:rsid w:val="001F2D24"/>
    <w:rsid w:val="001F33E7"/>
    <w:rsid w:val="001F3C35"/>
    <w:rsid w:val="001F4227"/>
    <w:rsid w:val="001F47C3"/>
    <w:rsid w:val="001F50EA"/>
    <w:rsid w:val="001F5294"/>
    <w:rsid w:val="001F57A6"/>
    <w:rsid w:val="001F5A7B"/>
    <w:rsid w:val="001F5DD1"/>
    <w:rsid w:val="001F6D59"/>
    <w:rsid w:val="001F7142"/>
    <w:rsid w:val="001F7529"/>
    <w:rsid w:val="001F7729"/>
    <w:rsid w:val="0020009E"/>
    <w:rsid w:val="00200E2A"/>
    <w:rsid w:val="002013FD"/>
    <w:rsid w:val="00201415"/>
    <w:rsid w:val="002016CE"/>
    <w:rsid w:val="00201793"/>
    <w:rsid w:val="00201961"/>
    <w:rsid w:val="00201A42"/>
    <w:rsid w:val="00202051"/>
    <w:rsid w:val="00202703"/>
    <w:rsid w:val="0020292A"/>
    <w:rsid w:val="00202B2C"/>
    <w:rsid w:val="002031C2"/>
    <w:rsid w:val="002037FA"/>
    <w:rsid w:val="00203BC3"/>
    <w:rsid w:val="00203BC4"/>
    <w:rsid w:val="00203C74"/>
    <w:rsid w:val="002041C6"/>
    <w:rsid w:val="00204E60"/>
    <w:rsid w:val="00205D87"/>
    <w:rsid w:val="00205EB4"/>
    <w:rsid w:val="00206569"/>
    <w:rsid w:val="00207122"/>
    <w:rsid w:val="00207483"/>
    <w:rsid w:val="00207993"/>
    <w:rsid w:val="00207D0B"/>
    <w:rsid w:val="00207D51"/>
    <w:rsid w:val="0021002A"/>
    <w:rsid w:val="0021012F"/>
    <w:rsid w:val="002115BF"/>
    <w:rsid w:val="00211B65"/>
    <w:rsid w:val="00211BD6"/>
    <w:rsid w:val="00212912"/>
    <w:rsid w:val="00212DA9"/>
    <w:rsid w:val="00213521"/>
    <w:rsid w:val="00213BF7"/>
    <w:rsid w:val="00214348"/>
    <w:rsid w:val="00215CDA"/>
    <w:rsid w:val="002163C4"/>
    <w:rsid w:val="0021666E"/>
    <w:rsid w:val="00216DA7"/>
    <w:rsid w:val="00220FCB"/>
    <w:rsid w:val="0022107B"/>
    <w:rsid w:val="002217C4"/>
    <w:rsid w:val="0022206F"/>
    <w:rsid w:val="00223ADC"/>
    <w:rsid w:val="00223B17"/>
    <w:rsid w:val="00223C8C"/>
    <w:rsid w:val="00223D7A"/>
    <w:rsid w:val="002240E9"/>
    <w:rsid w:val="00224E60"/>
    <w:rsid w:val="002251BB"/>
    <w:rsid w:val="002251E7"/>
    <w:rsid w:val="00225DFC"/>
    <w:rsid w:val="0022621C"/>
    <w:rsid w:val="00226536"/>
    <w:rsid w:val="00226900"/>
    <w:rsid w:val="00226F4F"/>
    <w:rsid w:val="0022701E"/>
    <w:rsid w:val="00227531"/>
    <w:rsid w:val="002275BB"/>
    <w:rsid w:val="00227FF3"/>
    <w:rsid w:val="00230126"/>
    <w:rsid w:val="00230BD1"/>
    <w:rsid w:val="00230C30"/>
    <w:rsid w:val="00230F6A"/>
    <w:rsid w:val="00231519"/>
    <w:rsid w:val="002316D0"/>
    <w:rsid w:val="0023195A"/>
    <w:rsid w:val="00231BCD"/>
    <w:rsid w:val="00232205"/>
    <w:rsid w:val="00232D62"/>
    <w:rsid w:val="002343BA"/>
    <w:rsid w:val="0023497D"/>
    <w:rsid w:val="00234F42"/>
    <w:rsid w:val="0023538D"/>
    <w:rsid w:val="00235AA1"/>
    <w:rsid w:val="00236D28"/>
    <w:rsid w:val="0023713B"/>
    <w:rsid w:val="00237246"/>
    <w:rsid w:val="00237365"/>
    <w:rsid w:val="00237FAF"/>
    <w:rsid w:val="0024092D"/>
    <w:rsid w:val="00240B4A"/>
    <w:rsid w:val="00240EC5"/>
    <w:rsid w:val="002410BE"/>
    <w:rsid w:val="002421B4"/>
    <w:rsid w:val="002435E9"/>
    <w:rsid w:val="00243695"/>
    <w:rsid w:val="002438ED"/>
    <w:rsid w:val="00244256"/>
    <w:rsid w:val="0024476E"/>
    <w:rsid w:val="00244A68"/>
    <w:rsid w:val="00244B0B"/>
    <w:rsid w:val="00245230"/>
    <w:rsid w:val="00245561"/>
    <w:rsid w:val="00245F59"/>
    <w:rsid w:val="00246278"/>
    <w:rsid w:val="00247297"/>
    <w:rsid w:val="0024739C"/>
    <w:rsid w:val="00247481"/>
    <w:rsid w:val="002477CE"/>
    <w:rsid w:val="00247828"/>
    <w:rsid w:val="00247CC3"/>
    <w:rsid w:val="0025009B"/>
    <w:rsid w:val="00250136"/>
    <w:rsid w:val="0025071C"/>
    <w:rsid w:val="00250845"/>
    <w:rsid w:val="00250D4E"/>
    <w:rsid w:val="00251BE5"/>
    <w:rsid w:val="00251E5C"/>
    <w:rsid w:val="00252B58"/>
    <w:rsid w:val="00253A32"/>
    <w:rsid w:val="00253A49"/>
    <w:rsid w:val="00253BFB"/>
    <w:rsid w:val="002541E8"/>
    <w:rsid w:val="00254E7E"/>
    <w:rsid w:val="002550F3"/>
    <w:rsid w:val="0025532A"/>
    <w:rsid w:val="00255505"/>
    <w:rsid w:val="00255A24"/>
    <w:rsid w:val="00255DD5"/>
    <w:rsid w:val="002562C5"/>
    <w:rsid w:val="002562F1"/>
    <w:rsid w:val="00256B1C"/>
    <w:rsid w:val="00257139"/>
    <w:rsid w:val="00257163"/>
    <w:rsid w:val="00257466"/>
    <w:rsid w:val="00257D71"/>
    <w:rsid w:val="002603BA"/>
    <w:rsid w:val="00260745"/>
    <w:rsid w:val="00260ADE"/>
    <w:rsid w:val="00260EB9"/>
    <w:rsid w:val="002616CC"/>
    <w:rsid w:val="00261B42"/>
    <w:rsid w:val="00261EDC"/>
    <w:rsid w:val="00261F25"/>
    <w:rsid w:val="002621D9"/>
    <w:rsid w:val="00262207"/>
    <w:rsid w:val="002623E4"/>
    <w:rsid w:val="00262750"/>
    <w:rsid w:val="00262A2E"/>
    <w:rsid w:val="00262D4E"/>
    <w:rsid w:val="00264065"/>
    <w:rsid w:val="00264192"/>
    <w:rsid w:val="0026457D"/>
    <w:rsid w:val="0026471C"/>
    <w:rsid w:val="00265CCE"/>
    <w:rsid w:val="00265D65"/>
    <w:rsid w:val="00265DC4"/>
    <w:rsid w:val="00265E64"/>
    <w:rsid w:val="0026618B"/>
    <w:rsid w:val="00266662"/>
    <w:rsid w:val="002666CA"/>
    <w:rsid w:val="00266E14"/>
    <w:rsid w:val="002671FB"/>
    <w:rsid w:val="0026734F"/>
    <w:rsid w:val="002675AD"/>
    <w:rsid w:val="002678EA"/>
    <w:rsid w:val="00267949"/>
    <w:rsid w:val="00270324"/>
    <w:rsid w:val="00270C5E"/>
    <w:rsid w:val="00271214"/>
    <w:rsid w:val="0027164A"/>
    <w:rsid w:val="00271702"/>
    <w:rsid w:val="0027179F"/>
    <w:rsid w:val="0027183E"/>
    <w:rsid w:val="00272405"/>
    <w:rsid w:val="00272490"/>
    <w:rsid w:val="00272D1F"/>
    <w:rsid w:val="002731E2"/>
    <w:rsid w:val="0027375D"/>
    <w:rsid w:val="00273AC6"/>
    <w:rsid w:val="00273B89"/>
    <w:rsid w:val="00274695"/>
    <w:rsid w:val="002749CE"/>
    <w:rsid w:val="00274BFA"/>
    <w:rsid w:val="00274FA0"/>
    <w:rsid w:val="00275FD9"/>
    <w:rsid w:val="002767CA"/>
    <w:rsid w:val="00276AB9"/>
    <w:rsid w:val="002774D6"/>
    <w:rsid w:val="00277711"/>
    <w:rsid w:val="00280448"/>
    <w:rsid w:val="002809A6"/>
    <w:rsid w:val="00280C68"/>
    <w:rsid w:val="00281443"/>
    <w:rsid w:val="00281F08"/>
    <w:rsid w:val="00282160"/>
    <w:rsid w:val="002824A9"/>
    <w:rsid w:val="002829A2"/>
    <w:rsid w:val="00282B68"/>
    <w:rsid w:val="00282F5D"/>
    <w:rsid w:val="00283261"/>
    <w:rsid w:val="00283530"/>
    <w:rsid w:val="0028371C"/>
    <w:rsid w:val="00283CD6"/>
    <w:rsid w:val="00283F20"/>
    <w:rsid w:val="00284126"/>
    <w:rsid w:val="00284192"/>
    <w:rsid w:val="00284ADC"/>
    <w:rsid w:val="00284AE4"/>
    <w:rsid w:val="00284BD9"/>
    <w:rsid w:val="00284D0E"/>
    <w:rsid w:val="00285CA0"/>
    <w:rsid w:val="00285D20"/>
    <w:rsid w:val="002864C4"/>
    <w:rsid w:val="00286A98"/>
    <w:rsid w:val="00286C87"/>
    <w:rsid w:val="00287665"/>
    <w:rsid w:val="002876C1"/>
    <w:rsid w:val="002901C4"/>
    <w:rsid w:val="0029071A"/>
    <w:rsid w:val="00291AB4"/>
    <w:rsid w:val="00291B4B"/>
    <w:rsid w:val="002924F4"/>
    <w:rsid w:val="00292E30"/>
    <w:rsid w:val="00293326"/>
    <w:rsid w:val="0029391D"/>
    <w:rsid w:val="0029423E"/>
    <w:rsid w:val="00294C67"/>
    <w:rsid w:val="00294C6E"/>
    <w:rsid w:val="00294FDD"/>
    <w:rsid w:val="002954AA"/>
    <w:rsid w:val="00295959"/>
    <w:rsid w:val="0029600B"/>
    <w:rsid w:val="00296472"/>
    <w:rsid w:val="002968C3"/>
    <w:rsid w:val="00296CC6"/>
    <w:rsid w:val="00297A22"/>
    <w:rsid w:val="00297DB2"/>
    <w:rsid w:val="002A02D0"/>
    <w:rsid w:val="002A09C1"/>
    <w:rsid w:val="002A10B4"/>
    <w:rsid w:val="002A11BA"/>
    <w:rsid w:val="002A122B"/>
    <w:rsid w:val="002A155C"/>
    <w:rsid w:val="002A184B"/>
    <w:rsid w:val="002A1CE6"/>
    <w:rsid w:val="002A30DD"/>
    <w:rsid w:val="002A426A"/>
    <w:rsid w:val="002A4A9A"/>
    <w:rsid w:val="002A53FA"/>
    <w:rsid w:val="002A57DB"/>
    <w:rsid w:val="002A61E6"/>
    <w:rsid w:val="002A6764"/>
    <w:rsid w:val="002A6ADC"/>
    <w:rsid w:val="002A6C6C"/>
    <w:rsid w:val="002A6C84"/>
    <w:rsid w:val="002A6EB0"/>
    <w:rsid w:val="002A7A2C"/>
    <w:rsid w:val="002A7DB2"/>
    <w:rsid w:val="002A7E0F"/>
    <w:rsid w:val="002B01D1"/>
    <w:rsid w:val="002B02D2"/>
    <w:rsid w:val="002B069E"/>
    <w:rsid w:val="002B0861"/>
    <w:rsid w:val="002B0B15"/>
    <w:rsid w:val="002B149A"/>
    <w:rsid w:val="002B165E"/>
    <w:rsid w:val="002B2413"/>
    <w:rsid w:val="002B2EC3"/>
    <w:rsid w:val="002B3253"/>
    <w:rsid w:val="002B3321"/>
    <w:rsid w:val="002B34B5"/>
    <w:rsid w:val="002B385B"/>
    <w:rsid w:val="002B4217"/>
    <w:rsid w:val="002B42A4"/>
    <w:rsid w:val="002B42ED"/>
    <w:rsid w:val="002B437A"/>
    <w:rsid w:val="002B4C15"/>
    <w:rsid w:val="002B5242"/>
    <w:rsid w:val="002B52AA"/>
    <w:rsid w:val="002B58C5"/>
    <w:rsid w:val="002B5D04"/>
    <w:rsid w:val="002B62BE"/>
    <w:rsid w:val="002B62DA"/>
    <w:rsid w:val="002B666D"/>
    <w:rsid w:val="002B6FDA"/>
    <w:rsid w:val="002B719F"/>
    <w:rsid w:val="002B71FE"/>
    <w:rsid w:val="002C0868"/>
    <w:rsid w:val="002C0AF3"/>
    <w:rsid w:val="002C1085"/>
    <w:rsid w:val="002C135F"/>
    <w:rsid w:val="002C180E"/>
    <w:rsid w:val="002C19EB"/>
    <w:rsid w:val="002C1A5C"/>
    <w:rsid w:val="002C2048"/>
    <w:rsid w:val="002C22BC"/>
    <w:rsid w:val="002C23A2"/>
    <w:rsid w:val="002C2F09"/>
    <w:rsid w:val="002C3044"/>
    <w:rsid w:val="002C3755"/>
    <w:rsid w:val="002C383A"/>
    <w:rsid w:val="002C3EA5"/>
    <w:rsid w:val="002C4190"/>
    <w:rsid w:val="002C41CB"/>
    <w:rsid w:val="002C425B"/>
    <w:rsid w:val="002C536E"/>
    <w:rsid w:val="002C5457"/>
    <w:rsid w:val="002C5B36"/>
    <w:rsid w:val="002C5B96"/>
    <w:rsid w:val="002C5C97"/>
    <w:rsid w:val="002C600F"/>
    <w:rsid w:val="002C63DC"/>
    <w:rsid w:val="002C64BA"/>
    <w:rsid w:val="002C66A6"/>
    <w:rsid w:val="002C6C1D"/>
    <w:rsid w:val="002C6CFD"/>
    <w:rsid w:val="002C762C"/>
    <w:rsid w:val="002C7858"/>
    <w:rsid w:val="002D073B"/>
    <w:rsid w:val="002D10F9"/>
    <w:rsid w:val="002D11D3"/>
    <w:rsid w:val="002D11D4"/>
    <w:rsid w:val="002D18A3"/>
    <w:rsid w:val="002D1A48"/>
    <w:rsid w:val="002D1B85"/>
    <w:rsid w:val="002D1D0E"/>
    <w:rsid w:val="002D293B"/>
    <w:rsid w:val="002D2C83"/>
    <w:rsid w:val="002D2F24"/>
    <w:rsid w:val="002D41F0"/>
    <w:rsid w:val="002D4507"/>
    <w:rsid w:val="002D525F"/>
    <w:rsid w:val="002D526A"/>
    <w:rsid w:val="002D5647"/>
    <w:rsid w:val="002D572F"/>
    <w:rsid w:val="002D5C62"/>
    <w:rsid w:val="002D6805"/>
    <w:rsid w:val="002D6EE2"/>
    <w:rsid w:val="002D7277"/>
    <w:rsid w:val="002D75B5"/>
    <w:rsid w:val="002D7ADE"/>
    <w:rsid w:val="002D7C8E"/>
    <w:rsid w:val="002D7F0B"/>
    <w:rsid w:val="002D7F33"/>
    <w:rsid w:val="002E01E0"/>
    <w:rsid w:val="002E036A"/>
    <w:rsid w:val="002E05B0"/>
    <w:rsid w:val="002E0EEF"/>
    <w:rsid w:val="002E2198"/>
    <w:rsid w:val="002E25AC"/>
    <w:rsid w:val="002E2673"/>
    <w:rsid w:val="002E267C"/>
    <w:rsid w:val="002E26CD"/>
    <w:rsid w:val="002E2C7F"/>
    <w:rsid w:val="002E32F1"/>
    <w:rsid w:val="002E3914"/>
    <w:rsid w:val="002E39E1"/>
    <w:rsid w:val="002E3D25"/>
    <w:rsid w:val="002E4311"/>
    <w:rsid w:val="002E43A3"/>
    <w:rsid w:val="002E452D"/>
    <w:rsid w:val="002E490F"/>
    <w:rsid w:val="002E52BE"/>
    <w:rsid w:val="002E56FB"/>
    <w:rsid w:val="002E5B87"/>
    <w:rsid w:val="002E6028"/>
    <w:rsid w:val="002E614E"/>
    <w:rsid w:val="002E6383"/>
    <w:rsid w:val="002E65D1"/>
    <w:rsid w:val="002E6A03"/>
    <w:rsid w:val="002E6F1D"/>
    <w:rsid w:val="002E7B0D"/>
    <w:rsid w:val="002F017B"/>
    <w:rsid w:val="002F0537"/>
    <w:rsid w:val="002F0846"/>
    <w:rsid w:val="002F0913"/>
    <w:rsid w:val="002F0AA0"/>
    <w:rsid w:val="002F0AD9"/>
    <w:rsid w:val="002F196B"/>
    <w:rsid w:val="002F1A8B"/>
    <w:rsid w:val="002F2594"/>
    <w:rsid w:val="002F2A14"/>
    <w:rsid w:val="002F303D"/>
    <w:rsid w:val="002F3387"/>
    <w:rsid w:val="002F3482"/>
    <w:rsid w:val="002F3E17"/>
    <w:rsid w:val="002F3EC9"/>
    <w:rsid w:val="002F4057"/>
    <w:rsid w:val="002F425F"/>
    <w:rsid w:val="002F43D2"/>
    <w:rsid w:val="002F4786"/>
    <w:rsid w:val="002F4F31"/>
    <w:rsid w:val="002F51E6"/>
    <w:rsid w:val="002F529B"/>
    <w:rsid w:val="002F5642"/>
    <w:rsid w:val="002F5B12"/>
    <w:rsid w:val="002F615C"/>
    <w:rsid w:val="002F71ED"/>
    <w:rsid w:val="002F73F7"/>
    <w:rsid w:val="002F77CB"/>
    <w:rsid w:val="002F7D15"/>
    <w:rsid w:val="00301102"/>
    <w:rsid w:val="003012CB"/>
    <w:rsid w:val="003014F0"/>
    <w:rsid w:val="00301A8C"/>
    <w:rsid w:val="00301DDF"/>
    <w:rsid w:val="003022D4"/>
    <w:rsid w:val="00302564"/>
    <w:rsid w:val="00302696"/>
    <w:rsid w:val="00302830"/>
    <w:rsid w:val="003028A2"/>
    <w:rsid w:val="00303788"/>
    <w:rsid w:val="003037ED"/>
    <w:rsid w:val="00303B60"/>
    <w:rsid w:val="00303B94"/>
    <w:rsid w:val="00303BEA"/>
    <w:rsid w:val="00303C2E"/>
    <w:rsid w:val="00304064"/>
    <w:rsid w:val="0030437D"/>
    <w:rsid w:val="003043AC"/>
    <w:rsid w:val="003045B6"/>
    <w:rsid w:val="003049CC"/>
    <w:rsid w:val="00305F89"/>
    <w:rsid w:val="00306C0A"/>
    <w:rsid w:val="00307D32"/>
    <w:rsid w:val="00310408"/>
    <w:rsid w:val="00310538"/>
    <w:rsid w:val="003105F3"/>
    <w:rsid w:val="003107CF"/>
    <w:rsid w:val="003110F9"/>
    <w:rsid w:val="00311E3B"/>
    <w:rsid w:val="0031212C"/>
    <w:rsid w:val="003121DC"/>
    <w:rsid w:val="0031281F"/>
    <w:rsid w:val="00312A80"/>
    <w:rsid w:val="00312B54"/>
    <w:rsid w:val="00312D6A"/>
    <w:rsid w:val="00312EC9"/>
    <w:rsid w:val="00313010"/>
    <w:rsid w:val="003134AE"/>
    <w:rsid w:val="003140FF"/>
    <w:rsid w:val="00314349"/>
    <w:rsid w:val="00314997"/>
    <w:rsid w:val="003149F5"/>
    <w:rsid w:val="0031505A"/>
    <w:rsid w:val="00315194"/>
    <w:rsid w:val="00315357"/>
    <w:rsid w:val="00315EA9"/>
    <w:rsid w:val="00316633"/>
    <w:rsid w:val="00316A2D"/>
    <w:rsid w:val="00316B11"/>
    <w:rsid w:val="00316BC8"/>
    <w:rsid w:val="00317877"/>
    <w:rsid w:val="003205D0"/>
    <w:rsid w:val="0032130C"/>
    <w:rsid w:val="0032152D"/>
    <w:rsid w:val="0032179A"/>
    <w:rsid w:val="003218F1"/>
    <w:rsid w:val="00321BE1"/>
    <w:rsid w:val="00322862"/>
    <w:rsid w:val="003228EA"/>
    <w:rsid w:val="00322BF6"/>
    <w:rsid w:val="00322C1E"/>
    <w:rsid w:val="00322CFA"/>
    <w:rsid w:val="00323367"/>
    <w:rsid w:val="0032377F"/>
    <w:rsid w:val="00323D0A"/>
    <w:rsid w:val="00323DA8"/>
    <w:rsid w:val="00324E97"/>
    <w:rsid w:val="003251DC"/>
    <w:rsid w:val="003255C6"/>
    <w:rsid w:val="003266FF"/>
    <w:rsid w:val="003267D4"/>
    <w:rsid w:val="00326C85"/>
    <w:rsid w:val="00326DF2"/>
    <w:rsid w:val="003278A3"/>
    <w:rsid w:val="00327A7B"/>
    <w:rsid w:val="00327AF8"/>
    <w:rsid w:val="003303E6"/>
    <w:rsid w:val="003306CD"/>
    <w:rsid w:val="003308B3"/>
    <w:rsid w:val="003308CC"/>
    <w:rsid w:val="00331C57"/>
    <w:rsid w:val="00332CF5"/>
    <w:rsid w:val="00332E9E"/>
    <w:rsid w:val="00333572"/>
    <w:rsid w:val="003339F3"/>
    <w:rsid w:val="00333B78"/>
    <w:rsid w:val="003340B3"/>
    <w:rsid w:val="00334331"/>
    <w:rsid w:val="00334653"/>
    <w:rsid w:val="003347F0"/>
    <w:rsid w:val="00334CB2"/>
    <w:rsid w:val="00334E78"/>
    <w:rsid w:val="00334EC2"/>
    <w:rsid w:val="00334F28"/>
    <w:rsid w:val="0033538B"/>
    <w:rsid w:val="003354E3"/>
    <w:rsid w:val="00335640"/>
    <w:rsid w:val="00335946"/>
    <w:rsid w:val="00335AA7"/>
    <w:rsid w:val="00335F75"/>
    <w:rsid w:val="00336556"/>
    <w:rsid w:val="003368AD"/>
    <w:rsid w:val="00336B50"/>
    <w:rsid w:val="00336FF3"/>
    <w:rsid w:val="0033749B"/>
    <w:rsid w:val="00337B29"/>
    <w:rsid w:val="00337BF4"/>
    <w:rsid w:val="00337FB7"/>
    <w:rsid w:val="00340ED6"/>
    <w:rsid w:val="00341234"/>
    <w:rsid w:val="00341B3B"/>
    <w:rsid w:val="00342332"/>
    <w:rsid w:val="003429F3"/>
    <w:rsid w:val="00342B7D"/>
    <w:rsid w:val="00342D8A"/>
    <w:rsid w:val="00343227"/>
    <w:rsid w:val="00343299"/>
    <w:rsid w:val="0034381F"/>
    <w:rsid w:val="00343A88"/>
    <w:rsid w:val="00344098"/>
    <w:rsid w:val="00344761"/>
    <w:rsid w:val="00344806"/>
    <w:rsid w:val="00344B85"/>
    <w:rsid w:val="00344E9E"/>
    <w:rsid w:val="00345554"/>
    <w:rsid w:val="003458F0"/>
    <w:rsid w:val="003468BA"/>
    <w:rsid w:val="00346AF7"/>
    <w:rsid w:val="00347B15"/>
    <w:rsid w:val="0035038B"/>
    <w:rsid w:val="0035057F"/>
    <w:rsid w:val="0035068F"/>
    <w:rsid w:val="003506C6"/>
    <w:rsid w:val="0035089A"/>
    <w:rsid w:val="003509A4"/>
    <w:rsid w:val="003513A1"/>
    <w:rsid w:val="0035150A"/>
    <w:rsid w:val="00352313"/>
    <w:rsid w:val="003526E7"/>
    <w:rsid w:val="0035274F"/>
    <w:rsid w:val="00352DDB"/>
    <w:rsid w:val="003533FC"/>
    <w:rsid w:val="00353A36"/>
    <w:rsid w:val="00354625"/>
    <w:rsid w:val="00354B28"/>
    <w:rsid w:val="00354C49"/>
    <w:rsid w:val="003558F2"/>
    <w:rsid w:val="00355A69"/>
    <w:rsid w:val="00355B3D"/>
    <w:rsid w:val="00355CD9"/>
    <w:rsid w:val="0035622C"/>
    <w:rsid w:val="00356BB9"/>
    <w:rsid w:val="0035725B"/>
    <w:rsid w:val="003600C9"/>
    <w:rsid w:val="00360666"/>
    <w:rsid w:val="003608F4"/>
    <w:rsid w:val="00360ADC"/>
    <w:rsid w:val="00360D87"/>
    <w:rsid w:val="0036140A"/>
    <w:rsid w:val="0036172D"/>
    <w:rsid w:val="00361BC1"/>
    <w:rsid w:val="00361C82"/>
    <w:rsid w:val="00362212"/>
    <w:rsid w:val="00362E3A"/>
    <w:rsid w:val="00362FF8"/>
    <w:rsid w:val="00363081"/>
    <w:rsid w:val="00363108"/>
    <w:rsid w:val="00363147"/>
    <w:rsid w:val="00363A3A"/>
    <w:rsid w:val="00363A78"/>
    <w:rsid w:val="0036505A"/>
    <w:rsid w:val="0036569B"/>
    <w:rsid w:val="003658DD"/>
    <w:rsid w:val="00365D9A"/>
    <w:rsid w:val="00367431"/>
    <w:rsid w:val="00367807"/>
    <w:rsid w:val="00367A18"/>
    <w:rsid w:val="00367A55"/>
    <w:rsid w:val="00367C83"/>
    <w:rsid w:val="00367F46"/>
    <w:rsid w:val="00370940"/>
    <w:rsid w:val="00370A21"/>
    <w:rsid w:val="00370D29"/>
    <w:rsid w:val="00370EFB"/>
    <w:rsid w:val="00371693"/>
    <w:rsid w:val="00371B78"/>
    <w:rsid w:val="0037226D"/>
    <w:rsid w:val="00373ABB"/>
    <w:rsid w:val="0037411E"/>
    <w:rsid w:val="00374665"/>
    <w:rsid w:val="00374726"/>
    <w:rsid w:val="00374B15"/>
    <w:rsid w:val="003753D9"/>
    <w:rsid w:val="00375FB6"/>
    <w:rsid w:val="00376507"/>
    <w:rsid w:val="00376B26"/>
    <w:rsid w:val="00376BCF"/>
    <w:rsid w:val="003770FA"/>
    <w:rsid w:val="003771BD"/>
    <w:rsid w:val="00377499"/>
    <w:rsid w:val="00377A13"/>
    <w:rsid w:val="00377F0F"/>
    <w:rsid w:val="003801B2"/>
    <w:rsid w:val="0038029C"/>
    <w:rsid w:val="00380379"/>
    <w:rsid w:val="00380455"/>
    <w:rsid w:val="00380DAE"/>
    <w:rsid w:val="00381A36"/>
    <w:rsid w:val="00381C45"/>
    <w:rsid w:val="00381CCE"/>
    <w:rsid w:val="00382340"/>
    <w:rsid w:val="0038260E"/>
    <w:rsid w:val="0038283B"/>
    <w:rsid w:val="00382B65"/>
    <w:rsid w:val="00382FDA"/>
    <w:rsid w:val="0038325B"/>
    <w:rsid w:val="003835EA"/>
    <w:rsid w:val="00383714"/>
    <w:rsid w:val="00383D4B"/>
    <w:rsid w:val="00384A06"/>
    <w:rsid w:val="00384C60"/>
    <w:rsid w:val="00384DD0"/>
    <w:rsid w:val="00384E60"/>
    <w:rsid w:val="003850A6"/>
    <w:rsid w:val="0038519A"/>
    <w:rsid w:val="00385407"/>
    <w:rsid w:val="003855E9"/>
    <w:rsid w:val="00385BFF"/>
    <w:rsid w:val="003866CC"/>
    <w:rsid w:val="003868F8"/>
    <w:rsid w:val="00387691"/>
    <w:rsid w:val="00387A62"/>
    <w:rsid w:val="00390217"/>
    <w:rsid w:val="003911FA"/>
    <w:rsid w:val="0039141D"/>
    <w:rsid w:val="0039158C"/>
    <w:rsid w:val="00391AA9"/>
    <w:rsid w:val="00391AFE"/>
    <w:rsid w:val="00392268"/>
    <w:rsid w:val="0039300F"/>
    <w:rsid w:val="003935B8"/>
    <w:rsid w:val="00393E6E"/>
    <w:rsid w:val="00394E15"/>
    <w:rsid w:val="003952C9"/>
    <w:rsid w:val="00395426"/>
    <w:rsid w:val="0039575B"/>
    <w:rsid w:val="00395A49"/>
    <w:rsid w:val="00395BF0"/>
    <w:rsid w:val="00395C68"/>
    <w:rsid w:val="00395E1E"/>
    <w:rsid w:val="0039605F"/>
    <w:rsid w:val="003960B7"/>
    <w:rsid w:val="0039630F"/>
    <w:rsid w:val="003964F2"/>
    <w:rsid w:val="00396AD1"/>
    <w:rsid w:val="00396B9F"/>
    <w:rsid w:val="00396BFE"/>
    <w:rsid w:val="00396DBF"/>
    <w:rsid w:val="003970C6"/>
    <w:rsid w:val="0039746E"/>
    <w:rsid w:val="003A0E38"/>
    <w:rsid w:val="003A1579"/>
    <w:rsid w:val="003A17D5"/>
    <w:rsid w:val="003A23A8"/>
    <w:rsid w:val="003A2567"/>
    <w:rsid w:val="003A2AD1"/>
    <w:rsid w:val="003A2CFD"/>
    <w:rsid w:val="003A2DAE"/>
    <w:rsid w:val="003A2FDD"/>
    <w:rsid w:val="003A3EB1"/>
    <w:rsid w:val="003A4117"/>
    <w:rsid w:val="003A413A"/>
    <w:rsid w:val="003A419D"/>
    <w:rsid w:val="003A44B8"/>
    <w:rsid w:val="003A4DE7"/>
    <w:rsid w:val="003A5190"/>
    <w:rsid w:val="003A57E5"/>
    <w:rsid w:val="003A7785"/>
    <w:rsid w:val="003A78B5"/>
    <w:rsid w:val="003B0F9B"/>
    <w:rsid w:val="003B10DE"/>
    <w:rsid w:val="003B12AE"/>
    <w:rsid w:val="003B1881"/>
    <w:rsid w:val="003B2220"/>
    <w:rsid w:val="003B2269"/>
    <w:rsid w:val="003B2945"/>
    <w:rsid w:val="003B2D8D"/>
    <w:rsid w:val="003B2F9D"/>
    <w:rsid w:val="003B33FE"/>
    <w:rsid w:val="003B353F"/>
    <w:rsid w:val="003B3D4C"/>
    <w:rsid w:val="003B4995"/>
    <w:rsid w:val="003B49B4"/>
    <w:rsid w:val="003B4FE4"/>
    <w:rsid w:val="003B535B"/>
    <w:rsid w:val="003B5439"/>
    <w:rsid w:val="003B56A9"/>
    <w:rsid w:val="003B59F4"/>
    <w:rsid w:val="003B6164"/>
    <w:rsid w:val="003B6372"/>
    <w:rsid w:val="003B6A2B"/>
    <w:rsid w:val="003B6E0C"/>
    <w:rsid w:val="003B7C15"/>
    <w:rsid w:val="003B7C23"/>
    <w:rsid w:val="003C06DB"/>
    <w:rsid w:val="003C09A8"/>
    <w:rsid w:val="003C0BE7"/>
    <w:rsid w:val="003C1136"/>
    <w:rsid w:val="003C113C"/>
    <w:rsid w:val="003C164D"/>
    <w:rsid w:val="003C16A2"/>
    <w:rsid w:val="003C16CC"/>
    <w:rsid w:val="003C1E49"/>
    <w:rsid w:val="003C1EC9"/>
    <w:rsid w:val="003C1FC7"/>
    <w:rsid w:val="003C227C"/>
    <w:rsid w:val="003C22EB"/>
    <w:rsid w:val="003C242B"/>
    <w:rsid w:val="003C2559"/>
    <w:rsid w:val="003C3651"/>
    <w:rsid w:val="003C51AE"/>
    <w:rsid w:val="003C5294"/>
    <w:rsid w:val="003C602F"/>
    <w:rsid w:val="003C6044"/>
    <w:rsid w:val="003C6F2A"/>
    <w:rsid w:val="003C71A9"/>
    <w:rsid w:val="003C725C"/>
    <w:rsid w:val="003C7561"/>
    <w:rsid w:val="003C7760"/>
    <w:rsid w:val="003C7DBB"/>
    <w:rsid w:val="003C7E24"/>
    <w:rsid w:val="003D02A8"/>
    <w:rsid w:val="003D09E3"/>
    <w:rsid w:val="003D0D88"/>
    <w:rsid w:val="003D0E71"/>
    <w:rsid w:val="003D180B"/>
    <w:rsid w:val="003D1FA4"/>
    <w:rsid w:val="003D27FD"/>
    <w:rsid w:val="003D29FC"/>
    <w:rsid w:val="003D34F0"/>
    <w:rsid w:val="003D383D"/>
    <w:rsid w:val="003D3AA8"/>
    <w:rsid w:val="003D3BC0"/>
    <w:rsid w:val="003D3F41"/>
    <w:rsid w:val="003D46DF"/>
    <w:rsid w:val="003D4C6E"/>
    <w:rsid w:val="003D4C9E"/>
    <w:rsid w:val="003D4DD7"/>
    <w:rsid w:val="003D5539"/>
    <w:rsid w:val="003D5718"/>
    <w:rsid w:val="003D5C8C"/>
    <w:rsid w:val="003D627E"/>
    <w:rsid w:val="003D65A4"/>
    <w:rsid w:val="003D6664"/>
    <w:rsid w:val="003D6F22"/>
    <w:rsid w:val="003D7DA8"/>
    <w:rsid w:val="003D7FEC"/>
    <w:rsid w:val="003E0367"/>
    <w:rsid w:val="003E03EA"/>
    <w:rsid w:val="003E08C1"/>
    <w:rsid w:val="003E0904"/>
    <w:rsid w:val="003E0BF2"/>
    <w:rsid w:val="003E0E8B"/>
    <w:rsid w:val="003E12B2"/>
    <w:rsid w:val="003E17F5"/>
    <w:rsid w:val="003E17F9"/>
    <w:rsid w:val="003E1862"/>
    <w:rsid w:val="003E18D6"/>
    <w:rsid w:val="003E1EEE"/>
    <w:rsid w:val="003E206C"/>
    <w:rsid w:val="003E2259"/>
    <w:rsid w:val="003E277A"/>
    <w:rsid w:val="003E284E"/>
    <w:rsid w:val="003E2BAA"/>
    <w:rsid w:val="003E2C61"/>
    <w:rsid w:val="003E31F0"/>
    <w:rsid w:val="003E38C0"/>
    <w:rsid w:val="003E3BBB"/>
    <w:rsid w:val="003E4117"/>
    <w:rsid w:val="003E460B"/>
    <w:rsid w:val="003E4EF1"/>
    <w:rsid w:val="003E507C"/>
    <w:rsid w:val="003E5528"/>
    <w:rsid w:val="003E59B3"/>
    <w:rsid w:val="003E5A84"/>
    <w:rsid w:val="003E5E5E"/>
    <w:rsid w:val="003E5E6F"/>
    <w:rsid w:val="003E5F31"/>
    <w:rsid w:val="003E6937"/>
    <w:rsid w:val="003E69A6"/>
    <w:rsid w:val="003E6B2F"/>
    <w:rsid w:val="003E76C4"/>
    <w:rsid w:val="003E78B5"/>
    <w:rsid w:val="003E7A3E"/>
    <w:rsid w:val="003E7AE6"/>
    <w:rsid w:val="003E7CF8"/>
    <w:rsid w:val="003E7D8F"/>
    <w:rsid w:val="003F02B0"/>
    <w:rsid w:val="003F03A3"/>
    <w:rsid w:val="003F0BF5"/>
    <w:rsid w:val="003F0D91"/>
    <w:rsid w:val="003F0EB5"/>
    <w:rsid w:val="003F110B"/>
    <w:rsid w:val="003F14E2"/>
    <w:rsid w:val="003F19BA"/>
    <w:rsid w:val="003F2439"/>
    <w:rsid w:val="003F24DC"/>
    <w:rsid w:val="003F2549"/>
    <w:rsid w:val="003F2C54"/>
    <w:rsid w:val="003F2DBA"/>
    <w:rsid w:val="003F2F11"/>
    <w:rsid w:val="003F30B9"/>
    <w:rsid w:val="003F3373"/>
    <w:rsid w:val="003F3B68"/>
    <w:rsid w:val="003F4340"/>
    <w:rsid w:val="003F4346"/>
    <w:rsid w:val="003F4BAC"/>
    <w:rsid w:val="003F4C2B"/>
    <w:rsid w:val="003F5934"/>
    <w:rsid w:val="003F5A80"/>
    <w:rsid w:val="003F5AAA"/>
    <w:rsid w:val="003F5BA5"/>
    <w:rsid w:val="003F671D"/>
    <w:rsid w:val="003F6B3B"/>
    <w:rsid w:val="003F730B"/>
    <w:rsid w:val="003F7B67"/>
    <w:rsid w:val="003F7D36"/>
    <w:rsid w:val="003F7D7E"/>
    <w:rsid w:val="003F7E81"/>
    <w:rsid w:val="0040008E"/>
    <w:rsid w:val="00400596"/>
    <w:rsid w:val="00400904"/>
    <w:rsid w:val="00400A6C"/>
    <w:rsid w:val="00401395"/>
    <w:rsid w:val="004013C5"/>
    <w:rsid w:val="0040150E"/>
    <w:rsid w:val="00401716"/>
    <w:rsid w:val="0040188B"/>
    <w:rsid w:val="00401A01"/>
    <w:rsid w:val="00401DBB"/>
    <w:rsid w:val="004022E6"/>
    <w:rsid w:val="00402C54"/>
    <w:rsid w:val="00403567"/>
    <w:rsid w:val="00403C70"/>
    <w:rsid w:val="0040543D"/>
    <w:rsid w:val="00405A90"/>
    <w:rsid w:val="0040606C"/>
    <w:rsid w:val="004067EB"/>
    <w:rsid w:val="00406A15"/>
    <w:rsid w:val="00407061"/>
    <w:rsid w:val="004071C1"/>
    <w:rsid w:val="00407A45"/>
    <w:rsid w:val="00410AC4"/>
    <w:rsid w:val="00410B69"/>
    <w:rsid w:val="00410BEF"/>
    <w:rsid w:val="00410E24"/>
    <w:rsid w:val="00411912"/>
    <w:rsid w:val="00411AC9"/>
    <w:rsid w:val="00411EFA"/>
    <w:rsid w:val="00412046"/>
    <w:rsid w:val="004130FD"/>
    <w:rsid w:val="00413640"/>
    <w:rsid w:val="0041373D"/>
    <w:rsid w:val="00413803"/>
    <w:rsid w:val="00413CF2"/>
    <w:rsid w:val="004149E8"/>
    <w:rsid w:val="00414A81"/>
    <w:rsid w:val="00414EA1"/>
    <w:rsid w:val="00415840"/>
    <w:rsid w:val="00415D2C"/>
    <w:rsid w:val="00416061"/>
    <w:rsid w:val="00416DEC"/>
    <w:rsid w:val="00416EE5"/>
    <w:rsid w:val="00416F8C"/>
    <w:rsid w:val="00417F53"/>
    <w:rsid w:val="0042045E"/>
    <w:rsid w:val="00420838"/>
    <w:rsid w:val="00420C3C"/>
    <w:rsid w:val="00420CFA"/>
    <w:rsid w:val="0042112C"/>
    <w:rsid w:val="004217FE"/>
    <w:rsid w:val="00421DE6"/>
    <w:rsid w:val="00422125"/>
    <w:rsid w:val="00422635"/>
    <w:rsid w:val="00422957"/>
    <w:rsid w:val="00422EA4"/>
    <w:rsid w:val="00423306"/>
    <w:rsid w:val="0042340B"/>
    <w:rsid w:val="00423A61"/>
    <w:rsid w:val="00423EA5"/>
    <w:rsid w:val="00424164"/>
    <w:rsid w:val="00424195"/>
    <w:rsid w:val="00425395"/>
    <w:rsid w:val="0042550F"/>
    <w:rsid w:val="00425641"/>
    <w:rsid w:val="00425A2A"/>
    <w:rsid w:val="00425D1B"/>
    <w:rsid w:val="00425DFB"/>
    <w:rsid w:val="00425F27"/>
    <w:rsid w:val="00425FE7"/>
    <w:rsid w:val="00425FEF"/>
    <w:rsid w:val="00426F0C"/>
    <w:rsid w:val="00427443"/>
    <w:rsid w:val="00427E4F"/>
    <w:rsid w:val="00427E95"/>
    <w:rsid w:val="00427FD3"/>
    <w:rsid w:val="004300C1"/>
    <w:rsid w:val="00430454"/>
    <w:rsid w:val="00430D94"/>
    <w:rsid w:val="00430F41"/>
    <w:rsid w:val="004321ED"/>
    <w:rsid w:val="0043237B"/>
    <w:rsid w:val="00433F95"/>
    <w:rsid w:val="00433FA9"/>
    <w:rsid w:val="004342BC"/>
    <w:rsid w:val="0043452D"/>
    <w:rsid w:val="00434D03"/>
    <w:rsid w:val="00435B66"/>
    <w:rsid w:val="00435F88"/>
    <w:rsid w:val="00436018"/>
    <w:rsid w:val="0043613E"/>
    <w:rsid w:val="0043642F"/>
    <w:rsid w:val="00436D08"/>
    <w:rsid w:val="00437280"/>
    <w:rsid w:val="004372F9"/>
    <w:rsid w:val="004375DF"/>
    <w:rsid w:val="004378E6"/>
    <w:rsid w:val="00437A1D"/>
    <w:rsid w:val="0044087E"/>
    <w:rsid w:val="00440A2D"/>
    <w:rsid w:val="00440B7D"/>
    <w:rsid w:val="004410EC"/>
    <w:rsid w:val="00441B6F"/>
    <w:rsid w:val="00442484"/>
    <w:rsid w:val="004425E5"/>
    <w:rsid w:val="00442837"/>
    <w:rsid w:val="00442995"/>
    <w:rsid w:val="00442EAB"/>
    <w:rsid w:val="004430AA"/>
    <w:rsid w:val="004433D5"/>
    <w:rsid w:val="004435CB"/>
    <w:rsid w:val="00443647"/>
    <w:rsid w:val="0044369F"/>
    <w:rsid w:val="00443A61"/>
    <w:rsid w:val="00444707"/>
    <w:rsid w:val="0044472F"/>
    <w:rsid w:val="0044500B"/>
    <w:rsid w:val="00445052"/>
    <w:rsid w:val="00445A51"/>
    <w:rsid w:val="00445C4B"/>
    <w:rsid w:val="0044687E"/>
    <w:rsid w:val="00446E2E"/>
    <w:rsid w:val="004470C5"/>
    <w:rsid w:val="00447129"/>
    <w:rsid w:val="0044756A"/>
    <w:rsid w:val="00447EEE"/>
    <w:rsid w:val="004506D7"/>
    <w:rsid w:val="004508BD"/>
    <w:rsid w:val="00450969"/>
    <w:rsid w:val="00450BC7"/>
    <w:rsid w:val="00450FF8"/>
    <w:rsid w:val="004519B9"/>
    <w:rsid w:val="00451D67"/>
    <w:rsid w:val="00451E17"/>
    <w:rsid w:val="00451EF3"/>
    <w:rsid w:val="0045240E"/>
    <w:rsid w:val="00452B97"/>
    <w:rsid w:val="004532CD"/>
    <w:rsid w:val="0045396E"/>
    <w:rsid w:val="004539F4"/>
    <w:rsid w:val="00454373"/>
    <w:rsid w:val="0045480B"/>
    <w:rsid w:val="00454B99"/>
    <w:rsid w:val="00454D1F"/>
    <w:rsid w:val="0045533B"/>
    <w:rsid w:val="0045539A"/>
    <w:rsid w:val="00455E57"/>
    <w:rsid w:val="0045632F"/>
    <w:rsid w:val="004565AB"/>
    <w:rsid w:val="0045702D"/>
    <w:rsid w:val="00457D53"/>
    <w:rsid w:val="00457EEE"/>
    <w:rsid w:val="00460080"/>
    <w:rsid w:val="00460480"/>
    <w:rsid w:val="00461170"/>
    <w:rsid w:val="00461677"/>
    <w:rsid w:val="0046169F"/>
    <w:rsid w:val="0046197C"/>
    <w:rsid w:val="0046200F"/>
    <w:rsid w:val="00462F6A"/>
    <w:rsid w:val="00463307"/>
    <w:rsid w:val="004633E2"/>
    <w:rsid w:val="004633FC"/>
    <w:rsid w:val="0046397E"/>
    <w:rsid w:val="00463BE8"/>
    <w:rsid w:val="0046430A"/>
    <w:rsid w:val="004644BA"/>
    <w:rsid w:val="0046468B"/>
    <w:rsid w:val="004646E3"/>
    <w:rsid w:val="00464ACF"/>
    <w:rsid w:val="00464B37"/>
    <w:rsid w:val="00464F9B"/>
    <w:rsid w:val="0046553E"/>
    <w:rsid w:val="00465B1D"/>
    <w:rsid w:val="00465D3C"/>
    <w:rsid w:val="00466020"/>
    <w:rsid w:val="0046609F"/>
    <w:rsid w:val="00466B2E"/>
    <w:rsid w:val="00466DA2"/>
    <w:rsid w:val="004676A8"/>
    <w:rsid w:val="0046792C"/>
    <w:rsid w:val="00467BDB"/>
    <w:rsid w:val="0047155C"/>
    <w:rsid w:val="004716F0"/>
    <w:rsid w:val="00472228"/>
    <w:rsid w:val="00472627"/>
    <w:rsid w:val="004730EE"/>
    <w:rsid w:val="004735BF"/>
    <w:rsid w:val="00473E07"/>
    <w:rsid w:val="00474CAF"/>
    <w:rsid w:val="00475371"/>
    <w:rsid w:val="004753DE"/>
    <w:rsid w:val="00475C5C"/>
    <w:rsid w:val="00475F48"/>
    <w:rsid w:val="0047636F"/>
    <w:rsid w:val="00477C83"/>
    <w:rsid w:val="00480063"/>
    <w:rsid w:val="0048012F"/>
    <w:rsid w:val="00480A64"/>
    <w:rsid w:val="004810C1"/>
    <w:rsid w:val="004817C8"/>
    <w:rsid w:val="004818D8"/>
    <w:rsid w:val="00481940"/>
    <w:rsid w:val="00481AC2"/>
    <w:rsid w:val="00481D01"/>
    <w:rsid w:val="0048241E"/>
    <w:rsid w:val="00482A57"/>
    <w:rsid w:val="00482B65"/>
    <w:rsid w:val="00482CF5"/>
    <w:rsid w:val="00483897"/>
    <w:rsid w:val="004841AA"/>
    <w:rsid w:val="0048532F"/>
    <w:rsid w:val="004855DF"/>
    <w:rsid w:val="0048587F"/>
    <w:rsid w:val="004861D6"/>
    <w:rsid w:val="004865F9"/>
    <w:rsid w:val="00486C3F"/>
    <w:rsid w:val="00487241"/>
    <w:rsid w:val="0048775B"/>
    <w:rsid w:val="00487A77"/>
    <w:rsid w:val="004901B9"/>
    <w:rsid w:val="00490A2E"/>
    <w:rsid w:val="00490AAB"/>
    <w:rsid w:val="00490E89"/>
    <w:rsid w:val="004911D2"/>
    <w:rsid w:val="00492387"/>
    <w:rsid w:val="0049285A"/>
    <w:rsid w:val="0049297E"/>
    <w:rsid w:val="00492B2A"/>
    <w:rsid w:val="00492BDB"/>
    <w:rsid w:val="0049340B"/>
    <w:rsid w:val="00493E71"/>
    <w:rsid w:val="00494107"/>
    <w:rsid w:val="004942F5"/>
    <w:rsid w:val="00494770"/>
    <w:rsid w:val="004947A7"/>
    <w:rsid w:val="00494968"/>
    <w:rsid w:val="00494F63"/>
    <w:rsid w:val="00495885"/>
    <w:rsid w:val="00495A9E"/>
    <w:rsid w:val="00495B90"/>
    <w:rsid w:val="00495F39"/>
    <w:rsid w:val="00496016"/>
    <w:rsid w:val="00496202"/>
    <w:rsid w:val="00496DCA"/>
    <w:rsid w:val="004977E7"/>
    <w:rsid w:val="004A06A7"/>
    <w:rsid w:val="004A0A74"/>
    <w:rsid w:val="004A1398"/>
    <w:rsid w:val="004A1542"/>
    <w:rsid w:val="004A1C28"/>
    <w:rsid w:val="004A1CC1"/>
    <w:rsid w:val="004A1CF4"/>
    <w:rsid w:val="004A1E03"/>
    <w:rsid w:val="004A1E04"/>
    <w:rsid w:val="004A1F7E"/>
    <w:rsid w:val="004A2475"/>
    <w:rsid w:val="004A26A1"/>
    <w:rsid w:val="004A2F0F"/>
    <w:rsid w:val="004A3066"/>
    <w:rsid w:val="004A3C71"/>
    <w:rsid w:val="004A421F"/>
    <w:rsid w:val="004A4F0C"/>
    <w:rsid w:val="004A6070"/>
    <w:rsid w:val="004A6081"/>
    <w:rsid w:val="004A641F"/>
    <w:rsid w:val="004A695E"/>
    <w:rsid w:val="004A6E70"/>
    <w:rsid w:val="004A6EAE"/>
    <w:rsid w:val="004A6F08"/>
    <w:rsid w:val="004A6FD5"/>
    <w:rsid w:val="004A70E3"/>
    <w:rsid w:val="004A715F"/>
    <w:rsid w:val="004A7445"/>
    <w:rsid w:val="004A7798"/>
    <w:rsid w:val="004A7D01"/>
    <w:rsid w:val="004B0113"/>
    <w:rsid w:val="004B039D"/>
    <w:rsid w:val="004B0409"/>
    <w:rsid w:val="004B04AB"/>
    <w:rsid w:val="004B051C"/>
    <w:rsid w:val="004B07FF"/>
    <w:rsid w:val="004B091D"/>
    <w:rsid w:val="004B1480"/>
    <w:rsid w:val="004B1620"/>
    <w:rsid w:val="004B1790"/>
    <w:rsid w:val="004B1BA1"/>
    <w:rsid w:val="004B3362"/>
    <w:rsid w:val="004B3843"/>
    <w:rsid w:val="004B3986"/>
    <w:rsid w:val="004B3E15"/>
    <w:rsid w:val="004B44B3"/>
    <w:rsid w:val="004B46F1"/>
    <w:rsid w:val="004B4CB5"/>
    <w:rsid w:val="004B4F4E"/>
    <w:rsid w:val="004B5A03"/>
    <w:rsid w:val="004B5AD5"/>
    <w:rsid w:val="004B606A"/>
    <w:rsid w:val="004B61FB"/>
    <w:rsid w:val="004B661E"/>
    <w:rsid w:val="004B693F"/>
    <w:rsid w:val="004B6AD2"/>
    <w:rsid w:val="004B71D4"/>
    <w:rsid w:val="004B75F3"/>
    <w:rsid w:val="004B7992"/>
    <w:rsid w:val="004B7D29"/>
    <w:rsid w:val="004C05CD"/>
    <w:rsid w:val="004C071D"/>
    <w:rsid w:val="004C073F"/>
    <w:rsid w:val="004C1091"/>
    <w:rsid w:val="004C1260"/>
    <w:rsid w:val="004C14E9"/>
    <w:rsid w:val="004C24E5"/>
    <w:rsid w:val="004C252D"/>
    <w:rsid w:val="004C2711"/>
    <w:rsid w:val="004C3284"/>
    <w:rsid w:val="004C3A88"/>
    <w:rsid w:val="004C3AFC"/>
    <w:rsid w:val="004C3E79"/>
    <w:rsid w:val="004C3F6F"/>
    <w:rsid w:val="004C4424"/>
    <w:rsid w:val="004C489C"/>
    <w:rsid w:val="004C48FD"/>
    <w:rsid w:val="004C51EC"/>
    <w:rsid w:val="004C57A0"/>
    <w:rsid w:val="004C5D4D"/>
    <w:rsid w:val="004C63B8"/>
    <w:rsid w:val="004C6651"/>
    <w:rsid w:val="004C66C1"/>
    <w:rsid w:val="004C69E8"/>
    <w:rsid w:val="004C6A2D"/>
    <w:rsid w:val="004C6ADA"/>
    <w:rsid w:val="004C6CC3"/>
    <w:rsid w:val="004C7232"/>
    <w:rsid w:val="004C775B"/>
    <w:rsid w:val="004C78B1"/>
    <w:rsid w:val="004C79A7"/>
    <w:rsid w:val="004C7AB1"/>
    <w:rsid w:val="004D062A"/>
    <w:rsid w:val="004D06B2"/>
    <w:rsid w:val="004D096C"/>
    <w:rsid w:val="004D142E"/>
    <w:rsid w:val="004D143B"/>
    <w:rsid w:val="004D209E"/>
    <w:rsid w:val="004D221B"/>
    <w:rsid w:val="004D2366"/>
    <w:rsid w:val="004D23E2"/>
    <w:rsid w:val="004D261E"/>
    <w:rsid w:val="004D293A"/>
    <w:rsid w:val="004D2C78"/>
    <w:rsid w:val="004D2C9C"/>
    <w:rsid w:val="004D2CEC"/>
    <w:rsid w:val="004D3226"/>
    <w:rsid w:val="004D33B4"/>
    <w:rsid w:val="004D3AFC"/>
    <w:rsid w:val="004D3BD5"/>
    <w:rsid w:val="004D4096"/>
    <w:rsid w:val="004D445D"/>
    <w:rsid w:val="004D459B"/>
    <w:rsid w:val="004D4B15"/>
    <w:rsid w:val="004D55E8"/>
    <w:rsid w:val="004D5B0B"/>
    <w:rsid w:val="004D6722"/>
    <w:rsid w:val="004D7188"/>
    <w:rsid w:val="004D7296"/>
    <w:rsid w:val="004D77DF"/>
    <w:rsid w:val="004D7AA1"/>
    <w:rsid w:val="004E028C"/>
    <w:rsid w:val="004E0295"/>
    <w:rsid w:val="004E058E"/>
    <w:rsid w:val="004E0769"/>
    <w:rsid w:val="004E0773"/>
    <w:rsid w:val="004E07B4"/>
    <w:rsid w:val="004E09E0"/>
    <w:rsid w:val="004E139B"/>
    <w:rsid w:val="004E19B6"/>
    <w:rsid w:val="004E1F69"/>
    <w:rsid w:val="004E2719"/>
    <w:rsid w:val="004E2A3B"/>
    <w:rsid w:val="004E2D05"/>
    <w:rsid w:val="004E408E"/>
    <w:rsid w:val="004E4A82"/>
    <w:rsid w:val="004E58C8"/>
    <w:rsid w:val="004E58EF"/>
    <w:rsid w:val="004E59D7"/>
    <w:rsid w:val="004E61C0"/>
    <w:rsid w:val="004E6307"/>
    <w:rsid w:val="004E7BB4"/>
    <w:rsid w:val="004E7D6C"/>
    <w:rsid w:val="004F01C1"/>
    <w:rsid w:val="004F08CE"/>
    <w:rsid w:val="004F0A6E"/>
    <w:rsid w:val="004F0E24"/>
    <w:rsid w:val="004F0F5B"/>
    <w:rsid w:val="004F1212"/>
    <w:rsid w:val="004F1760"/>
    <w:rsid w:val="004F17CA"/>
    <w:rsid w:val="004F1807"/>
    <w:rsid w:val="004F2677"/>
    <w:rsid w:val="004F36C9"/>
    <w:rsid w:val="004F3B3D"/>
    <w:rsid w:val="004F3F39"/>
    <w:rsid w:val="004F3F3E"/>
    <w:rsid w:val="004F4057"/>
    <w:rsid w:val="004F473E"/>
    <w:rsid w:val="004F4CC3"/>
    <w:rsid w:val="004F5288"/>
    <w:rsid w:val="004F550F"/>
    <w:rsid w:val="004F5579"/>
    <w:rsid w:val="004F560E"/>
    <w:rsid w:val="004F5C15"/>
    <w:rsid w:val="004F6B9C"/>
    <w:rsid w:val="004F6D64"/>
    <w:rsid w:val="004F741C"/>
    <w:rsid w:val="004F7847"/>
    <w:rsid w:val="004F791E"/>
    <w:rsid w:val="00500C1E"/>
    <w:rsid w:val="00500C4E"/>
    <w:rsid w:val="00500FE0"/>
    <w:rsid w:val="0050128E"/>
    <w:rsid w:val="005015F0"/>
    <w:rsid w:val="00501998"/>
    <w:rsid w:val="00501DB5"/>
    <w:rsid w:val="00501E72"/>
    <w:rsid w:val="00501EC9"/>
    <w:rsid w:val="005020DE"/>
    <w:rsid w:val="00502447"/>
    <w:rsid w:val="0050262F"/>
    <w:rsid w:val="00502674"/>
    <w:rsid w:val="00502D47"/>
    <w:rsid w:val="005044B3"/>
    <w:rsid w:val="00504613"/>
    <w:rsid w:val="00504774"/>
    <w:rsid w:val="005048C5"/>
    <w:rsid w:val="005051C2"/>
    <w:rsid w:val="00505A0B"/>
    <w:rsid w:val="00505F44"/>
    <w:rsid w:val="00506417"/>
    <w:rsid w:val="005066C2"/>
    <w:rsid w:val="005068C3"/>
    <w:rsid w:val="00506AA1"/>
    <w:rsid w:val="00506BB1"/>
    <w:rsid w:val="00506D79"/>
    <w:rsid w:val="00506E5E"/>
    <w:rsid w:val="005071FA"/>
    <w:rsid w:val="00510FA9"/>
    <w:rsid w:val="0051122C"/>
    <w:rsid w:val="005120A2"/>
    <w:rsid w:val="005125E1"/>
    <w:rsid w:val="00512C60"/>
    <w:rsid w:val="005131C7"/>
    <w:rsid w:val="0051328F"/>
    <w:rsid w:val="0051346B"/>
    <w:rsid w:val="00513BD3"/>
    <w:rsid w:val="0051446B"/>
    <w:rsid w:val="005149E0"/>
    <w:rsid w:val="00515065"/>
    <w:rsid w:val="0051589C"/>
    <w:rsid w:val="00515BA8"/>
    <w:rsid w:val="00515E4C"/>
    <w:rsid w:val="00516778"/>
    <w:rsid w:val="00516B32"/>
    <w:rsid w:val="00516F99"/>
    <w:rsid w:val="005175B3"/>
    <w:rsid w:val="00517AB2"/>
    <w:rsid w:val="00520045"/>
    <w:rsid w:val="005207F4"/>
    <w:rsid w:val="0052098C"/>
    <w:rsid w:val="00520DDD"/>
    <w:rsid w:val="00520E41"/>
    <w:rsid w:val="00520F03"/>
    <w:rsid w:val="00521AB5"/>
    <w:rsid w:val="00522087"/>
    <w:rsid w:val="00522D69"/>
    <w:rsid w:val="00522EDB"/>
    <w:rsid w:val="0052302A"/>
    <w:rsid w:val="00523954"/>
    <w:rsid w:val="005239EC"/>
    <w:rsid w:val="00523B73"/>
    <w:rsid w:val="00523D5E"/>
    <w:rsid w:val="00523DD1"/>
    <w:rsid w:val="00524383"/>
    <w:rsid w:val="00524A14"/>
    <w:rsid w:val="00525503"/>
    <w:rsid w:val="00525B10"/>
    <w:rsid w:val="00525D49"/>
    <w:rsid w:val="005264A5"/>
    <w:rsid w:val="005264FE"/>
    <w:rsid w:val="00526837"/>
    <w:rsid w:val="00526839"/>
    <w:rsid w:val="00526CFF"/>
    <w:rsid w:val="00526EEF"/>
    <w:rsid w:val="00526F73"/>
    <w:rsid w:val="00526FE7"/>
    <w:rsid w:val="005271B7"/>
    <w:rsid w:val="005273BD"/>
    <w:rsid w:val="0052751E"/>
    <w:rsid w:val="0052757F"/>
    <w:rsid w:val="00527AFA"/>
    <w:rsid w:val="00527E1B"/>
    <w:rsid w:val="00527E37"/>
    <w:rsid w:val="00527FBC"/>
    <w:rsid w:val="00530475"/>
    <w:rsid w:val="005306EF"/>
    <w:rsid w:val="0053076A"/>
    <w:rsid w:val="00530AB7"/>
    <w:rsid w:val="00530D69"/>
    <w:rsid w:val="00530FE5"/>
    <w:rsid w:val="00531B0F"/>
    <w:rsid w:val="0053250F"/>
    <w:rsid w:val="00532686"/>
    <w:rsid w:val="005327D0"/>
    <w:rsid w:val="00532CDF"/>
    <w:rsid w:val="00532E2B"/>
    <w:rsid w:val="005336C7"/>
    <w:rsid w:val="005337D8"/>
    <w:rsid w:val="0053446E"/>
    <w:rsid w:val="005348FD"/>
    <w:rsid w:val="005353B0"/>
    <w:rsid w:val="00535A4B"/>
    <w:rsid w:val="00535EB6"/>
    <w:rsid w:val="00536218"/>
    <w:rsid w:val="00536598"/>
    <w:rsid w:val="00536DC2"/>
    <w:rsid w:val="00537865"/>
    <w:rsid w:val="00540613"/>
    <w:rsid w:val="0054071A"/>
    <w:rsid w:val="00540752"/>
    <w:rsid w:val="00540848"/>
    <w:rsid w:val="005410E4"/>
    <w:rsid w:val="00541550"/>
    <w:rsid w:val="00541B2E"/>
    <w:rsid w:val="0054217C"/>
    <w:rsid w:val="0054235F"/>
    <w:rsid w:val="0054244B"/>
    <w:rsid w:val="005425C6"/>
    <w:rsid w:val="0054295C"/>
    <w:rsid w:val="005429EA"/>
    <w:rsid w:val="00542B8D"/>
    <w:rsid w:val="00542C55"/>
    <w:rsid w:val="00542D66"/>
    <w:rsid w:val="00543546"/>
    <w:rsid w:val="00543FBF"/>
    <w:rsid w:val="0054479D"/>
    <w:rsid w:val="00544AF4"/>
    <w:rsid w:val="00544C19"/>
    <w:rsid w:val="0054649A"/>
    <w:rsid w:val="00546752"/>
    <w:rsid w:val="00547309"/>
    <w:rsid w:val="00547E51"/>
    <w:rsid w:val="005500D7"/>
    <w:rsid w:val="0055032D"/>
    <w:rsid w:val="00550797"/>
    <w:rsid w:val="0055129C"/>
    <w:rsid w:val="005513F5"/>
    <w:rsid w:val="005513FD"/>
    <w:rsid w:val="00551CE1"/>
    <w:rsid w:val="00551ED4"/>
    <w:rsid w:val="00551F71"/>
    <w:rsid w:val="005520C1"/>
    <w:rsid w:val="005527A3"/>
    <w:rsid w:val="00552A0E"/>
    <w:rsid w:val="00553210"/>
    <w:rsid w:val="005533E4"/>
    <w:rsid w:val="00553F0B"/>
    <w:rsid w:val="00553F6A"/>
    <w:rsid w:val="00554165"/>
    <w:rsid w:val="0055476A"/>
    <w:rsid w:val="00554A94"/>
    <w:rsid w:val="00554BF9"/>
    <w:rsid w:val="0055570B"/>
    <w:rsid w:val="00555A36"/>
    <w:rsid w:val="00556F0E"/>
    <w:rsid w:val="0055726C"/>
    <w:rsid w:val="0055768E"/>
    <w:rsid w:val="00557AB9"/>
    <w:rsid w:val="00557F3A"/>
    <w:rsid w:val="005601E0"/>
    <w:rsid w:val="005606BE"/>
    <w:rsid w:val="005609A0"/>
    <w:rsid w:val="00560A02"/>
    <w:rsid w:val="00560BB2"/>
    <w:rsid w:val="00560E37"/>
    <w:rsid w:val="005610C4"/>
    <w:rsid w:val="0056139B"/>
    <w:rsid w:val="005615D6"/>
    <w:rsid w:val="00561659"/>
    <w:rsid w:val="00561B33"/>
    <w:rsid w:val="00561B4F"/>
    <w:rsid w:val="005620BF"/>
    <w:rsid w:val="005621E0"/>
    <w:rsid w:val="005622D1"/>
    <w:rsid w:val="005634FF"/>
    <w:rsid w:val="00563FE4"/>
    <w:rsid w:val="0056410F"/>
    <w:rsid w:val="005641D1"/>
    <w:rsid w:val="00564607"/>
    <w:rsid w:val="00564778"/>
    <w:rsid w:val="00565492"/>
    <w:rsid w:val="005657DB"/>
    <w:rsid w:val="00565B08"/>
    <w:rsid w:val="0056630E"/>
    <w:rsid w:val="00566664"/>
    <w:rsid w:val="0056666E"/>
    <w:rsid w:val="00566B9C"/>
    <w:rsid w:val="00567314"/>
    <w:rsid w:val="00567415"/>
    <w:rsid w:val="005702AC"/>
    <w:rsid w:val="00570C92"/>
    <w:rsid w:val="005719C8"/>
    <w:rsid w:val="0057375F"/>
    <w:rsid w:val="00573ABE"/>
    <w:rsid w:val="00573F02"/>
    <w:rsid w:val="0057423A"/>
    <w:rsid w:val="0057477F"/>
    <w:rsid w:val="00575195"/>
    <w:rsid w:val="005754B9"/>
    <w:rsid w:val="00575BB8"/>
    <w:rsid w:val="00575C92"/>
    <w:rsid w:val="00575EF2"/>
    <w:rsid w:val="005760A0"/>
    <w:rsid w:val="00577A2E"/>
    <w:rsid w:val="00580C79"/>
    <w:rsid w:val="00580DAB"/>
    <w:rsid w:val="00580FB1"/>
    <w:rsid w:val="005810FB"/>
    <w:rsid w:val="005813F2"/>
    <w:rsid w:val="00581498"/>
    <w:rsid w:val="00581D4C"/>
    <w:rsid w:val="00581D84"/>
    <w:rsid w:val="00581EAF"/>
    <w:rsid w:val="00581F5A"/>
    <w:rsid w:val="005824EB"/>
    <w:rsid w:val="005824F3"/>
    <w:rsid w:val="00582D16"/>
    <w:rsid w:val="00582E13"/>
    <w:rsid w:val="00583502"/>
    <w:rsid w:val="00583C27"/>
    <w:rsid w:val="005843F6"/>
    <w:rsid w:val="005848D6"/>
    <w:rsid w:val="00584927"/>
    <w:rsid w:val="00584BB9"/>
    <w:rsid w:val="0058536B"/>
    <w:rsid w:val="00585C11"/>
    <w:rsid w:val="00585F4A"/>
    <w:rsid w:val="00585FC0"/>
    <w:rsid w:val="0058646E"/>
    <w:rsid w:val="005869FE"/>
    <w:rsid w:val="00586A6B"/>
    <w:rsid w:val="005874BB"/>
    <w:rsid w:val="005879BC"/>
    <w:rsid w:val="00587A90"/>
    <w:rsid w:val="00587F15"/>
    <w:rsid w:val="00590133"/>
    <w:rsid w:val="00590574"/>
    <w:rsid w:val="0059217D"/>
    <w:rsid w:val="00594F9C"/>
    <w:rsid w:val="00595236"/>
    <w:rsid w:val="0059572A"/>
    <w:rsid w:val="00595958"/>
    <w:rsid w:val="00595A67"/>
    <w:rsid w:val="00595E45"/>
    <w:rsid w:val="00595EF4"/>
    <w:rsid w:val="00596436"/>
    <w:rsid w:val="00596461"/>
    <w:rsid w:val="00596915"/>
    <w:rsid w:val="005A0E3C"/>
    <w:rsid w:val="005A0FFE"/>
    <w:rsid w:val="005A10B0"/>
    <w:rsid w:val="005A16C1"/>
    <w:rsid w:val="005A1AFA"/>
    <w:rsid w:val="005A1F68"/>
    <w:rsid w:val="005A24BB"/>
    <w:rsid w:val="005A2A3E"/>
    <w:rsid w:val="005A2A79"/>
    <w:rsid w:val="005A2D66"/>
    <w:rsid w:val="005A34DC"/>
    <w:rsid w:val="005A38B8"/>
    <w:rsid w:val="005A4B11"/>
    <w:rsid w:val="005A5217"/>
    <w:rsid w:val="005A53C4"/>
    <w:rsid w:val="005A551A"/>
    <w:rsid w:val="005A5A7E"/>
    <w:rsid w:val="005A5AA7"/>
    <w:rsid w:val="005A5F13"/>
    <w:rsid w:val="005A61DB"/>
    <w:rsid w:val="005A6522"/>
    <w:rsid w:val="005A6C2B"/>
    <w:rsid w:val="005A6F84"/>
    <w:rsid w:val="005A6FB3"/>
    <w:rsid w:val="005A7619"/>
    <w:rsid w:val="005A76CC"/>
    <w:rsid w:val="005B00C1"/>
    <w:rsid w:val="005B025E"/>
    <w:rsid w:val="005B0E65"/>
    <w:rsid w:val="005B113B"/>
    <w:rsid w:val="005B1332"/>
    <w:rsid w:val="005B13AF"/>
    <w:rsid w:val="005B2494"/>
    <w:rsid w:val="005B25E5"/>
    <w:rsid w:val="005B2F41"/>
    <w:rsid w:val="005B2FAC"/>
    <w:rsid w:val="005B31C3"/>
    <w:rsid w:val="005B36B6"/>
    <w:rsid w:val="005B3782"/>
    <w:rsid w:val="005B3978"/>
    <w:rsid w:val="005B3DF6"/>
    <w:rsid w:val="005B3E2A"/>
    <w:rsid w:val="005B4607"/>
    <w:rsid w:val="005B502B"/>
    <w:rsid w:val="005B50FC"/>
    <w:rsid w:val="005B5258"/>
    <w:rsid w:val="005B6455"/>
    <w:rsid w:val="005B6DB7"/>
    <w:rsid w:val="005B6DF4"/>
    <w:rsid w:val="005B6E03"/>
    <w:rsid w:val="005B7A03"/>
    <w:rsid w:val="005C0D3A"/>
    <w:rsid w:val="005C0D8E"/>
    <w:rsid w:val="005C0F6F"/>
    <w:rsid w:val="005C1612"/>
    <w:rsid w:val="005C1A3C"/>
    <w:rsid w:val="005C1BFA"/>
    <w:rsid w:val="005C277C"/>
    <w:rsid w:val="005C2ACE"/>
    <w:rsid w:val="005C2ADB"/>
    <w:rsid w:val="005C2B37"/>
    <w:rsid w:val="005C2E33"/>
    <w:rsid w:val="005C2E47"/>
    <w:rsid w:val="005C310E"/>
    <w:rsid w:val="005C31FB"/>
    <w:rsid w:val="005C3512"/>
    <w:rsid w:val="005C357C"/>
    <w:rsid w:val="005C395C"/>
    <w:rsid w:val="005C4176"/>
    <w:rsid w:val="005C4A30"/>
    <w:rsid w:val="005C5DAB"/>
    <w:rsid w:val="005C6279"/>
    <w:rsid w:val="005C62AB"/>
    <w:rsid w:val="005C62F0"/>
    <w:rsid w:val="005C66B8"/>
    <w:rsid w:val="005C6C7D"/>
    <w:rsid w:val="005C6E69"/>
    <w:rsid w:val="005C7457"/>
    <w:rsid w:val="005C75A5"/>
    <w:rsid w:val="005C77F0"/>
    <w:rsid w:val="005D0160"/>
    <w:rsid w:val="005D031C"/>
    <w:rsid w:val="005D0338"/>
    <w:rsid w:val="005D11A5"/>
    <w:rsid w:val="005D1262"/>
    <w:rsid w:val="005D1319"/>
    <w:rsid w:val="005D2147"/>
    <w:rsid w:val="005D236E"/>
    <w:rsid w:val="005D277D"/>
    <w:rsid w:val="005D308F"/>
    <w:rsid w:val="005D34B1"/>
    <w:rsid w:val="005D3945"/>
    <w:rsid w:val="005D57E0"/>
    <w:rsid w:val="005D5C90"/>
    <w:rsid w:val="005D6552"/>
    <w:rsid w:val="005D6992"/>
    <w:rsid w:val="005D6D11"/>
    <w:rsid w:val="005D6D97"/>
    <w:rsid w:val="005D6DBA"/>
    <w:rsid w:val="005D7776"/>
    <w:rsid w:val="005D7AB9"/>
    <w:rsid w:val="005D7D16"/>
    <w:rsid w:val="005E02E3"/>
    <w:rsid w:val="005E0341"/>
    <w:rsid w:val="005E0798"/>
    <w:rsid w:val="005E0BCC"/>
    <w:rsid w:val="005E0E7A"/>
    <w:rsid w:val="005E125D"/>
    <w:rsid w:val="005E23C9"/>
    <w:rsid w:val="005E283B"/>
    <w:rsid w:val="005E2DEB"/>
    <w:rsid w:val="005E2EEF"/>
    <w:rsid w:val="005E3068"/>
    <w:rsid w:val="005E3121"/>
    <w:rsid w:val="005E3333"/>
    <w:rsid w:val="005E3E1F"/>
    <w:rsid w:val="005E3E9A"/>
    <w:rsid w:val="005E431B"/>
    <w:rsid w:val="005E471E"/>
    <w:rsid w:val="005E4C6B"/>
    <w:rsid w:val="005E5842"/>
    <w:rsid w:val="005E589F"/>
    <w:rsid w:val="005E5BA4"/>
    <w:rsid w:val="005E652D"/>
    <w:rsid w:val="005E75A9"/>
    <w:rsid w:val="005E767D"/>
    <w:rsid w:val="005E76A9"/>
    <w:rsid w:val="005F003A"/>
    <w:rsid w:val="005F0E61"/>
    <w:rsid w:val="005F0F45"/>
    <w:rsid w:val="005F1330"/>
    <w:rsid w:val="005F13EA"/>
    <w:rsid w:val="005F236D"/>
    <w:rsid w:val="005F2527"/>
    <w:rsid w:val="005F283F"/>
    <w:rsid w:val="005F2EE8"/>
    <w:rsid w:val="005F2F7E"/>
    <w:rsid w:val="005F39FC"/>
    <w:rsid w:val="005F3AA9"/>
    <w:rsid w:val="005F4CD2"/>
    <w:rsid w:val="005F575A"/>
    <w:rsid w:val="005F5BD1"/>
    <w:rsid w:val="005F5EC1"/>
    <w:rsid w:val="005F61AF"/>
    <w:rsid w:val="005F6ED3"/>
    <w:rsid w:val="005F6FC8"/>
    <w:rsid w:val="005F73DB"/>
    <w:rsid w:val="005F762C"/>
    <w:rsid w:val="005F7954"/>
    <w:rsid w:val="005F7A49"/>
    <w:rsid w:val="005F7E44"/>
    <w:rsid w:val="00600321"/>
    <w:rsid w:val="00600876"/>
    <w:rsid w:val="00601050"/>
    <w:rsid w:val="00601161"/>
    <w:rsid w:val="006014FD"/>
    <w:rsid w:val="006018FE"/>
    <w:rsid w:val="00601A71"/>
    <w:rsid w:val="00601EA8"/>
    <w:rsid w:val="00601F56"/>
    <w:rsid w:val="00602F0E"/>
    <w:rsid w:val="00603432"/>
    <w:rsid w:val="006034D9"/>
    <w:rsid w:val="00604010"/>
    <w:rsid w:val="00604742"/>
    <w:rsid w:val="00604915"/>
    <w:rsid w:val="00604B00"/>
    <w:rsid w:val="00604F1A"/>
    <w:rsid w:val="006050BE"/>
    <w:rsid w:val="006050BF"/>
    <w:rsid w:val="00605D3C"/>
    <w:rsid w:val="00606085"/>
    <w:rsid w:val="00606A97"/>
    <w:rsid w:val="00607084"/>
    <w:rsid w:val="0060777F"/>
    <w:rsid w:val="00610C91"/>
    <w:rsid w:val="00611314"/>
    <w:rsid w:val="00611631"/>
    <w:rsid w:val="006126BD"/>
    <w:rsid w:val="00612874"/>
    <w:rsid w:val="00612E42"/>
    <w:rsid w:val="0061371E"/>
    <w:rsid w:val="00613B64"/>
    <w:rsid w:val="00613C2E"/>
    <w:rsid w:val="00613C9F"/>
    <w:rsid w:val="00613E22"/>
    <w:rsid w:val="00614034"/>
    <w:rsid w:val="00614194"/>
    <w:rsid w:val="00614236"/>
    <w:rsid w:val="00614B56"/>
    <w:rsid w:val="00614E2D"/>
    <w:rsid w:val="00614F7E"/>
    <w:rsid w:val="00615BB6"/>
    <w:rsid w:val="00615E1E"/>
    <w:rsid w:val="00616233"/>
    <w:rsid w:val="006165D1"/>
    <w:rsid w:val="00616E07"/>
    <w:rsid w:val="00616FDE"/>
    <w:rsid w:val="00617A2B"/>
    <w:rsid w:val="00617CD3"/>
    <w:rsid w:val="00620D1A"/>
    <w:rsid w:val="00620E4E"/>
    <w:rsid w:val="00621DA1"/>
    <w:rsid w:val="00622027"/>
    <w:rsid w:val="006226EE"/>
    <w:rsid w:val="00623658"/>
    <w:rsid w:val="006237B4"/>
    <w:rsid w:val="00623DAF"/>
    <w:rsid w:val="00623F3C"/>
    <w:rsid w:val="006249BA"/>
    <w:rsid w:val="00624AB2"/>
    <w:rsid w:val="00624E3C"/>
    <w:rsid w:val="00625088"/>
    <w:rsid w:val="00625621"/>
    <w:rsid w:val="00625B6F"/>
    <w:rsid w:val="00625D2B"/>
    <w:rsid w:val="00625D3C"/>
    <w:rsid w:val="0062672C"/>
    <w:rsid w:val="00626B31"/>
    <w:rsid w:val="00626D14"/>
    <w:rsid w:val="00627431"/>
    <w:rsid w:val="006278F9"/>
    <w:rsid w:val="00627A03"/>
    <w:rsid w:val="006310FF"/>
    <w:rsid w:val="0063218D"/>
    <w:rsid w:val="0063233C"/>
    <w:rsid w:val="006329BB"/>
    <w:rsid w:val="00632DE5"/>
    <w:rsid w:val="00632ECA"/>
    <w:rsid w:val="0063308F"/>
    <w:rsid w:val="0063324B"/>
    <w:rsid w:val="006335B2"/>
    <w:rsid w:val="006336CD"/>
    <w:rsid w:val="0063380A"/>
    <w:rsid w:val="00633DE1"/>
    <w:rsid w:val="006340A9"/>
    <w:rsid w:val="006341FA"/>
    <w:rsid w:val="006350A3"/>
    <w:rsid w:val="0063511C"/>
    <w:rsid w:val="0063511E"/>
    <w:rsid w:val="006353F0"/>
    <w:rsid w:val="00635942"/>
    <w:rsid w:val="00635BDD"/>
    <w:rsid w:val="00635D3E"/>
    <w:rsid w:val="00637141"/>
    <w:rsid w:val="00637633"/>
    <w:rsid w:val="00637E0C"/>
    <w:rsid w:val="006405E6"/>
    <w:rsid w:val="006409D7"/>
    <w:rsid w:val="00641251"/>
    <w:rsid w:val="0064135D"/>
    <w:rsid w:val="00641445"/>
    <w:rsid w:val="00641EA0"/>
    <w:rsid w:val="00641F1B"/>
    <w:rsid w:val="00642097"/>
    <w:rsid w:val="00642E3C"/>
    <w:rsid w:val="0064325E"/>
    <w:rsid w:val="00643BAB"/>
    <w:rsid w:val="00643C92"/>
    <w:rsid w:val="00644108"/>
    <w:rsid w:val="0064494B"/>
    <w:rsid w:val="00644B16"/>
    <w:rsid w:val="00644CF9"/>
    <w:rsid w:val="00644D54"/>
    <w:rsid w:val="00645908"/>
    <w:rsid w:val="00645CED"/>
    <w:rsid w:val="00646153"/>
    <w:rsid w:val="0064685C"/>
    <w:rsid w:val="006469A3"/>
    <w:rsid w:val="00646D88"/>
    <w:rsid w:val="00647BA5"/>
    <w:rsid w:val="00650319"/>
    <w:rsid w:val="00650511"/>
    <w:rsid w:val="006506D1"/>
    <w:rsid w:val="00650D0E"/>
    <w:rsid w:val="00650DAB"/>
    <w:rsid w:val="00651170"/>
    <w:rsid w:val="006519A6"/>
    <w:rsid w:val="00652CA8"/>
    <w:rsid w:val="00652F00"/>
    <w:rsid w:val="00653494"/>
    <w:rsid w:val="00653571"/>
    <w:rsid w:val="006535D6"/>
    <w:rsid w:val="0065382D"/>
    <w:rsid w:val="00653836"/>
    <w:rsid w:val="00653841"/>
    <w:rsid w:val="00653948"/>
    <w:rsid w:val="006547B5"/>
    <w:rsid w:val="00654902"/>
    <w:rsid w:val="00654D1B"/>
    <w:rsid w:val="0065652B"/>
    <w:rsid w:val="0065664D"/>
    <w:rsid w:val="006569E3"/>
    <w:rsid w:val="00656B86"/>
    <w:rsid w:val="00656C7A"/>
    <w:rsid w:val="00657020"/>
    <w:rsid w:val="0065751A"/>
    <w:rsid w:val="0066000E"/>
    <w:rsid w:val="00660152"/>
    <w:rsid w:val="0066035E"/>
    <w:rsid w:val="006607A9"/>
    <w:rsid w:val="006609FF"/>
    <w:rsid w:val="00660F0F"/>
    <w:rsid w:val="006611EB"/>
    <w:rsid w:val="00661EA5"/>
    <w:rsid w:val="00661F17"/>
    <w:rsid w:val="006622CF"/>
    <w:rsid w:val="006624BA"/>
    <w:rsid w:val="00663A4B"/>
    <w:rsid w:val="00664B83"/>
    <w:rsid w:val="00664E32"/>
    <w:rsid w:val="006652B7"/>
    <w:rsid w:val="006653FB"/>
    <w:rsid w:val="00665443"/>
    <w:rsid w:val="006655F6"/>
    <w:rsid w:val="00665952"/>
    <w:rsid w:val="00665DEE"/>
    <w:rsid w:val="006667FD"/>
    <w:rsid w:val="00666B3A"/>
    <w:rsid w:val="00666E18"/>
    <w:rsid w:val="006676FA"/>
    <w:rsid w:val="00667FDE"/>
    <w:rsid w:val="00670D32"/>
    <w:rsid w:val="00670DD9"/>
    <w:rsid w:val="00671263"/>
    <w:rsid w:val="00671764"/>
    <w:rsid w:val="00671DB1"/>
    <w:rsid w:val="00672B2F"/>
    <w:rsid w:val="006734A2"/>
    <w:rsid w:val="00673554"/>
    <w:rsid w:val="00673667"/>
    <w:rsid w:val="00673FEA"/>
    <w:rsid w:val="0067449E"/>
    <w:rsid w:val="00674E5D"/>
    <w:rsid w:val="00675453"/>
    <w:rsid w:val="00675CD0"/>
    <w:rsid w:val="00675E62"/>
    <w:rsid w:val="006761FE"/>
    <w:rsid w:val="006765D1"/>
    <w:rsid w:val="0067689E"/>
    <w:rsid w:val="006774AE"/>
    <w:rsid w:val="006779DC"/>
    <w:rsid w:val="00677B7D"/>
    <w:rsid w:val="0068009B"/>
    <w:rsid w:val="00680107"/>
    <w:rsid w:val="0068095C"/>
    <w:rsid w:val="00680C3F"/>
    <w:rsid w:val="00680FC1"/>
    <w:rsid w:val="006812EB"/>
    <w:rsid w:val="00681E6F"/>
    <w:rsid w:val="00683275"/>
    <w:rsid w:val="00683A95"/>
    <w:rsid w:val="00683B52"/>
    <w:rsid w:val="00683CA7"/>
    <w:rsid w:val="00683FFB"/>
    <w:rsid w:val="006844B6"/>
    <w:rsid w:val="00684F58"/>
    <w:rsid w:val="00685036"/>
    <w:rsid w:val="0068526E"/>
    <w:rsid w:val="00686224"/>
    <w:rsid w:val="00686647"/>
    <w:rsid w:val="00686C7B"/>
    <w:rsid w:val="00686CFE"/>
    <w:rsid w:val="006871D8"/>
    <w:rsid w:val="0068736E"/>
    <w:rsid w:val="006874D1"/>
    <w:rsid w:val="00687B0E"/>
    <w:rsid w:val="00687F10"/>
    <w:rsid w:val="0069050C"/>
    <w:rsid w:val="00690BA6"/>
    <w:rsid w:val="00690E57"/>
    <w:rsid w:val="00690E60"/>
    <w:rsid w:val="006918DD"/>
    <w:rsid w:val="0069268C"/>
    <w:rsid w:val="00692E01"/>
    <w:rsid w:val="006931EC"/>
    <w:rsid w:val="00693448"/>
    <w:rsid w:val="00693869"/>
    <w:rsid w:val="00693C93"/>
    <w:rsid w:val="00694999"/>
    <w:rsid w:val="00694F91"/>
    <w:rsid w:val="0069563B"/>
    <w:rsid w:val="00695685"/>
    <w:rsid w:val="00695DFB"/>
    <w:rsid w:val="006960D7"/>
    <w:rsid w:val="00696488"/>
    <w:rsid w:val="00696C1B"/>
    <w:rsid w:val="00696F68"/>
    <w:rsid w:val="006971EF"/>
    <w:rsid w:val="00697816"/>
    <w:rsid w:val="006A0288"/>
    <w:rsid w:val="006A0684"/>
    <w:rsid w:val="006A0DB0"/>
    <w:rsid w:val="006A12B7"/>
    <w:rsid w:val="006A16CC"/>
    <w:rsid w:val="006A1730"/>
    <w:rsid w:val="006A1D00"/>
    <w:rsid w:val="006A1D5E"/>
    <w:rsid w:val="006A1E7E"/>
    <w:rsid w:val="006A1F36"/>
    <w:rsid w:val="006A2205"/>
    <w:rsid w:val="006A22D5"/>
    <w:rsid w:val="006A28B2"/>
    <w:rsid w:val="006A2C36"/>
    <w:rsid w:val="006A2E17"/>
    <w:rsid w:val="006A3355"/>
    <w:rsid w:val="006A3750"/>
    <w:rsid w:val="006A386D"/>
    <w:rsid w:val="006A3A5D"/>
    <w:rsid w:val="006A3F46"/>
    <w:rsid w:val="006A469F"/>
    <w:rsid w:val="006A495B"/>
    <w:rsid w:val="006A504C"/>
    <w:rsid w:val="006A552B"/>
    <w:rsid w:val="006A57FF"/>
    <w:rsid w:val="006A5AD7"/>
    <w:rsid w:val="006A6541"/>
    <w:rsid w:val="006A662C"/>
    <w:rsid w:val="006A676B"/>
    <w:rsid w:val="006A697A"/>
    <w:rsid w:val="006A7058"/>
    <w:rsid w:val="006A7753"/>
    <w:rsid w:val="006A7AE8"/>
    <w:rsid w:val="006A7CD2"/>
    <w:rsid w:val="006A7FCF"/>
    <w:rsid w:val="006B00AA"/>
    <w:rsid w:val="006B01DA"/>
    <w:rsid w:val="006B070F"/>
    <w:rsid w:val="006B08D6"/>
    <w:rsid w:val="006B0ACB"/>
    <w:rsid w:val="006B0F81"/>
    <w:rsid w:val="006B1410"/>
    <w:rsid w:val="006B185A"/>
    <w:rsid w:val="006B18FF"/>
    <w:rsid w:val="006B1CB4"/>
    <w:rsid w:val="006B1FB0"/>
    <w:rsid w:val="006B2262"/>
    <w:rsid w:val="006B2369"/>
    <w:rsid w:val="006B266D"/>
    <w:rsid w:val="006B339C"/>
    <w:rsid w:val="006B3566"/>
    <w:rsid w:val="006B35A5"/>
    <w:rsid w:val="006B36F1"/>
    <w:rsid w:val="006B3BA2"/>
    <w:rsid w:val="006B3FD3"/>
    <w:rsid w:val="006B4436"/>
    <w:rsid w:val="006B573D"/>
    <w:rsid w:val="006B5E42"/>
    <w:rsid w:val="006B656F"/>
    <w:rsid w:val="006B67D7"/>
    <w:rsid w:val="006B6DE1"/>
    <w:rsid w:val="006C09E4"/>
    <w:rsid w:val="006C0BD7"/>
    <w:rsid w:val="006C14A3"/>
    <w:rsid w:val="006C1A26"/>
    <w:rsid w:val="006C1C55"/>
    <w:rsid w:val="006C1E83"/>
    <w:rsid w:val="006C22FB"/>
    <w:rsid w:val="006C2485"/>
    <w:rsid w:val="006C24A6"/>
    <w:rsid w:val="006C27A6"/>
    <w:rsid w:val="006C28A0"/>
    <w:rsid w:val="006C293B"/>
    <w:rsid w:val="006C2BEC"/>
    <w:rsid w:val="006C2C99"/>
    <w:rsid w:val="006C2F39"/>
    <w:rsid w:val="006C3042"/>
    <w:rsid w:val="006C32DF"/>
    <w:rsid w:val="006C34A4"/>
    <w:rsid w:val="006C3B4C"/>
    <w:rsid w:val="006C3B60"/>
    <w:rsid w:val="006C437E"/>
    <w:rsid w:val="006C519C"/>
    <w:rsid w:val="006C5543"/>
    <w:rsid w:val="006C5656"/>
    <w:rsid w:val="006C581B"/>
    <w:rsid w:val="006C5A60"/>
    <w:rsid w:val="006C5D9E"/>
    <w:rsid w:val="006C638C"/>
    <w:rsid w:val="006C6947"/>
    <w:rsid w:val="006C6F93"/>
    <w:rsid w:val="006C73A8"/>
    <w:rsid w:val="006C741E"/>
    <w:rsid w:val="006C747C"/>
    <w:rsid w:val="006C7924"/>
    <w:rsid w:val="006D1980"/>
    <w:rsid w:val="006D1AF2"/>
    <w:rsid w:val="006D2EE3"/>
    <w:rsid w:val="006D3449"/>
    <w:rsid w:val="006D35DD"/>
    <w:rsid w:val="006D3B2D"/>
    <w:rsid w:val="006D3C2E"/>
    <w:rsid w:val="006D3FDF"/>
    <w:rsid w:val="006D43C8"/>
    <w:rsid w:val="006D46E2"/>
    <w:rsid w:val="006D4C6F"/>
    <w:rsid w:val="006D4DD3"/>
    <w:rsid w:val="006D4E59"/>
    <w:rsid w:val="006D51CB"/>
    <w:rsid w:val="006D5755"/>
    <w:rsid w:val="006D5804"/>
    <w:rsid w:val="006D6599"/>
    <w:rsid w:val="006D6C5C"/>
    <w:rsid w:val="006D715C"/>
    <w:rsid w:val="006E0595"/>
    <w:rsid w:val="006E069C"/>
    <w:rsid w:val="006E0DE7"/>
    <w:rsid w:val="006E0FF7"/>
    <w:rsid w:val="006E1641"/>
    <w:rsid w:val="006E1984"/>
    <w:rsid w:val="006E2EAF"/>
    <w:rsid w:val="006E308E"/>
    <w:rsid w:val="006E352F"/>
    <w:rsid w:val="006E355A"/>
    <w:rsid w:val="006E369A"/>
    <w:rsid w:val="006E3F5A"/>
    <w:rsid w:val="006E452A"/>
    <w:rsid w:val="006E4772"/>
    <w:rsid w:val="006E4786"/>
    <w:rsid w:val="006E4B6F"/>
    <w:rsid w:val="006E4EAE"/>
    <w:rsid w:val="006E68F3"/>
    <w:rsid w:val="006E7B2D"/>
    <w:rsid w:val="006F001F"/>
    <w:rsid w:val="006F0586"/>
    <w:rsid w:val="006F0CC8"/>
    <w:rsid w:val="006F0D4E"/>
    <w:rsid w:val="006F0DCE"/>
    <w:rsid w:val="006F0DF4"/>
    <w:rsid w:val="006F15A7"/>
    <w:rsid w:val="006F2621"/>
    <w:rsid w:val="006F262D"/>
    <w:rsid w:val="006F2E52"/>
    <w:rsid w:val="006F3339"/>
    <w:rsid w:val="006F39B6"/>
    <w:rsid w:val="006F3A68"/>
    <w:rsid w:val="006F4483"/>
    <w:rsid w:val="006F45C1"/>
    <w:rsid w:val="006F45CD"/>
    <w:rsid w:val="006F5035"/>
    <w:rsid w:val="006F58A7"/>
    <w:rsid w:val="006F5A70"/>
    <w:rsid w:val="006F6603"/>
    <w:rsid w:val="006F6707"/>
    <w:rsid w:val="006F6C0C"/>
    <w:rsid w:val="006F7CB0"/>
    <w:rsid w:val="0070084A"/>
    <w:rsid w:val="00700883"/>
    <w:rsid w:val="00700CD4"/>
    <w:rsid w:val="00701261"/>
    <w:rsid w:val="0070192E"/>
    <w:rsid w:val="00701A12"/>
    <w:rsid w:val="007022F4"/>
    <w:rsid w:val="007027C2"/>
    <w:rsid w:val="00702D1C"/>
    <w:rsid w:val="007030C1"/>
    <w:rsid w:val="00703248"/>
    <w:rsid w:val="0070327E"/>
    <w:rsid w:val="007037CC"/>
    <w:rsid w:val="007038C7"/>
    <w:rsid w:val="007038EB"/>
    <w:rsid w:val="00703DE0"/>
    <w:rsid w:val="00704193"/>
    <w:rsid w:val="00704525"/>
    <w:rsid w:val="00704DF8"/>
    <w:rsid w:val="00705516"/>
    <w:rsid w:val="007060BD"/>
    <w:rsid w:val="00706325"/>
    <w:rsid w:val="00706465"/>
    <w:rsid w:val="00706ABE"/>
    <w:rsid w:val="00706F83"/>
    <w:rsid w:val="007070CF"/>
    <w:rsid w:val="00707116"/>
    <w:rsid w:val="007075B6"/>
    <w:rsid w:val="00707600"/>
    <w:rsid w:val="00707904"/>
    <w:rsid w:val="00710006"/>
    <w:rsid w:val="00710328"/>
    <w:rsid w:val="00710E9B"/>
    <w:rsid w:val="007114FB"/>
    <w:rsid w:val="00711642"/>
    <w:rsid w:val="00711CEB"/>
    <w:rsid w:val="00711F17"/>
    <w:rsid w:val="00711F50"/>
    <w:rsid w:val="00711FA5"/>
    <w:rsid w:val="00712032"/>
    <w:rsid w:val="007124A3"/>
    <w:rsid w:val="007125D8"/>
    <w:rsid w:val="00712E61"/>
    <w:rsid w:val="0071302A"/>
    <w:rsid w:val="00713545"/>
    <w:rsid w:val="007136FB"/>
    <w:rsid w:val="0071378E"/>
    <w:rsid w:val="007139BB"/>
    <w:rsid w:val="00713AF3"/>
    <w:rsid w:val="007142BF"/>
    <w:rsid w:val="007142D5"/>
    <w:rsid w:val="007145C8"/>
    <w:rsid w:val="00714E79"/>
    <w:rsid w:val="00715578"/>
    <w:rsid w:val="00715A30"/>
    <w:rsid w:val="00715BEC"/>
    <w:rsid w:val="00715F04"/>
    <w:rsid w:val="00716B97"/>
    <w:rsid w:val="00717383"/>
    <w:rsid w:val="00717FAD"/>
    <w:rsid w:val="0072062B"/>
    <w:rsid w:val="007209B8"/>
    <w:rsid w:val="0072105D"/>
    <w:rsid w:val="0072106B"/>
    <w:rsid w:val="007211A4"/>
    <w:rsid w:val="00721378"/>
    <w:rsid w:val="00721725"/>
    <w:rsid w:val="007223C6"/>
    <w:rsid w:val="007226FC"/>
    <w:rsid w:val="0072278D"/>
    <w:rsid w:val="007228EF"/>
    <w:rsid w:val="00722F58"/>
    <w:rsid w:val="00723406"/>
    <w:rsid w:val="00723665"/>
    <w:rsid w:val="00723AD1"/>
    <w:rsid w:val="00723D88"/>
    <w:rsid w:val="00723EF5"/>
    <w:rsid w:val="0072434B"/>
    <w:rsid w:val="007243D9"/>
    <w:rsid w:val="00724CF3"/>
    <w:rsid w:val="007250F1"/>
    <w:rsid w:val="00725188"/>
    <w:rsid w:val="007257A5"/>
    <w:rsid w:val="007258E1"/>
    <w:rsid w:val="00725D01"/>
    <w:rsid w:val="00726304"/>
    <w:rsid w:val="00726968"/>
    <w:rsid w:val="00726C8E"/>
    <w:rsid w:val="00726F5D"/>
    <w:rsid w:val="00727079"/>
    <w:rsid w:val="007274DC"/>
    <w:rsid w:val="007275A1"/>
    <w:rsid w:val="0072799C"/>
    <w:rsid w:val="007305A1"/>
    <w:rsid w:val="007308C8"/>
    <w:rsid w:val="00730A66"/>
    <w:rsid w:val="00730ADA"/>
    <w:rsid w:val="00730BDB"/>
    <w:rsid w:val="00730C05"/>
    <w:rsid w:val="00730F03"/>
    <w:rsid w:val="007313AB"/>
    <w:rsid w:val="007314E3"/>
    <w:rsid w:val="00731DF6"/>
    <w:rsid w:val="00732078"/>
    <w:rsid w:val="007324B3"/>
    <w:rsid w:val="007324E1"/>
    <w:rsid w:val="00733863"/>
    <w:rsid w:val="0073390C"/>
    <w:rsid w:val="00733EBE"/>
    <w:rsid w:val="00734063"/>
    <w:rsid w:val="00734545"/>
    <w:rsid w:val="00734785"/>
    <w:rsid w:val="00735163"/>
    <w:rsid w:val="0073569D"/>
    <w:rsid w:val="007358B9"/>
    <w:rsid w:val="007358D3"/>
    <w:rsid w:val="00736AE1"/>
    <w:rsid w:val="00736BBF"/>
    <w:rsid w:val="00736D28"/>
    <w:rsid w:val="00736EE4"/>
    <w:rsid w:val="00736F2D"/>
    <w:rsid w:val="007376ED"/>
    <w:rsid w:val="0073781C"/>
    <w:rsid w:val="00737FA9"/>
    <w:rsid w:val="00740A29"/>
    <w:rsid w:val="00740A7B"/>
    <w:rsid w:val="007411E1"/>
    <w:rsid w:val="007416D5"/>
    <w:rsid w:val="00741841"/>
    <w:rsid w:val="00741870"/>
    <w:rsid w:val="007419BE"/>
    <w:rsid w:val="00742C82"/>
    <w:rsid w:val="00742DD2"/>
    <w:rsid w:val="00742DF6"/>
    <w:rsid w:val="00742F2A"/>
    <w:rsid w:val="007437F3"/>
    <w:rsid w:val="00743BB0"/>
    <w:rsid w:val="00743E39"/>
    <w:rsid w:val="00743E3A"/>
    <w:rsid w:val="0074404E"/>
    <w:rsid w:val="00744494"/>
    <w:rsid w:val="00745185"/>
    <w:rsid w:val="00746320"/>
    <w:rsid w:val="0074643F"/>
    <w:rsid w:val="0074691E"/>
    <w:rsid w:val="00746A7F"/>
    <w:rsid w:val="00746EC3"/>
    <w:rsid w:val="00747624"/>
    <w:rsid w:val="00747F2C"/>
    <w:rsid w:val="007505BF"/>
    <w:rsid w:val="00750661"/>
    <w:rsid w:val="00750CE7"/>
    <w:rsid w:val="00751006"/>
    <w:rsid w:val="0075104D"/>
    <w:rsid w:val="00751259"/>
    <w:rsid w:val="00751758"/>
    <w:rsid w:val="0075176F"/>
    <w:rsid w:val="007523DF"/>
    <w:rsid w:val="007528F4"/>
    <w:rsid w:val="00752AF2"/>
    <w:rsid w:val="00753647"/>
    <w:rsid w:val="00753D99"/>
    <w:rsid w:val="007546E3"/>
    <w:rsid w:val="00754C6E"/>
    <w:rsid w:val="0075506C"/>
    <w:rsid w:val="007551B1"/>
    <w:rsid w:val="00755396"/>
    <w:rsid w:val="00755B3B"/>
    <w:rsid w:val="0075681B"/>
    <w:rsid w:val="0075707F"/>
    <w:rsid w:val="00757175"/>
    <w:rsid w:val="0075790A"/>
    <w:rsid w:val="0076020C"/>
    <w:rsid w:val="00760460"/>
    <w:rsid w:val="0076189A"/>
    <w:rsid w:val="00761D83"/>
    <w:rsid w:val="00762E49"/>
    <w:rsid w:val="00762FF9"/>
    <w:rsid w:val="007632D1"/>
    <w:rsid w:val="00763574"/>
    <w:rsid w:val="007637B5"/>
    <w:rsid w:val="00763D10"/>
    <w:rsid w:val="00763EA3"/>
    <w:rsid w:val="00764D56"/>
    <w:rsid w:val="00765348"/>
    <w:rsid w:val="007656DF"/>
    <w:rsid w:val="00765BA2"/>
    <w:rsid w:val="00765BC0"/>
    <w:rsid w:val="00766121"/>
    <w:rsid w:val="00766B40"/>
    <w:rsid w:val="00766BD6"/>
    <w:rsid w:val="00766CAD"/>
    <w:rsid w:val="00766F09"/>
    <w:rsid w:val="00766FA2"/>
    <w:rsid w:val="007674BD"/>
    <w:rsid w:val="0077027E"/>
    <w:rsid w:val="0077084F"/>
    <w:rsid w:val="007709F6"/>
    <w:rsid w:val="00770B80"/>
    <w:rsid w:val="007719E4"/>
    <w:rsid w:val="00771EE8"/>
    <w:rsid w:val="007721D5"/>
    <w:rsid w:val="0077298F"/>
    <w:rsid w:val="00772A20"/>
    <w:rsid w:val="00772A7C"/>
    <w:rsid w:val="007738B1"/>
    <w:rsid w:val="00773D2B"/>
    <w:rsid w:val="00773D55"/>
    <w:rsid w:val="0077413B"/>
    <w:rsid w:val="00774303"/>
    <w:rsid w:val="0077451C"/>
    <w:rsid w:val="00774FC3"/>
    <w:rsid w:val="007757C8"/>
    <w:rsid w:val="00775947"/>
    <w:rsid w:val="007759A9"/>
    <w:rsid w:val="00776633"/>
    <w:rsid w:val="00776D1A"/>
    <w:rsid w:val="00776F43"/>
    <w:rsid w:val="00777234"/>
    <w:rsid w:val="0078015C"/>
    <w:rsid w:val="0078017F"/>
    <w:rsid w:val="00780521"/>
    <w:rsid w:val="00780535"/>
    <w:rsid w:val="00780842"/>
    <w:rsid w:val="00780CDC"/>
    <w:rsid w:val="00780DF7"/>
    <w:rsid w:val="00781417"/>
    <w:rsid w:val="007814CF"/>
    <w:rsid w:val="00781856"/>
    <w:rsid w:val="00782511"/>
    <w:rsid w:val="00782683"/>
    <w:rsid w:val="007839EA"/>
    <w:rsid w:val="00783C3F"/>
    <w:rsid w:val="00783E68"/>
    <w:rsid w:val="00783FC5"/>
    <w:rsid w:val="00783FC6"/>
    <w:rsid w:val="0078406A"/>
    <w:rsid w:val="00784105"/>
    <w:rsid w:val="00785045"/>
    <w:rsid w:val="0078512C"/>
    <w:rsid w:val="0078580B"/>
    <w:rsid w:val="0078589E"/>
    <w:rsid w:val="00785D09"/>
    <w:rsid w:val="00785D5D"/>
    <w:rsid w:val="00785E31"/>
    <w:rsid w:val="00785FBB"/>
    <w:rsid w:val="007861C3"/>
    <w:rsid w:val="007862D6"/>
    <w:rsid w:val="007872E6"/>
    <w:rsid w:val="00787399"/>
    <w:rsid w:val="00787A81"/>
    <w:rsid w:val="007902F6"/>
    <w:rsid w:val="00790B66"/>
    <w:rsid w:val="00791071"/>
    <w:rsid w:val="007911E1"/>
    <w:rsid w:val="0079158E"/>
    <w:rsid w:val="007916FE"/>
    <w:rsid w:val="00791A73"/>
    <w:rsid w:val="00791B6C"/>
    <w:rsid w:val="00791EE2"/>
    <w:rsid w:val="00791F78"/>
    <w:rsid w:val="00792025"/>
    <w:rsid w:val="00792DE0"/>
    <w:rsid w:val="007932A6"/>
    <w:rsid w:val="0079338B"/>
    <w:rsid w:val="0079362E"/>
    <w:rsid w:val="00793853"/>
    <w:rsid w:val="00793A26"/>
    <w:rsid w:val="00793BF7"/>
    <w:rsid w:val="00794111"/>
    <w:rsid w:val="00794D89"/>
    <w:rsid w:val="00794DA3"/>
    <w:rsid w:val="00794F87"/>
    <w:rsid w:val="00795065"/>
    <w:rsid w:val="0079577C"/>
    <w:rsid w:val="007959D9"/>
    <w:rsid w:val="00795BC9"/>
    <w:rsid w:val="007969C9"/>
    <w:rsid w:val="0079751E"/>
    <w:rsid w:val="00797A21"/>
    <w:rsid w:val="00797BBE"/>
    <w:rsid w:val="00797EF2"/>
    <w:rsid w:val="00797FC1"/>
    <w:rsid w:val="007A023F"/>
    <w:rsid w:val="007A05E0"/>
    <w:rsid w:val="007A222F"/>
    <w:rsid w:val="007A2540"/>
    <w:rsid w:val="007A315C"/>
    <w:rsid w:val="007A514C"/>
    <w:rsid w:val="007A5625"/>
    <w:rsid w:val="007A62F6"/>
    <w:rsid w:val="007A633A"/>
    <w:rsid w:val="007A65C2"/>
    <w:rsid w:val="007A6714"/>
    <w:rsid w:val="007A71A6"/>
    <w:rsid w:val="007A7959"/>
    <w:rsid w:val="007A7DB7"/>
    <w:rsid w:val="007B0379"/>
    <w:rsid w:val="007B07E9"/>
    <w:rsid w:val="007B0F7E"/>
    <w:rsid w:val="007B0FDE"/>
    <w:rsid w:val="007B169E"/>
    <w:rsid w:val="007B16CF"/>
    <w:rsid w:val="007B1A79"/>
    <w:rsid w:val="007B201D"/>
    <w:rsid w:val="007B2505"/>
    <w:rsid w:val="007B2EA0"/>
    <w:rsid w:val="007B30A8"/>
    <w:rsid w:val="007B30D7"/>
    <w:rsid w:val="007B3AD7"/>
    <w:rsid w:val="007B409F"/>
    <w:rsid w:val="007B4273"/>
    <w:rsid w:val="007B47B4"/>
    <w:rsid w:val="007B4A36"/>
    <w:rsid w:val="007B545B"/>
    <w:rsid w:val="007B5A34"/>
    <w:rsid w:val="007B5AB2"/>
    <w:rsid w:val="007B5F30"/>
    <w:rsid w:val="007B62FE"/>
    <w:rsid w:val="007B6BAC"/>
    <w:rsid w:val="007B6F97"/>
    <w:rsid w:val="007B73FE"/>
    <w:rsid w:val="007B7522"/>
    <w:rsid w:val="007B774A"/>
    <w:rsid w:val="007B7783"/>
    <w:rsid w:val="007B7910"/>
    <w:rsid w:val="007B7AF6"/>
    <w:rsid w:val="007B7EFF"/>
    <w:rsid w:val="007C021C"/>
    <w:rsid w:val="007C0A10"/>
    <w:rsid w:val="007C0AA9"/>
    <w:rsid w:val="007C0AE5"/>
    <w:rsid w:val="007C18E9"/>
    <w:rsid w:val="007C1C89"/>
    <w:rsid w:val="007C1CB3"/>
    <w:rsid w:val="007C1DEE"/>
    <w:rsid w:val="007C291C"/>
    <w:rsid w:val="007C2D7E"/>
    <w:rsid w:val="007C34BE"/>
    <w:rsid w:val="007C3B95"/>
    <w:rsid w:val="007C40BB"/>
    <w:rsid w:val="007C4373"/>
    <w:rsid w:val="007C4512"/>
    <w:rsid w:val="007C4C5B"/>
    <w:rsid w:val="007C4F1A"/>
    <w:rsid w:val="007C5113"/>
    <w:rsid w:val="007C6EC2"/>
    <w:rsid w:val="007C72B7"/>
    <w:rsid w:val="007C7899"/>
    <w:rsid w:val="007C7BBD"/>
    <w:rsid w:val="007C7EB9"/>
    <w:rsid w:val="007D0C6A"/>
    <w:rsid w:val="007D1003"/>
    <w:rsid w:val="007D1686"/>
    <w:rsid w:val="007D20EB"/>
    <w:rsid w:val="007D27BC"/>
    <w:rsid w:val="007D313A"/>
    <w:rsid w:val="007D374D"/>
    <w:rsid w:val="007D467D"/>
    <w:rsid w:val="007D46F4"/>
    <w:rsid w:val="007D4B1C"/>
    <w:rsid w:val="007D5419"/>
    <w:rsid w:val="007D5B67"/>
    <w:rsid w:val="007D5C3B"/>
    <w:rsid w:val="007D5DCF"/>
    <w:rsid w:val="007D5E20"/>
    <w:rsid w:val="007D6060"/>
    <w:rsid w:val="007D62BF"/>
    <w:rsid w:val="007D6CAE"/>
    <w:rsid w:val="007D7380"/>
    <w:rsid w:val="007D756B"/>
    <w:rsid w:val="007E06F3"/>
    <w:rsid w:val="007E1E23"/>
    <w:rsid w:val="007E21B2"/>
    <w:rsid w:val="007E22EB"/>
    <w:rsid w:val="007E22FC"/>
    <w:rsid w:val="007E2F12"/>
    <w:rsid w:val="007E3DA6"/>
    <w:rsid w:val="007E4454"/>
    <w:rsid w:val="007E4496"/>
    <w:rsid w:val="007E50DB"/>
    <w:rsid w:val="007E603B"/>
    <w:rsid w:val="007E6427"/>
    <w:rsid w:val="007E6713"/>
    <w:rsid w:val="007E78A8"/>
    <w:rsid w:val="007E78C8"/>
    <w:rsid w:val="007E7DE4"/>
    <w:rsid w:val="007F0FEE"/>
    <w:rsid w:val="007F1C78"/>
    <w:rsid w:val="007F1CAF"/>
    <w:rsid w:val="007F3361"/>
    <w:rsid w:val="007F36A8"/>
    <w:rsid w:val="007F37C2"/>
    <w:rsid w:val="007F3F47"/>
    <w:rsid w:val="007F5613"/>
    <w:rsid w:val="007F596D"/>
    <w:rsid w:val="007F5FA1"/>
    <w:rsid w:val="007F6D6F"/>
    <w:rsid w:val="007F6DE6"/>
    <w:rsid w:val="007F727B"/>
    <w:rsid w:val="007F781D"/>
    <w:rsid w:val="00800125"/>
    <w:rsid w:val="0080021F"/>
    <w:rsid w:val="008005CE"/>
    <w:rsid w:val="00800A35"/>
    <w:rsid w:val="00800CEE"/>
    <w:rsid w:val="00800E0C"/>
    <w:rsid w:val="008010EC"/>
    <w:rsid w:val="0080170E"/>
    <w:rsid w:val="0080188F"/>
    <w:rsid w:val="00801C52"/>
    <w:rsid w:val="00801E85"/>
    <w:rsid w:val="00802116"/>
    <w:rsid w:val="00802838"/>
    <w:rsid w:val="00804808"/>
    <w:rsid w:val="00804A43"/>
    <w:rsid w:val="00804CB0"/>
    <w:rsid w:val="00804FD4"/>
    <w:rsid w:val="00805129"/>
    <w:rsid w:val="00805327"/>
    <w:rsid w:val="0080564E"/>
    <w:rsid w:val="00805E20"/>
    <w:rsid w:val="008065F3"/>
    <w:rsid w:val="00806661"/>
    <w:rsid w:val="008066A2"/>
    <w:rsid w:val="008079BD"/>
    <w:rsid w:val="008104B3"/>
    <w:rsid w:val="008104F4"/>
    <w:rsid w:val="0081065F"/>
    <w:rsid w:val="0081076C"/>
    <w:rsid w:val="00810943"/>
    <w:rsid w:val="00810BFC"/>
    <w:rsid w:val="00810D5E"/>
    <w:rsid w:val="00810E48"/>
    <w:rsid w:val="00810F94"/>
    <w:rsid w:val="00811038"/>
    <w:rsid w:val="008111F1"/>
    <w:rsid w:val="00811243"/>
    <w:rsid w:val="008116B0"/>
    <w:rsid w:val="008118AE"/>
    <w:rsid w:val="008125AB"/>
    <w:rsid w:val="00812AA2"/>
    <w:rsid w:val="00812CFA"/>
    <w:rsid w:val="0081316B"/>
    <w:rsid w:val="008134CA"/>
    <w:rsid w:val="0081353C"/>
    <w:rsid w:val="00813976"/>
    <w:rsid w:val="00813C36"/>
    <w:rsid w:val="00813DDD"/>
    <w:rsid w:val="008149A5"/>
    <w:rsid w:val="00814B67"/>
    <w:rsid w:val="00814D29"/>
    <w:rsid w:val="008159C6"/>
    <w:rsid w:val="00816325"/>
    <w:rsid w:val="008165C8"/>
    <w:rsid w:val="008169F3"/>
    <w:rsid w:val="0081789C"/>
    <w:rsid w:val="008200AE"/>
    <w:rsid w:val="008201AC"/>
    <w:rsid w:val="00820D51"/>
    <w:rsid w:val="00821039"/>
    <w:rsid w:val="0082166D"/>
    <w:rsid w:val="00821E1E"/>
    <w:rsid w:val="00822092"/>
    <w:rsid w:val="0082245C"/>
    <w:rsid w:val="00822FC2"/>
    <w:rsid w:val="00823776"/>
    <w:rsid w:val="0082379F"/>
    <w:rsid w:val="00824BFE"/>
    <w:rsid w:val="008254E1"/>
    <w:rsid w:val="008255EC"/>
    <w:rsid w:val="00825B03"/>
    <w:rsid w:val="00825E25"/>
    <w:rsid w:val="00826397"/>
    <w:rsid w:val="00826512"/>
    <w:rsid w:val="00826A63"/>
    <w:rsid w:val="00826BCE"/>
    <w:rsid w:val="008271E6"/>
    <w:rsid w:val="00827529"/>
    <w:rsid w:val="008275C9"/>
    <w:rsid w:val="00827712"/>
    <w:rsid w:val="00827B7D"/>
    <w:rsid w:val="00827C46"/>
    <w:rsid w:val="008306D7"/>
    <w:rsid w:val="00830ADA"/>
    <w:rsid w:val="00830D27"/>
    <w:rsid w:val="00831490"/>
    <w:rsid w:val="008317CC"/>
    <w:rsid w:val="008319F1"/>
    <w:rsid w:val="0083217A"/>
    <w:rsid w:val="00832AE1"/>
    <w:rsid w:val="00832C8A"/>
    <w:rsid w:val="008330EE"/>
    <w:rsid w:val="008337AA"/>
    <w:rsid w:val="00833A35"/>
    <w:rsid w:val="00833E44"/>
    <w:rsid w:val="00834434"/>
    <w:rsid w:val="00834669"/>
    <w:rsid w:val="00834762"/>
    <w:rsid w:val="00835230"/>
    <w:rsid w:val="008352F6"/>
    <w:rsid w:val="0083555D"/>
    <w:rsid w:val="00835E4A"/>
    <w:rsid w:val="008361F6"/>
    <w:rsid w:val="00836257"/>
    <w:rsid w:val="00836330"/>
    <w:rsid w:val="0083660D"/>
    <w:rsid w:val="00836833"/>
    <w:rsid w:val="0083686A"/>
    <w:rsid w:val="00836A34"/>
    <w:rsid w:val="00836FCD"/>
    <w:rsid w:val="00837367"/>
    <w:rsid w:val="008375DD"/>
    <w:rsid w:val="00837BD0"/>
    <w:rsid w:val="00837D99"/>
    <w:rsid w:val="00840846"/>
    <w:rsid w:val="008408D0"/>
    <w:rsid w:val="00840F28"/>
    <w:rsid w:val="00841012"/>
    <w:rsid w:val="00841294"/>
    <w:rsid w:val="00841F1A"/>
    <w:rsid w:val="0084219A"/>
    <w:rsid w:val="008427AF"/>
    <w:rsid w:val="0084324C"/>
    <w:rsid w:val="0084395E"/>
    <w:rsid w:val="00844AB8"/>
    <w:rsid w:val="00844BF0"/>
    <w:rsid w:val="00844EFE"/>
    <w:rsid w:val="008458BF"/>
    <w:rsid w:val="0084602C"/>
    <w:rsid w:val="008466D4"/>
    <w:rsid w:val="008469AD"/>
    <w:rsid w:val="008469B4"/>
    <w:rsid w:val="00847332"/>
    <w:rsid w:val="008474AA"/>
    <w:rsid w:val="008476FA"/>
    <w:rsid w:val="00847762"/>
    <w:rsid w:val="00847981"/>
    <w:rsid w:val="00847B3B"/>
    <w:rsid w:val="00847DCA"/>
    <w:rsid w:val="008508D5"/>
    <w:rsid w:val="00851150"/>
    <w:rsid w:val="00851B1C"/>
    <w:rsid w:val="00851B1F"/>
    <w:rsid w:val="00852106"/>
    <w:rsid w:val="008525BC"/>
    <w:rsid w:val="00852B90"/>
    <w:rsid w:val="00852E79"/>
    <w:rsid w:val="00853669"/>
    <w:rsid w:val="008540B4"/>
    <w:rsid w:val="008543CD"/>
    <w:rsid w:val="00854B61"/>
    <w:rsid w:val="0085513F"/>
    <w:rsid w:val="00855811"/>
    <w:rsid w:val="008569B8"/>
    <w:rsid w:val="00856CA0"/>
    <w:rsid w:val="00856F43"/>
    <w:rsid w:val="00856F4C"/>
    <w:rsid w:val="00857373"/>
    <w:rsid w:val="00857377"/>
    <w:rsid w:val="008575B1"/>
    <w:rsid w:val="00857AC7"/>
    <w:rsid w:val="00857D96"/>
    <w:rsid w:val="00857FBD"/>
    <w:rsid w:val="00860052"/>
    <w:rsid w:val="008603A6"/>
    <w:rsid w:val="008607CB"/>
    <w:rsid w:val="00860926"/>
    <w:rsid w:val="008614FB"/>
    <w:rsid w:val="00861D50"/>
    <w:rsid w:val="008634FA"/>
    <w:rsid w:val="00863EF7"/>
    <w:rsid w:val="0086405C"/>
    <w:rsid w:val="00864519"/>
    <w:rsid w:val="00864694"/>
    <w:rsid w:val="00864E82"/>
    <w:rsid w:val="008654B1"/>
    <w:rsid w:val="008662A2"/>
    <w:rsid w:val="008666B6"/>
    <w:rsid w:val="0086670E"/>
    <w:rsid w:val="008667BC"/>
    <w:rsid w:val="00866EBD"/>
    <w:rsid w:val="00867B5E"/>
    <w:rsid w:val="008701C1"/>
    <w:rsid w:val="008709DD"/>
    <w:rsid w:val="00870C42"/>
    <w:rsid w:val="00871243"/>
    <w:rsid w:val="00871D71"/>
    <w:rsid w:val="00871E78"/>
    <w:rsid w:val="008720AD"/>
    <w:rsid w:val="008723B6"/>
    <w:rsid w:val="0087263F"/>
    <w:rsid w:val="00872EB3"/>
    <w:rsid w:val="00872F25"/>
    <w:rsid w:val="00873741"/>
    <w:rsid w:val="00873AF7"/>
    <w:rsid w:val="00874563"/>
    <w:rsid w:val="00874E94"/>
    <w:rsid w:val="008755C7"/>
    <w:rsid w:val="008758B7"/>
    <w:rsid w:val="0087594B"/>
    <w:rsid w:val="00876687"/>
    <w:rsid w:val="008766EA"/>
    <w:rsid w:val="0087695E"/>
    <w:rsid w:val="00876CD3"/>
    <w:rsid w:val="00876FCF"/>
    <w:rsid w:val="008774DA"/>
    <w:rsid w:val="00877598"/>
    <w:rsid w:val="00877652"/>
    <w:rsid w:val="00877B92"/>
    <w:rsid w:val="00877E7C"/>
    <w:rsid w:val="00877EBC"/>
    <w:rsid w:val="00880045"/>
    <w:rsid w:val="00880449"/>
    <w:rsid w:val="008806CA"/>
    <w:rsid w:val="00880C4A"/>
    <w:rsid w:val="00880CBA"/>
    <w:rsid w:val="008811CD"/>
    <w:rsid w:val="008813D8"/>
    <w:rsid w:val="00881427"/>
    <w:rsid w:val="00881657"/>
    <w:rsid w:val="00881682"/>
    <w:rsid w:val="00881CAF"/>
    <w:rsid w:val="00881CD1"/>
    <w:rsid w:val="00881D58"/>
    <w:rsid w:val="00881E72"/>
    <w:rsid w:val="0088236D"/>
    <w:rsid w:val="00883813"/>
    <w:rsid w:val="00884410"/>
    <w:rsid w:val="0088452A"/>
    <w:rsid w:val="008847E6"/>
    <w:rsid w:val="008855D8"/>
    <w:rsid w:val="00885966"/>
    <w:rsid w:val="008860CC"/>
    <w:rsid w:val="00886628"/>
    <w:rsid w:val="0088697E"/>
    <w:rsid w:val="008869C5"/>
    <w:rsid w:val="00886C57"/>
    <w:rsid w:val="008879CC"/>
    <w:rsid w:val="008901C1"/>
    <w:rsid w:val="00890C6E"/>
    <w:rsid w:val="00891705"/>
    <w:rsid w:val="00891908"/>
    <w:rsid w:val="00891C6C"/>
    <w:rsid w:val="00892F4C"/>
    <w:rsid w:val="0089301B"/>
    <w:rsid w:val="008934BD"/>
    <w:rsid w:val="00893815"/>
    <w:rsid w:val="008939F9"/>
    <w:rsid w:val="00893E65"/>
    <w:rsid w:val="008948EC"/>
    <w:rsid w:val="00895030"/>
    <w:rsid w:val="00895C76"/>
    <w:rsid w:val="00896ED6"/>
    <w:rsid w:val="008972CF"/>
    <w:rsid w:val="008976E4"/>
    <w:rsid w:val="00897C99"/>
    <w:rsid w:val="008A0FC5"/>
    <w:rsid w:val="008A1E1D"/>
    <w:rsid w:val="008A2171"/>
    <w:rsid w:val="008A21A2"/>
    <w:rsid w:val="008A24AF"/>
    <w:rsid w:val="008A2A9C"/>
    <w:rsid w:val="008A3058"/>
    <w:rsid w:val="008A3117"/>
    <w:rsid w:val="008A3D65"/>
    <w:rsid w:val="008A4190"/>
    <w:rsid w:val="008A47D9"/>
    <w:rsid w:val="008A4E93"/>
    <w:rsid w:val="008A4FAC"/>
    <w:rsid w:val="008A5C0C"/>
    <w:rsid w:val="008A6489"/>
    <w:rsid w:val="008A65FE"/>
    <w:rsid w:val="008A674A"/>
    <w:rsid w:val="008A6855"/>
    <w:rsid w:val="008A7673"/>
    <w:rsid w:val="008B0658"/>
    <w:rsid w:val="008B083B"/>
    <w:rsid w:val="008B0864"/>
    <w:rsid w:val="008B08B1"/>
    <w:rsid w:val="008B0BF7"/>
    <w:rsid w:val="008B0D1B"/>
    <w:rsid w:val="008B0D65"/>
    <w:rsid w:val="008B0F8D"/>
    <w:rsid w:val="008B1BD8"/>
    <w:rsid w:val="008B27D0"/>
    <w:rsid w:val="008B2A9E"/>
    <w:rsid w:val="008B2D45"/>
    <w:rsid w:val="008B34ED"/>
    <w:rsid w:val="008B36EF"/>
    <w:rsid w:val="008B38F4"/>
    <w:rsid w:val="008B3E8A"/>
    <w:rsid w:val="008B42E7"/>
    <w:rsid w:val="008B4568"/>
    <w:rsid w:val="008B457E"/>
    <w:rsid w:val="008B4933"/>
    <w:rsid w:val="008B4BD8"/>
    <w:rsid w:val="008B4F91"/>
    <w:rsid w:val="008B6205"/>
    <w:rsid w:val="008B6B4A"/>
    <w:rsid w:val="008B72B2"/>
    <w:rsid w:val="008B755C"/>
    <w:rsid w:val="008B7C10"/>
    <w:rsid w:val="008B7DBF"/>
    <w:rsid w:val="008C0F98"/>
    <w:rsid w:val="008C11C2"/>
    <w:rsid w:val="008C11F0"/>
    <w:rsid w:val="008C1335"/>
    <w:rsid w:val="008C1593"/>
    <w:rsid w:val="008C1A5E"/>
    <w:rsid w:val="008C2581"/>
    <w:rsid w:val="008C2C4F"/>
    <w:rsid w:val="008C33A0"/>
    <w:rsid w:val="008C353C"/>
    <w:rsid w:val="008C35CA"/>
    <w:rsid w:val="008C3854"/>
    <w:rsid w:val="008C390A"/>
    <w:rsid w:val="008C44AE"/>
    <w:rsid w:val="008C4A78"/>
    <w:rsid w:val="008C5100"/>
    <w:rsid w:val="008C52FD"/>
    <w:rsid w:val="008C55A2"/>
    <w:rsid w:val="008C55F5"/>
    <w:rsid w:val="008C59FE"/>
    <w:rsid w:val="008C62F2"/>
    <w:rsid w:val="008C6822"/>
    <w:rsid w:val="008C6B65"/>
    <w:rsid w:val="008C6D75"/>
    <w:rsid w:val="008C6E05"/>
    <w:rsid w:val="008C6F92"/>
    <w:rsid w:val="008C7378"/>
    <w:rsid w:val="008C753C"/>
    <w:rsid w:val="008C769C"/>
    <w:rsid w:val="008C7A7C"/>
    <w:rsid w:val="008C7E04"/>
    <w:rsid w:val="008C7E1E"/>
    <w:rsid w:val="008D0A35"/>
    <w:rsid w:val="008D0B0A"/>
    <w:rsid w:val="008D12C8"/>
    <w:rsid w:val="008D1624"/>
    <w:rsid w:val="008D1649"/>
    <w:rsid w:val="008D1770"/>
    <w:rsid w:val="008D19CE"/>
    <w:rsid w:val="008D1B02"/>
    <w:rsid w:val="008D1B0F"/>
    <w:rsid w:val="008D1CAC"/>
    <w:rsid w:val="008D21C1"/>
    <w:rsid w:val="008D23E5"/>
    <w:rsid w:val="008D32D1"/>
    <w:rsid w:val="008D35FD"/>
    <w:rsid w:val="008D3F6B"/>
    <w:rsid w:val="008D3FFF"/>
    <w:rsid w:val="008D4022"/>
    <w:rsid w:val="008D55C1"/>
    <w:rsid w:val="008D561E"/>
    <w:rsid w:val="008D59DD"/>
    <w:rsid w:val="008D60FC"/>
    <w:rsid w:val="008D617A"/>
    <w:rsid w:val="008D63E3"/>
    <w:rsid w:val="008D69E7"/>
    <w:rsid w:val="008D6A28"/>
    <w:rsid w:val="008D6CB1"/>
    <w:rsid w:val="008D6E65"/>
    <w:rsid w:val="008D6F72"/>
    <w:rsid w:val="008D71D4"/>
    <w:rsid w:val="008D79AC"/>
    <w:rsid w:val="008D7A2F"/>
    <w:rsid w:val="008E053B"/>
    <w:rsid w:val="008E0D42"/>
    <w:rsid w:val="008E10AA"/>
    <w:rsid w:val="008E14F2"/>
    <w:rsid w:val="008E1850"/>
    <w:rsid w:val="008E18FC"/>
    <w:rsid w:val="008E1B6E"/>
    <w:rsid w:val="008E1DF6"/>
    <w:rsid w:val="008E21D1"/>
    <w:rsid w:val="008E258A"/>
    <w:rsid w:val="008E2D8C"/>
    <w:rsid w:val="008E33A4"/>
    <w:rsid w:val="008E4D61"/>
    <w:rsid w:val="008E4E34"/>
    <w:rsid w:val="008E4FD2"/>
    <w:rsid w:val="008E5640"/>
    <w:rsid w:val="008E5AC6"/>
    <w:rsid w:val="008E5E49"/>
    <w:rsid w:val="008E68BD"/>
    <w:rsid w:val="008E6BEF"/>
    <w:rsid w:val="008E7145"/>
    <w:rsid w:val="008F0448"/>
    <w:rsid w:val="008F069D"/>
    <w:rsid w:val="008F0B4B"/>
    <w:rsid w:val="008F12C6"/>
    <w:rsid w:val="008F145F"/>
    <w:rsid w:val="008F16F3"/>
    <w:rsid w:val="008F1B1B"/>
    <w:rsid w:val="008F1CA9"/>
    <w:rsid w:val="008F30BF"/>
    <w:rsid w:val="008F3D22"/>
    <w:rsid w:val="008F4152"/>
    <w:rsid w:val="008F420C"/>
    <w:rsid w:val="008F4414"/>
    <w:rsid w:val="008F4857"/>
    <w:rsid w:val="008F4BA2"/>
    <w:rsid w:val="008F4DC0"/>
    <w:rsid w:val="008F51B7"/>
    <w:rsid w:val="008F6275"/>
    <w:rsid w:val="008F65CC"/>
    <w:rsid w:val="008F6BA8"/>
    <w:rsid w:val="008F7754"/>
    <w:rsid w:val="008F7B73"/>
    <w:rsid w:val="00900184"/>
    <w:rsid w:val="009004A9"/>
    <w:rsid w:val="0090056B"/>
    <w:rsid w:val="009013E7"/>
    <w:rsid w:val="009015D4"/>
    <w:rsid w:val="0090180C"/>
    <w:rsid w:val="00901F9F"/>
    <w:rsid w:val="00902437"/>
    <w:rsid w:val="00902559"/>
    <w:rsid w:val="00902DC0"/>
    <w:rsid w:val="009033CB"/>
    <w:rsid w:val="009034B1"/>
    <w:rsid w:val="00903718"/>
    <w:rsid w:val="009040EF"/>
    <w:rsid w:val="009046F9"/>
    <w:rsid w:val="00905808"/>
    <w:rsid w:val="009059B4"/>
    <w:rsid w:val="009059DD"/>
    <w:rsid w:val="00905A8B"/>
    <w:rsid w:val="00905DE0"/>
    <w:rsid w:val="009062EB"/>
    <w:rsid w:val="00906F03"/>
    <w:rsid w:val="009074A1"/>
    <w:rsid w:val="00907C8A"/>
    <w:rsid w:val="00907FAB"/>
    <w:rsid w:val="009101FC"/>
    <w:rsid w:val="00910226"/>
    <w:rsid w:val="00910230"/>
    <w:rsid w:val="00910325"/>
    <w:rsid w:val="00911128"/>
    <w:rsid w:val="00911470"/>
    <w:rsid w:val="00911576"/>
    <w:rsid w:val="00911FAE"/>
    <w:rsid w:val="009121D1"/>
    <w:rsid w:val="009127EF"/>
    <w:rsid w:val="00912DB5"/>
    <w:rsid w:val="00912E90"/>
    <w:rsid w:val="009130B5"/>
    <w:rsid w:val="0091398A"/>
    <w:rsid w:val="00914312"/>
    <w:rsid w:val="00914360"/>
    <w:rsid w:val="00914364"/>
    <w:rsid w:val="00914A13"/>
    <w:rsid w:val="00914F82"/>
    <w:rsid w:val="009156DB"/>
    <w:rsid w:val="00915D9B"/>
    <w:rsid w:val="00916A39"/>
    <w:rsid w:val="009175F5"/>
    <w:rsid w:val="0091767F"/>
    <w:rsid w:val="00917696"/>
    <w:rsid w:val="00917BF7"/>
    <w:rsid w:val="00917EDD"/>
    <w:rsid w:val="009208E7"/>
    <w:rsid w:val="009209C1"/>
    <w:rsid w:val="009209E0"/>
    <w:rsid w:val="00920B12"/>
    <w:rsid w:val="0092131E"/>
    <w:rsid w:val="00921580"/>
    <w:rsid w:val="009215E7"/>
    <w:rsid w:val="00921876"/>
    <w:rsid w:val="00921CA7"/>
    <w:rsid w:val="00921CD3"/>
    <w:rsid w:val="00921DD4"/>
    <w:rsid w:val="009221B8"/>
    <w:rsid w:val="0092319C"/>
    <w:rsid w:val="0092352F"/>
    <w:rsid w:val="009236D8"/>
    <w:rsid w:val="0092389D"/>
    <w:rsid w:val="00923B0B"/>
    <w:rsid w:val="0092452B"/>
    <w:rsid w:val="0092486E"/>
    <w:rsid w:val="00924BB7"/>
    <w:rsid w:val="0092515E"/>
    <w:rsid w:val="00925CE4"/>
    <w:rsid w:val="00925F8F"/>
    <w:rsid w:val="009263D7"/>
    <w:rsid w:val="00926B81"/>
    <w:rsid w:val="009271F3"/>
    <w:rsid w:val="0093022F"/>
    <w:rsid w:val="00930349"/>
    <w:rsid w:val="00930E04"/>
    <w:rsid w:val="00930EF3"/>
    <w:rsid w:val="0093125B"/>
    <w:rsid w:val="00931421"/>
    <w:rsid w:val="00931D20"/>
    <w:rsid w:val="0093205F"/>
    <w:rsid w:val="009324AD"/>
    <w:rsid w:val="0093272D"/>
    <w:rsid w:val="0093275E"/>
    <w:rsid w:val="00932975"/>
    <w:rsid w:val="009332F8"/>
    <w:rsid w:val="009334DA"/>
    <w:rsid w:val="00933EA0"/>
    <w:rsid w:val="009342F2"/>
    <w:rsid w:val="009344CC"/>
    <w:rsid w:val="00934907"/>
    <w:rsid w:val="00934DD1"/>
    <w:rsid w:val="00934DEE"/>
    <w:rsid w:val="0093533A"/>
    <w:rsid w:val="009357B9"/>
    <w:rsid w:val="00935897"/>
    <w:rsid w:val="00935A35"/>
    <w:rsid w:val="00935ABC"/>
    <w:rsid w:val="00936055"/>
    <w:rsid w:val="009363A0"/>
    <w:rsid w:val="009368B7"/>
    <w:rsid w:val="009369AA"/>
    <w:rsid w:val="00937ADD"/>
    <w:rsid w:val="00937FC0"/>
    <w:rsid w:val="009403EA"/>
    <w:rsid w:val="009408E0"/>
    <w:rsid w:val="00940A99"/>
    <w:rsid w:val="00941CC8"/>
    <w:rsid w:val="009420CE"/>
    <w:rsid w:val="00942765"/>
    <w:rsid w:val="00942889"/>
    <w:rsid w:val="00942C16"/>
    <w:rsid w:val="00942FB7"/>
    <w:rsid w:val="00943278"/>
    <w:rsid w:val="0094409B"/>
    <w:rsid w:val="00944316"/>
    <w:rsid w:val="00944958"/>
    <w:rsid w:val="00944961"/>
    <w:rsid w:val="009451C4"/>
    <w:rsid w:val="00945306"/>
    <w:rsid w:val="00945552"/>
    <w:rsid w:val="00945803"/>
    <w:rsid w:val="009458CA"/>
    <w:rsid w:val="00945A36"/>
    <w:rsid w:val="00946106"/>
    <w:rsid w:val="0094616B"/>
    <w:rsid w:val="00946D79"/>
    <w:rsid w:val="00947363"/>
    <w:rsid w:val="0094738F"/>
    <w:rsid w:val="00947994"/>
    <w:rsid w:val="00947A24"/>
    <w:rsid w:val="00950195"/>
    <w:rsid w:val="00950261"/>
    <w:rsid w:val="0095079C"/>
    <w:rsid w:val="00950DAD"/>
    <w:rsid w:val="00950FDA"/>
    <w:rsid w:val="009514E5"/>
    <w:rsid w:val="009516F1"/>
    <w:rsid w:val="00952A78"/>
    <w:rsid w:val="00952F0B"/>
    <w:rsid w:val="00953111"/>
    <w:rsid w:val="00953555"/>
    <w:rsid w:val="00953723"/>
    <w:rsid w:val="0095394E"/>
    <w:rsid w:val="009546C4"/>
    <w:rsid w:val="00954835"/>
    <w:rsid w:val="009554BB"/>
    <w:rsid w:val="00955793"/>
    <w:rsid w:val="00955BA3"/>
    <w:rsid w:val="0095603A"/>
    <w:rsid w:val="00956A9D"/>
    <w:rsid w:val="00956FED"/>
    <w:rsid w:val="00957119"/>
    <w:rsid w:val="00957296"/>
    <w:rsid w:val="00957300"/>
    <w:rsid w:val="00957392"/>
    <w:rsid w:val="009573AB"/>
    <w:rsid w:val="00957795"/>
    <w:rsid w:val="009601FA"/>
    <w:rsid w:val="009608C0"/>
    <w:rsid w:val="00960F73"/>
    <w:rsid w:val="00961324"/>
    <w:rsid w:val="00961CF2"/>
    <w:rsid w:val="009622B8"/>
    <w:rsid w:val="00962CEA"/>
    <w:rsid w:val="00962F11"/>
    <w:rsid w:val="009631E9"/>
    <w:rsid w:val="0096320D"/>
    <w:rsid w:val="00963521"/>
    <w:rsid w:val="00963920"/>
    <w:rsid w:val="00963B21"/>
    <w:rsid w:val="009640DB"/>
    <w:rsid w:val="009641B0"/>
    <w:rsid w:val="00964556"/>
    <w:rsid w:val="00964598"/>
    <w:rsid w:val="0096494A"/>
    <w:rsid w:val="00965368"/>
    <w:rsid w:val="00965370"/>
    <w:rsid w:val="00965472"/>
    <w:rsid w:val="00965638"/>
    <w:rsid w:val="00965654"/>
    <w:rsid w:val="00965DDA"/>
    <w:rsid w:val="0096670C"/>
    <w:rsid w:val="00966889"/>
    <w:rsid w:val="00967187"/>
    <w:rsid w:val="009704D5"/>
    <w:rsid w:val="009709E7"/>
    <w:rsid w:val="00971906"/>
    <w:rsid w:val="00971C65"/>
    <w:rsid w:val="0097229E"/>
    <w:rsid w:val="0097231B"/>
    <w:rsid w:val="00972419"/>
    <w:rsid w:val="009725E9"/>
    <w:rsid w:val="009727E1"/>
    <w:rsid w:val="00972859"/>
    <w:rsid w:val="00972DC3"/>
    <w:rsid w:val="00972FA8"/>
    <w:rsid w:val="00973403"/>
    <w:rsid w:val="00973584"/>
    <w:rsid w:val="0097391D"/>
    <w:rsid w:val="00973F71"/>
    <w:rsid w:val="00975059"/>
    <w:rsid w:val="00975136"/>
    <w:rsid w:val="0097545C"/>
    <w:rsid w:val="00975D00"/>
    <w:rsid w:val="00976C8A"/>
    <w:rsid w:val="00976D91"/>
    <w:rsid w:val="00976F2D"/>
    <w:rsid w:val="00977C67"/>
    <w:rsid w:val="00980207"/>
    <w:rsid w:val="00980B4D"/>
    <w:rsid w:val="00980E2B"/>
    <w:rsid w:val="00981764"/>
    <w:rsid w:val="00981FF4"/>
    <w:rsid w:val="009821B3"/>
    <w:rsid w:val="0098239D"/>
    <w:rsid w:val="0098377B"/>
    <w:rsid w:val="009839B5"/>
    <w:rsid w:val="00984071"/>
    <w:rsid w:val="00984174"/>
    <w:rsid w:val="009853F7"/>
    <w:rsid w:val="0098557D"/>
    <w:rsid w:val="009859FD"/>
    <w:rsid w:val="00985B8A"/>
    <w:rsid w:val="00986765"/>
    <w:rsid w:val="00986C58"/>
    <w:rsid w:val="00986F2E"/>
    <w:rsid w:val="00987C54"/>
    <w:rsid w:val="00987CA0"/>
    <w:rsid w:val="00987FD8"/>
    <w:rsid w:val="00990BE8"/>
    <w:rsid w:val="009911FF"/>
    <w:rsid w:val="00991428"/>
    <w:rsid w:val="00991929"/>
    <w:rsid w:val="00991BAB"/>
    <w:rsid w:val="00991EF7"/>
    <w:rsid w:val="009924F3"/>
    <w:rsid w:val="0099296B"/>
    <w:rsid w:val="00992AD9"/>
    <w:rsid w:val="0099368B"/>
    <w:rsid w:val="00993BBA"/>
    <w:rsid w:val="00994481"/>
    <w:rsid w:val="0099451B"/>
    <w:rsid w:val="0099456D"/>
    <w:rsid w:val="0099519D"/>
    <w:rsid w:val="00995499"/>
    <w:rsid w:val="00995630"/>
    <w:rsid w:val="009956F9"/>
    <w:rsid w:val="009967EA"/>
    <w:rsid w:val="00996964"/>
    <w:rsid w:val="00996984"/>
    <w:rsid w:val="00997573"/>
    <w:rsid w:val="0099768E"/>
    <w:rsid w:val="0099782F"/>
    <w:rsid w:val="009A0528"/>
    <w:rsid w:val="009A0B82"/>
    <w:rsid w:val="009A10CC"/>
    <w:rsid w:val="009A11A7"/>
    <w:rsid w:val="009A1257"/>
    <w:rsid w:val="009A1B40"/>
    <w:rsid w:val="009A24B7"/>
    <w:rsid w:val="009A24F6"/>
    <w:rsid w:val="009A299E"/>
    <w:rsid w:val="009A2ABF"/>
    <w:rsid w:val="009A2E8C"/>
    <w:rsid w:val="009A304E"/>
    <w:rsid w:val="009A31B0"/>
    <w:rsid w:val="009A4B08"/>
    <w:rsid w:val="009A4BCC"/>
    <w:rsid w:val="009A50B6"/>
    <w:rsid w:val="009A564F"/>
    <w:rsid w:val="009A572C"/>
    <w:rsid w:val="009A5989"/>
    <w:rsid w:val="009A5E43"/>
    <w:rsid w:val="009A5ED0"/>
    <w:rsid w:val="009A5FEB"/>
    <w:rsid w:val="009A6538"/>
    <w:rsid w:val="009A775E"/>
    <w:rsid w:val="009A7B86"/>
    <w:rsid w:val="009A7E4A"/>
    <w:rsid w:val="009B0574"/>
    <w:rsid w:val="009B1241"/>
    <w:rsid w:val="009B1BF3"/>
    <w:rsid w:val="009B1DBA"/>
    <w:rsid w:val="009B1E1F"/>
    <w:rsid w:val="009B2061"/>
    <w:rsid w:val="009B2454"/>
    <w:rsid w:val="009B275D"/>
    <w:rsid w:val="009B3158"/>
    <w:rsid w:val="009B32D8"/>
    <w:rsid w:val="009B3395"/>
    <w:rsid w:val="009B3791"/>
    <w:rsid w:val="009B3957"/>
    <w:rsid w:val="009B3CF4"/>
    <w:rsid w:val="009B3F5A"/>
    <w:rsid w:val="009B4255"/>
    <w:rsid w:val="009B43AD"/>
    <w:rsid w:val="009B4A9D"/>
    <w:rsid w:val="009B4EB1"/>
    <w:rsid w:val="009B5245"/>
    <w:rsid w:val="009B5718"/>
    <w:rsid w:val="009B5C03"/>
    <w:rsid w:val="009B5C0E"/>
    <w:rsid w:val="009B5CA3"/>
    <w:rsid w:val="009B620E"/>
    <w:rsid w:val="009B639B"/>
    <w:rsid w:val="009B7265"/>
    <w:rsid w:val="009B77E6"/>
    <w:rsid w:val="009B7D30"/>
    <w:rsid w:val="009C01A3"/>
    <w:rsid w:val="009C0249"/>
    <w:rsid w:val="009C1F97"/>
    <w:rsid w:val="009C276E"/>
    <w:rsid w:val="009C2891"/>
    <w:rsid w:val="009C2A90"/>
    <w:rsid w:val="009C2C60"/>
    <w:rsid w:val="009C3003"/>
    <w:rsid w:val="009C347E"/>
    <w:rsid w:val="009C3586"/>
    <w:rsid w:val="009C3A11"/>
    <w:rsid w:val="009C3BAB"/>
    <w:rsid w:val="009C3CD2"/>
    <w:rsid w:val="009C3ECD"/>
    <w:rsid w:val="009C4538"/>
    <w:rsid w:val="009C4543"/>
    <w:rsid w:val="009C4611"/>
    <w:rsid w:val="009C4615"/>
    <w:rsid w:val="009C51EC"/>
    <w:rsid w:val="009C5A7E"/>
    <w:rsid w:val="009C5EDD"/>
    <w:rsid w:val="009C6055"/>
    <w:rsid w:val="009C6F99"/>
    <w:rsid w:val="009C70FC"/>
    <w:rsid w:val="009C753B"/>
    <w:rsid w:val="009C76B5"/>
    <w:rsid w:val="009D0143"/>
    <w:rsid w:val="009D0778"/>
    <w:rsid w:val="009D107B"/>
    <w:rsid w:val="009D14EC"/>
    <w:rsid w:val="009D1B70"/>
    <w:rsid w:val="009D1BF1"/>
    <w:rsid w:val="009D2037"/>
    <w:rsid w:val="009D2150"/>
    <w:rsid w:val="009D32EF"/>
    <w:rsid w:val="009D3BE1"/>
    <w:rsid w:val="009D4543"/>
    <w:rsid w:val="009D4819"/>
    <w:rsid w:val="009D4D9B"/>
    <w:rsid w:val="009D4F8C"/>
    <w:rsid w:val="009D5380"/>
    <w:rsid w:val="009D64CA"/>
    <w:rsid w:val="009D7B16"/>
    <w:rsid w:val="009D7B7D"/>
    <w:rsid w:val="009D7D90"/>
    <w:rsid w:val="009E02FA"/>
    <w:rsid w:val="009E03DA"/>
    <w:rsid w:val="009E06AB"/>
    <w:rsid w:val="009E0808"/>
    <w:rsid w:val="009E08CE"/>
    <w:rsid w:val="009E0965"/>
    <w:rsid w:val="009E0BF7"/>
    <w:rsid w:val="009E0E4F"/>
    <w:rsid w:val="009E14F4"/>
    <w:rsid w:val="009E1674"/>
    <w:rsid w:val="009E1A3D"/>
    <w:rsid w:val="009E1F5A"/>
    <w:rsid w:val="009E2027"/>
    <w:rsid w:val="009E2E00"/>
    <w:rsid w:val="009E33CC"/>
    <w:rsid w:val="009E3B2B"/>
    <w:rsid w:val="009E3C01"/>
    <w:rsid w:val="009E3E07"/>
    <w:rsid w:val="009E467A"/>
    <w:rsid w:val="009E54D3"/>
    <w:rsid w:val="009E5D8D"/>
    <w:rsid w:val="009E644C"/>
    <w:rsid w:val="009E66D8"/>
    <w:rsid w:val="009E7C77"/>
    <w:rsid w:val="009E7FC1"/>
    <w:rsid w:val="009F0A51"/>
    <w:rsid w:val="009F110C"/>
    <w:rsid w:val="009F1B83"/>
    <w:rsid w:val="009F2D1F"/>
    <w:rsid w:val="009F3038"/>
    <w:rsid w:val="009F3631"/>
    <w:rsid w:val="009F38A3"/>
    <w:rsid w:val="009F3A4E"/>
    <w:rsid w:val="009F42EB"/>
    <w:rsid w:val="009F48C8"/>
    <w:rsid w:val="009F4D3A"/>
    <w:rsid w:val="009F5087"/>
    <w:rsid w:val="009F56E8"/>
    <w:rsid w:val="009F5A15"/>
    <w:rsid w:val="009F5E33"/>
    <w:rsid w:val="009F5FB9"/>
    <w:rsid w:val="009F6010"/>
    <w:rsid w:val="009F6133"/>
    <w:rsid w:val="009F6138"/>
    <w:rsid w:val="009F65D3"/>
    <w:rsid w:val="009F6810"/>
    <w:rsid w:val="009F69F6"/>
    <w:rsid w:val="009F6B0D"/>
    <w:rsid w:val="009F6B9A"/>
    <w:rsid w:val="009F6CF7"/>
    <w:rsid w:val="009F6FB6"/>
    <w:rsid w:val="009F7382"/>
    <w:rsid w:val="009F74FF"/>
    <w:rsid w:val="009F77A0"/>
    <w:rsid w:val="009F78DB"/>
    <w:rsid w:val="00A004CF"/>
    <w:rsid w:val="00A008A4"/>
    <w:rsid w:val="00A00DF9"/>
    <w:rsid w:val="00A01403"/>
    <w:rsid w:val="00A017C4"/>
    <w:rsid w:val="00A01EB1"/>
    <w:rsid w:val="00A02523"/>
    <w:rsid w:val="00A0274B"/>
    <w:rsid w:val="00A02E64"/>
    <w:rsid w:val="00A032B1"/>
    <w:rsid w:val="00A039B0"/>
    <w:rsid w:val="00A04073"/>
    <w:rsid w:val="00A04D10"/>
    <w:rsid w:val="00A05283"/>
    <w:rsid w:val="00A05329"/>
    <w:rsid w:val="00A058EE"/>
    <w:rsid w:val="00A06191"/>
    <w:rsid w:val="00A0625E"/>
    <w:rsid w:val="00A06291"/>
    <w:rsid w:val="00A062A3"/>
    <w:rsid w:val="00A0678E"/>
    <w:rsid w:val="00A068E2"/>
    <w:rsid w:val="00A06CFC"/>
    <w:rsid w:val="00A0731B"/>
    <w:rsid w:val="00A07604"/>
    <w:rsid w:val="00A07D6A"/>
    <w:rsid w:val="00A07DE1"/>
    <w:rsid w:val="00A07F47"/>
    <w:rsid w:val="00A1013B"/>
    <w:rsid w:val="00A1043A"/>
    <w:rsid w:val="00A10575"/>
    <w:rsid w:val="00A10BD4"/>
    <w:rsid w:val="00A118A0"/>
    <w:rsid w:val="00A11A2C"/>
    <w:rsid w:val="00A11D10"/>
    <w:rsid w:val="00A122D8"/>
    <w:rsid w:val="00A13C18"/>
    <w:rsid w:val="00A1434E"/>
    <w:rsid w:val="00A144F9"/>
    <w:rsid w:val="00A147A4"/>
    <w:rsid w:val="00A153C1"/>
    <w:rsid w:val="00A15FC2"/>
    <w:rsid w:val="00A16A54"/>
    <w:rsid w:val="00A16E95"/>
    <w:rsid w:val="00A16F83"/>
    <w:rsid w:val="00A170B0"/>
    <w:rsid w:val="00A17535"/>
    <w:rsid w:val="00A1783F"/>
    <w:rsid w:val="00A207E5"/>
    <w:rsid w:val="00A20994"/>
    <w:rsid w:val="00A209F6"/>
    <w:rsid w:val="00A20CA7"/>
    <w:rsid w:val="00A214DC"/>
    <w:rsid w:val="00A21536"/>
    <w:rsid w:val="00A217A6"/>
    <w:rsid w:val="00A21AB5"/>
    <w:rsid w:val="00A21CA7"/>
    <w:rsid w:val="00A21D0C"/>
    <w:rsid w:val="00A2222A"/>
    <w:rsid w:val="00A22A82"/>
    <w:rsid w:val="00A23018"/>
    <w:rsid w:val="00A23623"/>
    <w:rsid w:val="00A23D86"/>
    <w:rsid w:val="00A2563E"/>
    <w:rsid w:val="00A25703"/>
    <w:rsid w:val="00A26886"/>
    <w:rsid w:val="00A2730C"/>
    <w:rsid w:val="00A273DD"/>
    <w:rsid w:val="00A302A5"/>
    <w:rsid w:val="00A30A37"/>
    <w:rsid w:val="00A30E9A"/>
    <w:rsid w:val="00A311E6"/>
    <w:rsid w:val="00A31979"/>
    <w:rsid w:val="00A324FC"/>
    <w:rsid w:val="00A33981"/>
    <w:rsid w:val="00A33BB7"/>
    <w:rsid w:val="00A33FF1"/>
    <w:rsid w:val="00A34952"/>
    <w:rsid w:val="00A34EE1"/>
    <w:rsid w:val="00A3523B"/>
    <w:rsid w:val="00A35900"/>
    <w:rsid w:val="00A359DD"/>
    <w:rsid w:val="00A35A78"/>
    <w:rsid w:val="00A36428"/>
    <w:rsid w:val="00A364C5"/>
    <w:rsid w:val="00A368B4"/>
    <w:rsid w:val="00A370AC"/>
    <w:rsid w:val="00A37DA9"/>
    <w:rsid w:val="00A402AB"/>
    <w:rsid w:val="00A40900"/>
    <w:rsid w:val="00A40CC0"/>
    <w:rsid w:val="00A40F14"/>
    <w:rsid w:val="00A41181"/>
    <w:rsid w:val="00A41A15"/>
    <w:rsid w:val="00A41B3D"/>
    <w:rsid w:val="00A41C9E"/>
    <w:rsid w:val="00A41E8E"/>
    <w:rsid w:val="00A4207D"/>
    <w:rsid w:val="00A42294"/>
    <w:rsid w:val="00A42922"/>
    <w:rsid w:val="00A42C1C"/>
    <w:rsid w:val="00A43629"/>
    <w:rsid w:val="00A43B14"/>
    <w:rsid w:val="00A43C60"/>
    <w:rsid w:val="00A43E7C"/>
    <w:rsid w:val="00A4418F"/>
    <w:rsid w:val="00A4464F"/>
    <w:rsid w:val="00A44ED5"/>
    <w:rsid w:val="00A45EE7"/>
    <w:rsid w:val="00A45FC6"/>
    <w:rsid w:val="00A46177"/>
    <w:rsid w:val="00A4793F"/>
    <w:rsid w:val="00A47F7C"/>
    <w:rsid w:val="00A50179"/>
    <w:rsid w:val="00A50826"/>
    <w:rsid w:val="00A50BC9"/>
    <w:rsid w:val="00A50FE6"/>
    <w:rsid w:val="00A5181C"/>
    <w:rsid w:val="00A5198A"/>
    <w:rsid w:val="00A52FBA"/>
    <w:rsid w:val="00A53313"/>
    <w:rsid w:val="00A53337"/>
    <w:rsid w:val="00A5341D"/>
    <w:rsid w:val="00A540E5"/>
    <w:rsid w:val="00A55346"/>
    <w:rsid w:val="00A55B2F"/>
    <w:rsid w:val="00A5617D"/>
    <w:rsid w:val="00A564A2"/>
    <w:rsid w:val="00A56BB9"/>
    <w:rsid w:val="00A57A0C"/>
    <w:rsid w:val="00A57A3C"/>
    <w:rsid w:val="00A602AA"/>
    <w:rsid w:val="00A60677"/>
    <w:rsid w:val="00A60BAA"/>
    <w:rsid w:val="00A613B3"/>
    <w:rsid w:val="00A61737"/>
    <w:rsid w:val="00A61DCF"/>
    <w:rsid w:val="00A62444"/>
    <w:rsid w:val="00A62AF0"/>
    <w:rsid w:val="00A62DC2"/>
    <w:rsid w:val="00A62E60"/>
    <w:rsid w:val="00A62EE2"/>
    <w:rsid w:val="00A63760"/>
    <w:rsid w:val="00A6382A"/>
    <w:rsid w:val="00A63B4E"/>
    <w:rsid w:val="00A63F98"/>
    <w:rsid w:val="00A65321"/>
    <w:rsid w:val="00A653B3"/>
    <w:rsid w:val="00A6542E"/>
    <w:rsid w:val="00A65493"/>
    <w:rsid w:val="00A65E68"/>
    <w:rsid w:val="00A661E0"/>
    <w:rsid w:val="00A66487"/>
    <w:rsid w:val="00A665E6"/>
    <w:rsid w:val="00A6712A"/>
    <w:rsid w:val="00A675F6"/>
    <w:rsid w:val="00A678A3"/>
    <w:rsid w:val="00A678C2"/>
    <w:rsid w:val="00A67AA5"/>
    <w:rsid w:val="00A67CEB"/>
    <w:rsid w:val="00A7015A"/>
    <w:rsid w:val="00A70303"/>
    <w:rsid w:val="00A70398"/>
    <w:rsid w:val="00A708D4"/>
    <w:rsid w:val="00A70D73"/>
    <w:rsid w:val="00A70DB5"/>
    <w:rsid w:val="00A713D1"/>
    <w:rsid w:val="00A71483"/>
    <w:rsid w:val="00A71ABE"/>
    <w:rsid w:val="00A71CF4"/>
    <w:rsid w:val="00A71D62"/>
    <w:rsid w:val="00A71E29"/>
    <w:rsid w:val="00A71F1B"/>
    <w:rsid w:val="00A72ACD"/>
    <w:rsid w:val="00A730A7"/>
    <w:rsid w:val="00A734F1"/>
    <w:rsid w:val="00A7376E"/>
    <w:rsid w:val="00A7451F"/>
    <w:rsid w:val="00A7475E"/>
    <w:rsid w:val="00A74D9C"/>
    <w:rsid w:val="00A75092"/>
    <w:rsid w:val="00A75A17"/>
    <w:rsid w:val="00A75D8A"/>
    <w:rsid w:val="00A75F9F"/>
    <w:rsid w:val="00A76206"/>
    <w:rsid w:val="00A76471"/>
    <w:rsid w:val="00A770C4"/>
    <w:rsid w:val="00A77ACC"/>
    <w:rsid w:val="00A8033F"/>
    <w:rsid w:val="00A8038A"/>
    <w:rsid w:val="00A80CFF"/>
    <w:rsid w:val="00A81934"/>
    <w:rsid w:val="00A81D2B"/>
    <w:rsid w:val="00A81FF9"/>
    <w:rsid w:val="00A82B54"/>
    <w:rsid w:val="00A833D8"/>
    <w:rsid w:val="00A8369F"/>
    <w:rsid w:val="00A84352"/>
    <w:rsid w:val="00A84569"/>
    <w:rsid w:val="00A848CA"/>
    <w:rsid w:val="00A84EEF"/>
    <w:rsid w:val="00A85F9F"/>
    <w:rsid w:val="00A86A81"/>
    <w:rsid w:val="00A87048"/>
    <w:rsid w:val="00A9025A"/>
    <w:rsid w:val="00A90C34"/>
    <w:rsid w:val="00A90CD5"/>
    <w:rsid w:val="00A91452"/>
    <w:rsid w:val="00A91829"/>
    <w:rsid w:val="00A91EBD"/>
    <w:rsid w:val="00A92645"/>
    <w:rsid w:val="00A92A49"/>
    <w:rsid w:val="00A92CB9"/>
    <w:rsid w:val="00A92D03"/>
    <w:rsid w:val="00A93094"/>
    <w:rsid w:val="00A93251"/>
    <w:rsid w:val="00A932DC"/>
    <w:rsid w:val="00A9336F"/>
    <w:rsid w:val="00A9345F"/>
    <w:rsid w:val="00A934A3"/>
    <w:rsid w:val="00A94184"/>
    <w:rsid w:val="00A94733"/>
    <w:rsid w:val="00A9485E"/>
    <w:rsid w:val="00A94D49"/>
    <w:rsid w:val="00A94F18"/>
    <w:rsid w:val="00A94FF9"/>
    <w:rsid w:val="00A95206"/>
    <w:rsid w:val="00A95396"/>
    <w:rsid w:val="00A95470"/>
    <w:rsid w:val="00A954BB"/>
    <w:rsid w:val="00A95616"/>
    <w:rsid w:val="00A95890"/>
    <w:rsid w:val="00A96D7C"/>
    <w:rsid w:val="00A971BA"/>
    <w:rsid w:val="00A976E9"/>
    <w:rsid w:val="00A9770D"/>
    <w:rsid w:val="00A97A43"/>
    <w:rsid w:val="00A97BE0"/>
    <w:rsid w:val="00AA04C8"/>
    <w:rsid w:val="00AA04FF"/>
    <w:rsid w:val="00AA123D"/>
    <w:rsid w:val="00AA1249"/>
    <w:rsid w:val="00AA1763"/>
    <w:rsid w:val="00AA17C8"/>
    <w:rsid w:val="00AA189B"/>
    <w:rsid w:val="00AA19B4"/>
    <w:rsid w:val="00AA1FBF"/>
    <w:rsid w:val="00AA2044"/>
    <w:rsid w:val="00AA2B9C"/>
    <w:rsid w:val="00AA31D5"/>
    <w:rsid w:val="00AA383E"/>
    <w:rsid w:val="00AA40A1"/>
    <w:rsid w:val="00AA46C1"/>
    <w:rsid w:val="00AA4A84"/>
    <w:rsid w:val="00AA4A85"/>
    <w:rsid w:val="00AA4A93"/>
    <w:rsid w:val="00AA4AD1"/>
    <w:rsid w:val="00AA4B8F"/>
    <w:rsid w:val="00AA4C82"/>
    <w:rsid w:val="00AA5281"/>
    <w:rsid w:val="00AA5283"/>
    <w:rsid w:val="00AA548D"/>
    <w:rsid w:val="00AA552D"/>
    <w:rsid w:val="00AA57F2"/>
    <w:rsid w:val="00AA5CDB"/>
    <w:rsid w:val="00AA6610"/>
    <w:rsid w:val="00AA69B2"/>
    <w:rsid w:val="00AA6E48"/>
    <w:rsid w:val="00AA74E3"/>
    <w:rsid w:val="00AB0242"/>
    <w:rsid w:val="00AB02DE"/>
    <w:rsid w:val="00AB047E"/>
    <w:rsid w:val="00AB053C"/>
    <w:rsid w:val="00AB079C"/>
    <w:rsid w:val="00AB090B"/>
    <w:rsid w:val="00AB1029"/>
    <w:rsid w:val="00AB10B0"/>
    <w:rsid w:val="00AB11E5"/>
    <w:rsid w:val="00AB1567"/>
    <w:rsid w:val="00AB15F7"/>
    <w:rsid w:val="00AB1939"/>
    <w:rsid w:val="00AB1A48"/>
    <w:rsid w:val="00AB1DAA"/>
    <w:rsid w:val="00AB21C3"/>
    <w:rsid w:val="00AB3556"/>
    <w:rsid w:val="00AB3645"/>
    <w:rsid w:val="00AB3994"/>
    <w:rsid w:val="00AB496C"/>
    <w:rsid w:val="00AB4DA3"/>
    <w:rsid w:val="00AB4EBC"/>
    <w:rsid w:val="00AB524E"/>
    <w:rsid w:val="00AB5263"/>
    <w:rsid w:val="00AB5278"/>
    <w:rsid w:val="00AB5339"/>
    <w:rsid w:val="00AB53BB"/>
    <w:rsid w:val="00AB54C7"/>
    <w:rsid w:val="00AB54ED"/>
    <w:rsid w:val="00AB6213"/>
    <w:rsid w:val="00AB62B8"/>
    <w:rsid w:val="00AB63E5"/>
    <w:rsid w:val="00AB641F"/>
    <w:rsid w:val="00AB659D"/>
    <w:rsid w:val="00AB6DE1"/>
    <w:rsid w:val="00AB7070"/>
    <w:rsid w:val="00AB717A"/>
    <w:rsid w:val="00AB720A"/>
    <w:rsid w:val="00AB75CE"/>
    <w:rsid w:val="00AC0242"/>
    <w:rsid w:val="00AC0DAF"/>
    <w:rsid w:val="00AC111F"/>
    <w:rsid w:val="00AC12DB"/>
    <w:rsid w:val="00AC1555"/>
    <w:rsid w:val="00AC1947"/>
    <w:rsid w:val="00AC1CEC"/>
    <w:rsid w:val="00AC1E47"/>
    <w:rsid w:val="00AC24AF"/>
    <w:rsid w:val="00AC2586"/>
    <w:rsid w:val="00AC2617"/>
    <w:rsid w:val="00AC2680"/>
    <w:rsid w:val="00AC2DCC"/>
    <w:rsid w:val="00AC350C"/>
    <w:rsid w:val="00AC3A4F"/>
    <w:rsid w:val="00AC3BC4"/>
    <w:rsid w:val="00AC3D48"/>
    <w:rsid w:val="00AC3DF4"/>
    <w:rsid w:val="00AC43A4"/>
    <w:rsid w:val="00AC4CF5"/>
    <w:rsid w:val="00AC4F3D"/>
    <w:rsid w:val="00AC5B09"/>
    <w:rsid w:val="00AC6347"/>
    <w:rsid w:val="00AC6773"/>
    <w:rsid w:val="00AC6CFD"/>
    <w:rsid w:val="00AC6F7B"/>
    <w:rsid w:val="00AD006E"/>
    <w:rsid w:val="00AD0B51"/>
    <w:rsid w:val="00AD1078"/>
    <w:rsid w:val="00AD1119"/>
    <w:rsid w:val="00AD1181"/>
    <w:rsid w:val="00AD13D3"/>
    <w:rsid w:val="00AD14FC"/>
    <w:rsid w:val="00AD1846"/>
    <w:rsid w:val="00AD1985"/>
    <w:rsid w:val="00AD20E1"/>
    <w:rsid w:val="00AD22F3"/>
    <w:rsid w:val="00AD28BC"/>
    <w:rsid w:val="00AD2EB5"/>
    <w:rsid w:val="00AD3799"/>
    <w:rsid w:val="00AD3A43"/>
    <w:rsid w:val="00AD3CFA"/>
    <w:rsid w:val="00AD48C0"/>
    <w:rsid w:val="00AD5163"/>
    <w:rsid w:val="00AD54A3"/>
    <w:rsid w:val="00AD589B"/>
    <w:rsid w:val="00AD5BD4"/>
    <w:rsid w:val="00AD6224"/>
    <w:rsid w:val="00AD63A8"/>
    <w:rsid w:val="00AD6693"/>
    <w:rsid w:val="00AD67B0"/>
    <w:rsid w:val="00AD6C75"/>
    <w:rsid w:val="00AD6E5E"/>
    <w:rsid w:val="00AD73A5"/>
    <w:rsid w:val="00AD7673"/>
    <w:rsid w:val="00AD7B0B"/>
    <w:rsid w:val="00AD7C16"/>
    <w:rsid w:val="00AE063D"/>
    <w:rsid w:val="00AE1822"/>
    <w:rsid w:val="00AE1CF7"/>
    <w:rsid w:val="00AE2329"/>
    <w:rsid w:val="00AE234C"/>
    <w:rsid w:val="00AE2935"/>
    <w:rsid w:val="00AE2A27"/>
    <w:rsid w:val="00AE2A80"/>
    <w:rsid w:val="00AE2ED9"/>
    <w:rsid w:val="00AE2F3F"/>
    <w:rsid w:val="00AE3C8A"/>
    <w:rsid w:val="00AE46CE"/>
    <w:rsid w:val="00AE46E3"/>
    <w:rsid w:val="00AE5006"/>
    <w:rsid w:val="00AE5292"/>
    <w:rsid w:val="00AE553A"/>
    <w:rsid w:val="00AE5FB4"/>
    <w:rsid w:val="00AE61F2"/>
    <w:rsid w:val="00AE6A69"/>
    <w:rsid w:val="00AE71BE"/>
    <w:rsid w:val="00AE740F"/>
    <w:rsid w:val="00AE7487"/>
    <w:rsid w:val="00AE748E"/>
    <w:rsid w:val="00AE79AB"/>
    <w:rsid w:val="00AE7BFB"/>
    <w:rsid w:val="00AF0471"/>
    <w:rsid w:val="00AF08FA"/>
    <w:rsid w:val="00AF0A4E"/>
    <w:rsid w:val="00AF1557"/>
    <w:rsid w:val="00AF157D"/>
    <w:rsid w:val="00AF215F"/>
    <w:rsid w:val="00AF2497"/>
    <w:rsid w:val="00AF24A0"/>
    <w:rsid w:val="00AF2B0E"/>
    <w:rsid w:val="00AF300C"/>
    <w:rsid w:val="00AF329C"/>
    <w:rsid w:val="00AF3A89"/>
    <w:rsid w:val="00AF3BED"/>
    <w:rsid w:val="00AF3E4E"/>
    <w:rsid w:val="00AF41BF"/>
    <w:rsid w:val="00AF41EC"/>
    <w:rsid w:val="00AF49F4"/>
    <w:rsid w:val="00AF4FB9"/>
    <w:rsid w:val="00AF5418"/>
    <w:rsid w:val="00AF5CC2"/>
    <w:rsid w:val="00AF5FA0"/>
    <w:rsid w:val="00AF5FCF"/>
    <w:rsid w:val="00AF6AD6"/>
    <w:rsid w:val="00AF6F4B"/>
    <w:rsid w:val="00AF6FEE"/>
    <w:rsid w:val="00AF71BE"/>
    <w:rsid w:val="00AF7305"/>
    <w:rsid w:val="00AF7F0B"/>
    <w:rsid w:val="00AF7FC8"/>
    <w:rsid w:val="00B0060B"/>
    <w:rsid w:val="00B0063F"/>
    <w:rsid w:val="00B01C8C"/>
    <w:rsid w:val="00B03326"/>
    <w:rsid w:val="00B03411"/>
    <w:rsid w:val="00B03674"/>
    <w:rsid w:val="00B04708"/>
    <w:rsid w:val="00B0505A"/>
    <w:rsid w:val="00B05E30"/>
    <w:rsid w:val="00B06214"/>
    <w:rsid w:val="00B06366"/>
    <w:rsid w:val="00B0678D"/>
    <w:rsid w:val="00B06A5F"/>
    <w:rsid w:val="00B06E93"/>
    <w:rsid w:val="00B07181"/>
    <w:rsid w:val="00B076C3"/>
    <w:rsid w:val="00B11245"/>
    <w:rsid w:val="00B1148A"/>
    <w:rsid w:val="00B11D34"/>
    <w:rsid w:val="00B11E29"/>
    <w:rsid w:val="00B121BB"/>
    <w:rsid w:val="00B121E8"/>
    <w:rsid w:val="00B122AC"/>
    <w:rsid w:val="00B122D0"/>
    <w:rsid w:val="00B12877"/>
    <w:rsid w:val="00B12F81"/>
    <w:rsid w:val="00B132BA"/>
    <w:rsid w:val="00B134A8"/>
    <w:rsid w:val="00B13B1D"/>
    <w:rsid w:val="00B13CD4"/>
    <w:rsid w:val="00B13D79"/>
    <w:rsid w:val="00B1407D"/>
    <w:rsid w:val="00B1436F"/>
    <w:rsid w:val="00B143DF"/>
    <w:rsid w:val="00B151B3"/>
    <w:rsid w:val="00B154A0"/>
    <w:rsid w:val="00B164E7"/>
    <w:rsid w:val="00B165EF"/>
    <w:rsid w:val="00B16653"/>
    <w:rsid w:val="00B169C0"/>
    <w:rsid w:val="00B16C2B"/>
    <w:rsid w:val="00B16D24"/>
    <w:rsid w:val="00B16DFB"/>
    <w:rsid w:val="00B17EAA"/>
    <w:rsid w:val="00B2016A"/>
    <w:rsid w:val="00B204D3"/>
    <w:rsid w:val="00B20ED6"/>
    <w:rsid w:val="00B21A21"/>
    <w:rsid w:val="00B22667"/>
    <w:rsid w:val="00B22F82"/>
    <w:rsid w:val="00B22FBA"/>
    <w:rsid w:val="00B231B4"/>
    <w:rsid w:val="00B23A29"/>
    <w:rsid w:val="00B23DFF"/>
    <w:rsid w:val="00B24437"/>
    <w:rsid w:val="00B2452E"/>
    <w:rsid w:val="00B245F5"/>
    <w:rsid w:val="00B24B84"/>
    <w:rsid w:val="00B24FEE"/>
    <w:rsid w:val="00B25521"/>
    <w:rsid w:val="00B25F30"/>
    <w:rsid w:val="00B263D7"/>
    <w:rsid w:val="00B26520"/>
    <w:rsid w:val="00B26D52"/>
    <w:rsid w:val="00B26D73"/>
    <w:rsid w:val="00B270B6"/>
    <w:rsid w:val="00B271A6"/>
    <w:rsid w:val="00B272BF"/>
    <w:rsid w:val="00B277F8"/>
    <w:rsid w:val="00B27ADE"/>
    <w:rsid w:val="00B300EB"/>
    <w:rsid w:val="00B308EC"/>
    <w:rsid w:val="00B30AA6"/>
    <w:rsid w:val="00B30B2D"/>
    <w:rsid w:val="00B30B7C"/>
    <w:rsid w:val="00B30CA9"/>
    <w:rsid w:val="00B3131E"/>
    <w:rsid w:val="00B3142A"/>
    <w:rsid w:val="00B31C96"/>
    <w:rsid w:val="00B31DBC"/>
    <w:rsid w:val="00B321D7"/>
    <w:rsid w:val="00B3221E"/>
    <w:rsid w:val="00B3238D"/>
    <w:rsid w:val="00B324D3"/>
    <w:rsid w:val="00B325A0"/>
    <w:rsid w:val="00B32780"/>
    <w:rsid w:val="00B32B05"/>
    <w:rsid w:val="00B32B6C"/>
    <w:rsid w:val="00B32BE6"/>
    <w:rsid w:val="00B33AB9"/>
    <w:rsid w:val="00B33E05"/>
    <w:rsid w:val="00B33F0B"/>
    <w:rsid w:val="00B34166"/>
    <w:rsid w:val="00B3426E"/>
    <w:rsid w:val="00B3437A"/>
    <w:rsid w:val="00B3579D"/>
    <w:rsid w:val="00B35843"/>
    <w:rsid w:val="00B35ACC"/>
    <w:rsid w:val="00B35D16"/>
    <w:rsid w:val="00B35E1F"/>
    <w:rsid w:val="00B363B3"/>
    <w:rsid w:val="00B36C11"/>
    <w:rsid w:val="00B36E40"/>
    <w:rsid w:val="00B37000"/>
    <w:rsid w:val="00B3706A"/>
    <w:rsid w:val="00B372CD"/>
    <w:rsid w:val="00B3732F"/>
    <w:rsid w:val="00B37662"/>
    <w:rsid w:val="00B37717"/>
    <w:rsid w:val="00B3771A"/>
    <w:rsid w:val="00B378CF"/>
    <w:rsid w:val="00B37D94"/>
    <w:rsid w:val="00B37EF3"/>
    <w:rsid w:val="00B4005D"/>
    <w:rsid w:val="00B401D0"/>
    <w:rsid w:val="00B404C2"/>
    <w:rsid w:val="00B40679"/>
    <w:rsid w:val="00B408EA"/>
    <w:rsid w:val="00B4090A"/>
    <w:rsid w:val="00B40B16"/>
    <w:rsid w:val="00B40BE7"/>
    <w:rsid w:val="00B414A1"/>
    <w:rsid w:val="00B414A7"/>
    <w:rsid w:val="00B41687"/>
    <w:rsid w:val="00B41821"/>
    <w:rsid w:val="00B41C36"/>
    <w:rsid w:val="00B41D82"/>
    <w:rsid w:val="00B42182"/>
    <w:rsid w:val="00B4248F"/>
    <w:rsid w:val="00B42E0F"/>
    <w:rsid w:val="00B44252"/>
    <w:rsid w:val="00B44AAB"/>
    <w:rsid w:val="00B44E52"/>
    <w:rsid w:val="00B44FA1"/>
    <w:rsid w:val="00B451EA"/>
    <w:rsid w:val="00B45386"/>
    <w:rsid w:val="00B45794"/>
    <w:rsid w:val="00B467C9"/>
    <w:rsid w:val="00B46E22"/>
    <w:rsid w:val="00B4701F"/>
    <w:rsid w:val="00B47379"/>
    <w:rsid w:val="00B47C64"/>
    <w:rsid w:val="00B47C9B"/>
    <w:rsid w:val="00B47F36"/>
    <w:rsid w:val="00B47F90"/>
    <w:rsid w:val="00B5045F"/>
    <w:rsid w:val="00B519F2"/>
    <w:rsid w:val="00B52BBB"/>
    <w:rsid w:val="00B532DA"/>
    <w:rsid w:val="00B537BF"/>
    <w:rsid w:val="00B53878"/>
    <w:rsid w:val="00B53A9C"/>
    <w:rsid w:val="00B53B18"/>
    <w:rsid w:val="00B53D20"/>
    <w:rsid w:val="00B54472"/>
    <w:rsid w:val="00B54800"/>
    <w:rsid w:val="00B5494A"/>
    <w:rsid w:val="00B54A24"/>
    <w:rsid w:val="00B54ABF"/>
    <w:rsid w:val="00B54E70"/>
    <w:rsid w:val="00B54EBC"/>
    <w:rsid w:val="00B55007"/>
    <w:rsid w:val="00B554A4"/>
    <w:rsid w:val="00B556DA"/>
    <w:rsid w:val="00B5580C"/>
    <w:rsid w:val="00B55B93"/>
    <w:rsid w:val="00B566D9"/>
    <w:rsid w:val="00B568DB"/>
    <w:rsid w:val="00B5693C"/>
    <w:rsid w:val="00B56C2A"/>
    <w:rsid w:val="00B56F0F"/>
    <w:rsid w:val="00B56F3A"/>
    <w:rsid w:val="00B57088"/>
    <w:rsid w:val="00B57202"/>
    <w:rsid w:val="00B57D0D"/>
    <w:rsid w:val="00B601E6"/>
    <w:rsid w:val="00B60713"/>
    <w:rsid w:val="00B60E93"/>
    <w:rsid w:val="00B60E94"/>
    <w:rsid w:val="00B6109B"/>
    <w:rsid w:val="00B6164F"/>
    <w:rsid w:val="00B6186D"/>
    <w:rsid w:val="00B62187"/>
    <w:rsid w:val="00B62807"/>
    <w:rsid w:val="00B62DE1"/>
    <w:rsid w:val="00B62E28"/>
    <w:rsid w:val="00B63291"/>
    <w:rsid w:val="00B63F3E"/>
    <w:rsid w:val="00B6418A"/>
    <w:rsid w:val="00B64478"/>
    <w:rsid w:val="00B65649"/>
    <w:rsid w:val="00B6602B"/>
    <w:rsid w:val="00B66092"/>
    <w:rsid w:val="00B66574"/>
    <w:rsid w:val="00B66BB5"/>
    <w:rsid w:val="00B678B9"/>
    <w:rsid w:val="00B67B46"/>
    <w:rsid w:val="00B67DF8"/>
    <w:rsid w:val="00B707E6"/>
    <w:rsid w:val="00B70828"/>
    <w:rsid w:val="00B70C3F"/>
    <w:rsid w:val="00B70E10"/>
    <w:rsid w:val="00B70F17"/>
    <w:rsid w:val="00B70F21"/>
    <w:rsid w:val="00B71108"/>
    <w:rsid w:val="00B711F5"/>
    <w:rsid w:val="00B715CF"/>
    <w:rsid w:val="00B716DF"/>
    <w:rsid w:val="00B71DEF"/>
    <w:rsid w:val="00B726B3"/>
    <w:rsid w:val="00B7286E"/>
    <w:rsid w:val="00B72F64"/>
    <w:rsid w:val="00B730EE"/>
    <w:rsid w:val="00B73719"/>
    <w:rsid w:val="00B7373E"/>
    <w:rsid w:val="00B739B7"/>
    <w:rsid w:val="00B743DA"/>
    <w:rsid w:val="00B74B72"/>
    <w:rsid w:val="00B750E9"/>
    <w:rsid w:val="00B75491"/>
    <w:rsid w:val="00B75974"/>
    <w:rsid w:val="00B76325"/>
    <w:rsid w:val="00B7648F"/>
    <w:rsid w:val="00B767C1"/>
    <w:rsid w:val="00B76C60"/>
    <w:rsid w:val="00B77698"/>
    <w:rsid w:val="00B77CAD"/>
    <w:rsid w:val="00B803FC"/>
    <w:rsid w:val="00B80590"/>
    <w:rsid w:val="00B80786"/>
    <w:rsid w:val="00B815DA"/>
    <w:rsid w:val="00B8182F"/>
    <w:rsid w:val="00B81B19"/>
    <w:rsid w:val="00B8206E"/>
    <w:rsid w:val="00B82AA2"/>
    <w:rsid w:val="00B83E86"/>
    <w:rsid w:val="00B84086"/>
    <w:rsid w:val="00B84BC7"/>
    <w:rsid w:val="00B84C10"/>
    <w:rsid w:val="00B84C7A"/>
    <w:rsid w:val="00B85981"/>
    <w:rsid w:val="00B85AAA"/>
    <w:rsid w:val="00B85CB7"/>
    <w:rsid w:val="00B85CEE"/>
    <w:rsid w:val="00B8671E"/>
    <w:rsid w:val="00B86B68"/>
    <w:rsid w:val="00B87250"/>
    <w:rsid w:val="00B87870"/>
    <w:rsid w:val="00B878BA"/>
    <w:rsid w:val="00B87B9F"/>
    <w:rsid w:val="00B9033A"/>
    <w:rsid w:val="00B91272"/>
    <w:rsid w:val="00B91476"/>
    <w:rsid w:val="00B924C6"/>
    <w:rsid w:val="00B925A6"/>
    <w:rsid w:val="00B92E9F"/>
    <w:rsid w:val="00B92EA6"/>
    <w:rsid w:val="00B932B2"/>
    <w:rsid w:val="00B946CA"/>
    <w:rsid w:val="00B94A1F"/>
    <w:rsid w:val="00B94C29"/>
    <w:rsid w:val="00B94C74"/>
    <w:rsid w:val="00B95109"/>
    <w:rsid w:val="00B951B5"/>
    <w:rsid w:val="00B96990"/>
    <w:rsid w:val="00B96A6D"/>
    <w:rsid w:val="00B96B2F"/>
    <w:rsid w:val="00B96FFD"/>
    <w:rsid w:val="00B97F88"/>
    <w:rsid w:val="00BA1A76"/>
    <w:rsid w:val="00BA2A08"/>
    <w:rsid w:val="00BA2A0E"/>
    <w:rsid w:val="00BA2B4B"/>
    <w:rsid w:val="00BA323E"/>
    <w:rsid w:val="00BA32AA"/>
    <w:rsid w:val="00BA36B7"/>
    <w:rsid w:val="00BA3D80"/>
    <w:rsid w:val="00BA4162"/>
    <w:rsid w:val="00BA4550"/>
    <w:rsid w:val="00BA47D6"/>
    <w:rsid w:val="00BA494B"/>
    <w:rsid w:val="00BA512E"/>
    <w:rsid w:val="00BA5491"/>
    <w:rsid w:val="00BA5514"/>
    <w:rsid w:val="00BA56E6"/>
    <w:rsid w:val="00BA5C15"/>
    <w:rsid w:val="00BA6763"/>
    <w:rsid w:val="00BA6B02"/>
    <w:rsid w:val="00BA6BA9"/>
    <w:rsid w:val="00BA6D9C"/>
    <w:rsid w:val="00BA6ED9"/>
    <w:rsid w:val="00BA711C"/>
    <w:rsid w:val="00BA75B2"/>
    <w:rsid w:val="00BA760D"/>
    <w:rsid w:val="00BB00DA"/>
    <w:rsid w:val="00BB0104"/>
    <w:rsid w:val="00BB01AC"/>
    <w:rsid w:val="00BB0B84"/>
    <w:rsid w:val="00BB0CCE"/>
    <w:rsid w:val="00BB11B8"/>
    <w:rsid w:val="00BB12D0"/>
    <w:rsid w:val="00BB1A21"/>
    <w:rsid w:val="00BB1B94"/>
    <w:rsid w:val="00BB1E7F"/>
    <w:rsid w:val="00BB2115"/>
    <w:rsid w:val="00BB2172"/>
    <w:rsid w:val="00BB2D16"/>
    <w:rsid w:val="00BB2FDD"/>
    <w:rsid w:val="00BB318C"/>
    <w:rsid w:val="00BB320A"/>
    <w:rsid w:val="00BB325B"/>
    <w:rsid w:val="00BB35A9"/>
    <w:rsid w:val="00BB3CDF"/>
    <w:rsid w:val="00BB44B2"/>
    <w:rsid w:val="00BB4F69"/>
    <w:rsid w:val="00BB5362"/>
    <w:rsid w:val="00BB53E5"/>
    <w:rsid w:val="00BB577D"/>
    <w:rsid w:val="00BB59DB"/>
    <w:rsid w:val="00BB5BF4"/>
    <w:rsid w:val="00BB5C6D"/>
    <w:rsid w:val="00BB65EA"/>
    <w:rsid w:val="00BB673E"/>
    <w:rsid w:val="00BB6ADA"/>
    <w:rsid w:val="00BB6C07"/>
    <w:rsid w:val="00BB6FB4"/>
    <w:rsid w:val="00BB745F"/>
    <w:rsid w:val="00BB7896"/>
    <w:rsid w:val="00BB7FA9"/>
    <w:rsid w:val="00BC00D2"/>
    <w:rsid w:val="00BC09B4"/>
    <w:rsid w:val="00BC1AF6"/>
    <w:rsid w:val="00BC1C11"/>
    <w:rsid w:val="00BC2667"/>
    <w:rsid w:val="00BC2CA8"/>
    <w:rsid w:val="00BC338E"/>
    <w:rsid w:val="00BC3EC9"/>
    <w:rsid w:val="00BC3F39"/>
    <w:rsid w:val="00BC449E"/>
    <w:rsid w:val="00BC45CE"/>
    <w:rsid w:val="00BC4915"/>
    <w:rsid w:val="00BC4C76"/>
    <w:rsid w:val="00BC5392"/>
    <w:rsid w:val="00BC55B1"/>
    <w:rsid w:val="00BC564F"/>
    <w:rsid w:val="00BC6D51"/>
    <w:rsid w:val="00BC7119"/>
    <w:rsid w:val="00BC71F5"/>
    <w:rsid w:val="00BC77E6"/>
    <w:rsid w:val="00BC79E9"/>
    <w:rsid w:val="00BC79EA"/>
    <w:rsid w:val="00BC7F00"/>
    <w:rsid w:val="00BD0142"/>
    <w:rsid w:val="00BD07A5"/>
    <w:rsid w:val="00BD0BC5"/>
    <w:rsid w:val="00BD1E09"/>
    <w:rsid w:val="00BD23BB"/>
    <w:rsid w:val="00BD242C"/>
    <w:rsid w:val="00BD2B4D"/>
    <w:rsid w:val="00BD301D"/>
    <w:rsid w:val="00BD33A6"/>
    <w:rsid w:val="00BD3D29"/>
    <w:rsid w:val="00BD3D9C"/>
    <w:rsid w:val="00BD4543"/>
    <w:rsid w:val="00BD4C54"/>
    <w:rsid w:val="00BD5316"/>
    <w:rsid w:val="00BD539A"/>
    <w:rsid w:val="00BD5907"/>
    <w:rsid w:val="00BD6131"/>
    <w:rsid w:val="00BD61F6"/>
    <w:rsid w:val="00BD6906"/>
    <w:rsid w:val="00BD6B49"/>
    <w:rsid w:val="00BD6C27"/>
    <w:rsid w:val="00BD7319"/>
    <w:rsid w:val="00BD772C"/>
    <w:rsid w:val="00BD7877"/>
    <w:rsid w:val="00BD7882"/>
    <w:rsid w:val="00BD79EF"/>
    <w:rsid w:val="00BE0043"/>
    <w:rsid w:val="00BE01FF"/>
    <w:rsid w:val="00BE1A5B"/>
    <w:rsid w:val="00BE1CFC"/>
    <w:rsid w:val="00BE1EAB"/>
    <w:rsid w:val="00BE2692"/>
    <w:rsid w:val="00BE2DED"/>
    <w:rsid w:val="00BE2FD6"/>
    <w:rsid w:val="00BE305A"/>
    <w:rsid w:val="00BE3263"/>
    <w:rsid w:val="00BE3342"/>
    <w:rsid w:val="00BE3799"/>
    <w:rsid w:val="00BE3833"/>
    <w:rsid w:val="00BE3984"/>
    <w:rsid w:val="00BE39E5"/>
    <w:rsid w:val="00BE3A40"/>
    <w:rsid w:val="00BE44E2"/>
    <w:rsid w:val="00BE48CE"/>
    <w:rsid w:val="00BE4FBF"/>
    <w:rsid w:val="00BE5032"/>
    <w:rsid w:val="00BE5530"/>
    <w:rsid w:val="00BE58BE"/>
    <w:rsid w:val="00BE5BBB"/>
    <w:rsid w:val="00BE60D8"/>
    <w:rsid w:val="00BE6B53"/>
    <w:rsid w:val="00BE6BBA"/>
    <w:rsid w:val="00BE6D71"/>
    <w:rsid w:val="00BE7294"/>
    <w:rsid w:val="00BE72C0"/>
    <w:rsid w:val="00BE744A"/>
    <w:rsid w:val="00BE7D9D"/>
    <w:rsid w:val="00BE7E5F"/>
    <w:rsid w:val="00BF1361"/>
    <w:rsid w:val="00BF1501"/>
    <w:rsid w:val="00BF1569"/>
    <w:rsid w:val="00BF157C"/>
    <w:rsid w:val="00BF1E6F"/>
    <w:rsid w:val="00BF1EEF"/>
    <w:rsid w:val="00BF2166"/>
    <w:rsid w:val="00BF23B5"/>
    <w:rsid w:val="00BF3404"/>
    <w:rsid w:val="00BF356F"/>
    <w:rsid w:val="00BF4501"/>
    <w:rsid w:val="00BF4685"/>
    <w:rsid w:val="00BF4936"/>
    <w:rsid w:val="00BF58E0"/>
    <w:rsid w:val="00BF5A0E"/>
    <w:rsid w:val="00BF613F"/>
    <w:rsid w:val="00BF61F1"/>
    <w:rsid w:val="00BF6330"/>
    <w:rsid w:val="00BF64C0"/>
    <w:rsid w:val="00BF6B8D"/>
    <w:rsid w:val="00BF7288"/>
    <w:rsid w:val="00BF7CD2"/>
    <w:rsid w:val="00C0083E"/>
    <w:rsid w:val="00C0098C"/>
    <w:rsid w:val="00C01693"/>
    <w:rsid w:val="00C017BA"/>
    <w:rsid w:val="00C0204B"/>
    <w:rsid w:val="00C020B4"/>
    <w:rsid w:val="00C020B6"/>
    <w:rsid w:val="00C02D86"/>
    <w:rsid w:val="00C0386D"/>
    <w:rsid w:val="00C0392B"/>
    <w:rsid w:val="00C03C3D"/>
    <w:rsid w:val="00C03DAD"/>
    <w:rsid w:val="00C04087"/>
    <w:rsid w:val="00C043D9"/>
    <w:rsid w:val="00C043FE"/>
    <w:rsid w:val="00C04A3B"/>
    <w:rsid w:val="00C04ACD"/>
    <w:rsid w:val="00C05611"/>
    <w:rsid w:val="00C057C1"/>
    <w:rsid w:val="00C05D4D"/>
    <w:rsid w:val="00C06610"/>
    <w:rsid w:val="00C0731A"/>
    <w:rsid w:val="00C07536"/>
    <w:rsid w:val="00C078A2"/>
    <w:rsid w:val="00C07D3B"/>
    <w:rsid w:val="00C07EB5"/>
    <w:rsid w:val="00C10520"/>
    <w:rsid w:val="00C10776"/>
    <w:rsid w:val="00C1196A"/>
    <w:rsid w:val="00C11B4D"/>
    <w:rsid w:val="00C11BAB"/>
    <w:rsid w:val="00C12087"/>
    <w:rsid w:val="00C120F4"/>
    <w:rsid w:val="00C126D1"/>
    <w:rsid w:val="00C13084"/>
    <w:rsid w:val="00C134E3"/>
    <w:rsid w:val="00C135FF"/>
    <w:rsid w:val="00C13774"/>
    <w:rsid w:val="00C13B94"/>
    <w:rsid w:val="00C14A1D"/>
    <w:rsid w:val="00C14B19"/>
    <w:rsid w:val="00C14DEF"/>
    <w:rsid w:val="00C14F0A"/>
    <w:rsid w:val="00C152FF"/>
    <w:rsid w:val="00C1589D"/>
    <w:rsid w:val="00C1595B"/>
    <w:rsid w:val="00C161A0"/>
    <w:rsid w:val="00C16959"/>
    <w:rsid w:val="00C16CB7"/>
    <w:rsid w:val="00C16E38"/>
    <w:rsid w:val="00C17279"/>
    <w:rsid w:val="00C17BA7"/>
    <w:rsid w:val="00C2015D"/>
    <w:rsid w:val="00C20231"/>
    <w:rsid w:val="00C206D4"/>
    <w:rsid w:val="00C20719"/>
    <w:rsid w:val="00C21B47"/>
    <w:rsid w:val="00C22391"/>
    <w:rsid w:val="00C2286F"/>
    <w:rsid w:val="00C22A55"/>
    <w:rsid w:val="00C22FE8"/>
    <w:rsid w:val="00C23782"/>
    <w:rsid w:val="00C23DF4"/>
    <w:rsid w:val="00C24823"/>
    <w:rsid w:val="00C24CA9"/>
    <w:rsid w:val="00C25B16"/>
    <w:rsid w:val="00C261EF"/>
    <w:rsid w:val="00C26238"/>
    <w:rsid w:val="00C268D2"/>
    <w:rsid w:val="00C26BAC"/>
    <w:rsid w:val="00C26F30"/>
    <w:rsid w:val="00C271DD"/>
    <w:rsid w:val="00C272D5"/>
    <w:rsid w:val="00C2750B"/>
    <w:rsid w:val="00C27F18"/>
    <w:rsid w:val="00C306A3"/>
    <w:rsid w:val="00C3101F"/>
    <w:rsid w:val="00C313BB"/>
    <w:rsid w:val="00C31444"/>
    <w:rsid w:val="00C3159B"/>
    <w:rsid w:val="00C31762"/>
    <w:rsid w:val="00C31DCE"/>
    <w:rsid w:val="00C3204A"/>
    <w:rsid w:val="00C333B3"/>
    <w:rsid w:val="00C33749"/>
    <w:rsid w:val="00C33A39"/>
    <w:rsid w:val="00C33D9B"/>
    <w:rsid w:val="00C340FB"/>
    <w:rsid w:val="00C343A9"/>
    <w:rsid w:val="00C34BEB"/>
    <w:rsid w:val="00C34E13"/>
    <w:rsid w:val="00C34E2A"/>
    <w:rsid w:val="00C3529F"/>
    <w:rsid w:val="00C3561D"/>
    <w:rsid w:val="00C35807"/>
    <w:rsid w:val="00C36F3C"/>
    <w:rsid w:val="00C37024"/>
    <w:rsid w:val="00C37512"/>
    <w:rsid w:val="00C37555"/>
    <w:rsid w:val="00C3771D"/>
    <w:rsid w:val="00C37BDB"/>
    <w:rsid w:val="00C40220"/>
    <w:rsid w:val="00C4022A"/>
    <w:rsid w:val="00C405F5"/>
    <w:rsid w:val="00C40B7A"/>
    <w:rsid w:val="00C41121"/>
    <w:rsid w:val="00C418F9"/>
    <w:rsid w:val="00C41A09"/>
    <w:rsid w:val="00C41B5B"/>
    <w:rsid w:val="00C41F4D"/>
    <w:rsid w:val="00C42560"/>
    <w:rsid w:val="00C428C8"/>
    <w:rsid w:val="00C43379"/>
    <w:rsid w:val="00C43717"/>
    <w:rsid w:val="00C43BF8"/>
    <w:rsid w:val="00C43DB4"/>
    <w:rsid w:val="00C44FD7"/>
    <w:rsid w:val="00C4509D"/>
    <w:rsid w:val="00C452F4"/>
    <w:rsid w:val="00C45536"/>
    <w:rsid w:val="00C45ED7"/>
    <w:rsid w:val="00C46B0F"/>
    <w:rsid w:val="00C46CAD"/>
    <w:rsid w:val="00C46EC3"/>
    <w:rsid w:val="00C47172"/>
    <w:rsid w:val="00C4722B"/>
    <w:rsid w:val="00C47C77"/>
    <w:rsid w:val="00C47E18"/>
    <w:rsid w:val="00C50A38"/>
    <w:rsid w:val="00C51546"/>
    <w:rsid w:val="00C51CC1"/>
    <w:rsid w:val="00C521C9"/>
    <w:rsid w:val="00C528AC"/>
    <w:rsid w:val="00C52D25"/>
    <w:rsid w:val="00C53039"/>
    <w:rsid w:val="00C5350D"/>
    <w:rsid w:val="00C537C5"/>
    <w:rsid w:val="00C538F3"/>
    <w:rsid w:val="00C53C3B"/>
    <w:rsid w:val="00C541BF"/>
    <w:rsid w:val="00C54294"/>
    <w:rsid w:val="00C54297"/>
    <w:rsid w:val="00C5440E"/>
    <w:rsid w:val="00C556E6"/>
    <w:rsid w:val="00C55768"/>
    <w:rsid w:val="00C55A49"/>
    <w:rsid w:val="00C56186"/>
    <w:rsid w:val="00C562C3"/>
    <w:rsid w:val="00C56782"/>
    <w:rsid w:val="00C56A0D"/>
    <w:rsid w:val="00C56AF5"/>
    <w:rsid w:val="00C56D32"/>
    <w:rsid w:val="00C56DA0"/>
    <w:rsid w:val="00C571A5"/>
    <w:rsid w:val="00C572F8"/>
    <w:rsid w:val="00C5752B"/>
    <w:rsid w:val="00C57810"/>
    <w:rsid w:val="00C57A33"/>
    <w:rsid w:val="00C57F90"/>
    <w:rsid w:val="00C609C8"/>
    <w:rsid w:val="00C60CDF"/>
    <w:rsid w:val="00C61774"/>
    <w:rsid w:val="00C61D68"/>
    <w:rsid w:val="00C625D1"/>
    <w:rsid w:val="00C62695"/>
    <w:rsid w:val="00C63214"/>
    <w:rsid w:val="00C633F0"/>
    <w:rsid w:val="00C63FCE"/>
    <w:rsid w:val="00C640B4"/>
    <w:rsid w:val="00C643AE"/>
    <w:rsid w:val="00C643CA"/>
    <w:rsid w:val="00C64658"/>
    <w:rsid w:val="00C649FE"/>
    <w:rsid w:val="00C64B1A"/>
    <w:rsid w:val="00C64C1D"/>
    <w:rsid w:val="00C65293"/>
    <w:rsid w:val="00C652E0"/>
    <w:rsid w:val="00C656E3"/>
    <w:rsid w:val="00C65961"/>
    <w:rsid w:val="00C6625C"/>
    <w:rsid w:val="00C6681A"/>
    <w:rsid w:val="00C66F3F"/>
    <w:rsid w:val="00C67690"/>
    <w:rsid w:val="00C700D0"/>
    <w:rsid w:val="00C7012B"/>
    <w:rsid w:val="00C70404"/>
    <w:rsid w:val="00C7129D"/>
    <w:rsid w:val="00C71625"/>
    <w:rsid w:val="00C71CFC"/>
    <w:rsid w:val="00C71E25"/>
    <w:rsid w:val="00C71ED8"/>
    <w:rsid w:val="00C71FC7"/>
    <w:rsid w:val="00C7253C"/>
    <w:rsid w:val="00C72EC2"/>
    <w:rsid w:val="00C739CE"/>
    <w:rsid w:val="00C73FCD"/>
    <w:rsid w:val="00C754F8"/>
    <w:rsid w:val="00C7589B"/>
    <w:rsid w:val="00C75AD0"/>
    <w:rsid w:val="00C76244"/>
    <w:rsid w:val="00C77011"/>
    <w:rsid w:val="00C7720E"/>
    <w:rsid w:val="00C772FF"/>
    <w:rsid w:val="00C77985"/>
    <w:rsid w:val="00C77D5C"/>
    <w:rsid w:val="00C77F6D"/>
    <w:rsid w:val="00C80224"/>
    <w:rsid w:val="00C81120"/>
    <w:rsid w:val="00C814B3"/>
    <w:rsid w:val="00C817D6"/>
    <w:rsid w:val="00C82166"/>
    <w:rsid w:val="00C825C0"/>
    <w:rsid w:val="00C82BD1"/>
    <w:rsid w:val="00C82DF7"/>
    <w:rsid w:val="00C830A9"/>
    <w:rsid w:val="00C8367E"/>
    <w:rsid w:val="00C83A87"/>
    <w:rsid w:val="00C83AAC"/>
    <w:rsid w:val="00C83FBB"/>
    <w:rsid w:val="00C8479A"/>
    <w:rsid w:val="00C85234"/>
    <w:rsid w:val="00C85D1C"/>
    <w:rsid w:val="00C85D98"/>
    <w:rsid w:val="00C86630"/>
    <w:rsid w:val="00C87266"/>
    <w:rsid w:val="00C878EB"/>
    <w:rsid w:val="00C87B1B"/>
    <w:rsid w:val="00C90053"/>
    <w:rsid w:val="00C903ED"/>
    <w:rsid w:val="00C90E91"/>
    <w:rsid w:val="00C91AEF"/>
    <w:rsid w:val="00C921BA"/>
    <w:rsid w:val="00C9226B"/>
    <w:rsid w:val="00C9271B"/>
    <w:rsid w:val="00C93522"/>
    <w:rsid w:val="00C93597"/>
    <w:rsid w:val="00C94331"/>
    <w:rsid w:val="00C9475E"/>
    <w:rsid w:val="00C94A47"/>
    <w:rsid w:val="00C9503E"/>
    <w:rsid w:val="00C95808"/>
    <w:rsid w:val="00C95B29"/>
    <w:rsid w:val="00C95BF3"/>
    <w:rsid w:val="00C9630B"/>
    <w:rsid w:val="00C96A73"/>
    <w:rsid w:val="00C97103"/>
    <w:rsid w:val="00C972C8"/>
    <w:rsid w:val="00C9766A"/>
    <w:rsid w:val="00C97C7D"/>
    <w:rsid w:val="00CA004C"/>
    <w:rsid w:val="00CA05A9"/>
    <w:rsid w:val="00CA0726"/>
    <w:rsid w:val="00CA0A1C"/>
    <w:rsid w:val="00CA0E7A"/>
    <w:rsid w:val="00CA2FC2"/>
    <w:rsid w:val="00CA324A"/>
    <w:rsid w:val="00CA3776"/>
    <w:rsid w:val="00CA3A5D"/>
    <w:rsid w:val="00CA3FF4"/>
    <w:rsid w:val="00CA419A"/>
    <w:rsid w:val="00CA48B1"/>
    <w:rsid w:val="00CA4A85"/>
    <w:rsid w:val="00CA4BF3"/>
    <w:rsid w:val="00CA5284"/>
    <w:rsid w:val="00CA52DE"/>
    <w:rsid w:val="00CA5965"/>
    <w:rsid w:val="00CA652B"/>
    <w:rsid w:val="00CA6759"/>
    <w:rsid w:val="00CA6C1C"/>
    <w:rsid w:val="00CA75D9"/>
    <w:rsid w:val="00CA788D"/>
    <w:rsid w:val="00CA7914"/>
    <w:rsid w:val="00CA7C21"/>
    <w:rsid w:val="00CA7CD3"/>
    <w:rsid w:val="00CB017E"/>
    <w:rsid w:val="00CB0EB6"/>
    <w:rsid w:val="00CB1458"/>
    <w:rsid w:val="00CB2287"/>
    <w:rsid w:val="00CB24B2"/>
    <w:rsid w:val="00CB268A"/>
    <w:rsid w:val="00CB2B5B"/>
    <w:rsid w:val="00CB2C0D"/>
    <w:rsid w:val="00CB2F69"/>
    <w:rsid w:val="00CB3157"/>
    <w:rsid w:val="00CB3A1F"/>
    <w:rsid w:val="00CB3B3D"/>
    <w:rsid w:val="00CB4B9E"/>
    <w:rsid w:val="00CB4ED3"/>
    <w:rsid w:val="00CB506B"/>
    <w:rsid w:val="00CB5A5F"/>
    <w:rsid w:val="00CB6D75"/>
    <w:rsid w:val="00CB7316"/>
    <w:rsid w:val="00CB7413"/>
    <w:rsid w:val="00CB7C7F"/>
    <w:rsid w:val="00CB7E47"/>
    <w:rsid w:val="00CC0210"/>
    <w:rsid w:val="00CC02FE"/>
    <w:rsid w:val="00CC0325"/>
    <w:rsid w:val="00CC091C"/>
    <w:rsid w:val="00CC09EC"/>
    <w:rsid w:val="00CC1CFB"/>
    <w:rsid w:val="00CC1F9E"/>
    <w:rsid w:val="00CC1FCD"/>
    <w:rsid w:val="00CC20DF"/>
    <w:rsid w:val="00CC2486"/>
    <w:rsid w:val="00CC2529"/>
    <w:rsid w:val="00CC3021"/>
    <w:rsid w:val="00CC36DB"/>
    <w:rsid w:val="00CC392A"/>
    <w:rsid w:val="00CC3B0E"/>
    <w:rsid w:val="00CC3D8C"/>
    <w:rsid w:val="00CC419C"/>
    <w:rsid w:val="00CC43F0"/>
    <w:rsid w:val="00CC445C"/>
    <w:rsid w:val="00CC561D"/>
    <w:rsid w:val="00CC56E0"/>
    <w:rsid w:val="00CC5FB3"/>
    <w:rsid w:val="00CC6499"/>
    <w:rsid w:val="00CC64EE"/>
    <w:rsid w:val="00CC666E"/>
    <w:rsid w:val="00CC6A88"/>
    <w:rsid w:val="00CC6B68"/>
    <w:rsid w:val="00CC6F00"/>
    <w:rsid w:val="00CC6F2A"/>
    <w:rsid w:val="00CC707B"/>
    <w:rsid w:val="00CC7702"/>
    <w:rsid w:val="00CC7946"/>
    <w:rsid w:val="00CC7AF4"/>
    <w:rsid w:val="00CC7ECB"/>
    <w:rsid w:val="00CC7FEA"/>
    <w:rsid w:val="00CD0A69"/>
    <w:rsid w:val="00CD0AD9"/>
    <w:rsid w:val="00CD0E33"/>
    <w:rsid w:val="00CD1232"/>
    <w:rsid w:val="00CD1491"/>
    <w:rsid w:val="00CD176E"/>
    <w:rsid w:val="00CD202F"/>
    <w:rsid w:val="00CD2115"/>
    <w:rsid w:val="00CD2910"/>
    <w:rsid w:val="00CD2B6E"/>
    <w:rsid w:val="00CD2E78"/>
    <w:rsid w:val="00CD316C"/>
    <w:rsid w:val="00CD3499"/>
    <w:rsid w:val="00CD3501"/>
    <w:rsid w:val="00CD3DA2"/>
    <w:rsid w:val="00CD5F4A"/>
    <w:rsid w:val="00CD6206"/>
    <w:rsid w:val="00CD6242"/>
    <w:rsid w:val="00CD68F0"/>
    <w:rsid w:val="00CD7813"/>
    <w:rsid w:val="00CD7AE6"/>
    <w:rsid w:val="00CE02DF"/>
    <w:rsid w:val="00CE0337"/>
    <w:rsid w:val="00CE0E2F"/>
    <w:rsid w:val="00CE126A"/>
    <w:rsid w:val="00CE1ED4"/>
    <w:rsid w:val="00CE20D5"/>
    <w:rsid w:val="00CE2149"/>
    <w:rsid w:val="00CE30A6"/>
    <w:rsid w:val="00CE372C"/>
    <w:rsid w:val="00CE3827"/>
    <w:rsid w:val="00CE3C67"/>
    <w:rsid w:val="00CE4476"/>
    <w:rsid w:val="00CE4B73"/>
    <w:rsid w:val="00CE4DAE"/>
    <w:rsid w:val="00CE4E16"/>
    <w:rsid w:val="00CE4EA5"/>
    <w:rsid w:val="00CE55F2"/>
    <w:rsid w:val="00CE57D8"/>
    <w:rsid w:val="00CE5FA2"/>
    <w:rsid w:val="00CE62B7"/>
    <w:rsid w:val="00CE6568"/>
    <w:rsid w:val="00CE6782"/>
    <w:rsid w:val="00CE684D"/>
    <w:rsid w:val="00CE6D0D"/>
    <w:rsid w:val="00CE740E"/>
    <w:rsid w:val="00CE76B3"/>
    <w:rsid w:val="00CE7899"/>
    <w:rsid w:val="00CE7A48"/>
    <w:rsid w:val="00CF0723"/>
    <w:rsid w:val="00CF07FF"/>
    <w:rsid w:val="00CF08E9"/>
    <w:rsid w:val="00CF0FAF"/>
    <w:rsid w:val="00CF113F"/>
    <w:rsid w:val="00CF1488"/>
    <w:rsid w:val="00CF15E0"/>
    <w:rsid w:val="00CF16EC"/>
    <w:rsid w:val="00CF1BF6"/>
    <w:rsid w:val="00CF30BC"/>
    <w:rsid w:val="00CF3564"/>
    <w:rsid w:val="00CF369D"/>
    <w:rsid w:val="00CF4051"/>
    <w:rsid w:val="00CF40F0"/>
    <w:rsid w:val="00CF4379"/>
    <w:rsid w:val="00CF4E72"/>
    <w:rsid w:val="00CF57DE"/>
    <w:rsid w:val="00CF5854"/>
    <w:rsid w:val="00CF5A38"/>
    <w:rsid w:val="00CF60B4"/>
    <w:rsid w:val="00CF6A79"/>
    <w:rsid w:val="00CF6CAC"/>
    <w:rsid w:val="00CF6F57"/>
    <w:rsid w:val="00CF7841"/>
    <w:rsid w:val="00CF79B9"/>
    <w:rsid w:val="00CF7A94"/>
    <w:rsid w:val="00CF7D58"/>
    <w:rsid w:val="00D003E9"/>
    <w:rsid w:val="00D005FF"/>
    <w:rsid w:val="00D00BAE"/>
    <w:rsid w:val="00D00BF9"/>
    <w:rsid w:val="00D00D63"/>
    <w:rsid w:val="00D01029"/>
    <w:rsid w:val="00D01263"/>
    <w:rsid w:val="00D012E5"/>
    <w:rsid w:val="00D014B6"/>
    <w:rsid w:val="00D01A27"/>
    <w:rsid w:val="00D01B5C"/>
    <w:rsid w:val="00D01F1B"/>
    <w:rsid w:val="00D026EA"/>
    <w:rsid w:val="00D027A8"/>
    <w:rsid w:val="00D03F4D"/>
    <w:rsid w:val="00D048C9"/>
    <w:rsid w:val="00D04F78"/>
    <w:rsid w:val="00D0560C"/>
    <w:rsid w:val="00D056FE"/>
    <w:rsid w:val="00D05EA4"/>
    <w:rsid w:val="00D06295"/>
    <w:rsid w:val="00D066F3"/>
    <w:rsid w:val="00D06CB9"/>
    <w:rsid w:val="00D06DCB"/>
    <w:rsid w:val="00D074B1"/>
    <w:rsid w:val="00D07899"/>
    <w:rsid w:val="00D07DB2"/>
    <w:rsid w:val="00D07E70"/>
    <w:rsid w:val="00D1018F"/>
    <w:rsid w:val="00D10239"/>
    <w:rsid w:val="00D1093B"/>
    <w:rsid w:val="00D10B30"/>
    <w:rsid w:val="00D10C51"/>
    <w:rsid w:val="00D10D4B"/>
    <w:rsid w:val="00D113C2"/>
    <w:rsid w:val="00D11754"/>
    <w:rsid w:val="00D11AA3"/>
    <w:rsid w:val="00D11EB8"/>
    <w:rsid w:val="00D12675"/>
    <w:rsid w:val="00D13119"/>
    <w:rsid w:val="00D132FA"/>
    <w:rsid w:val="00D1369D"/>
    <w:rsid w:val="00D137B5"/>
    <w:rsid w:val="00D1396C"/>
    <w:rsid w:val="00D139F3"/>
    <w:rsid w:val="00D13D39"/>
    <w:rsid w:val="00D140EE"/>
    <w:rsid w:val="00D14616"/>
    <w:rsid w:val="00D14E56"/>
    <w:rsid w:val="00D15056"/>
    <w:rsid w:val="00D15246"/>
    <w:rsid w:val="00D15641"/>
    <w:rsid w:val="00D15CD6"/>
    <w:rsid w:val="00D162E3"/>
    <w:rsid w:val="00D17807"/>
    <w:rsid w:val="00D17A29"/>
    <w:rsid w:val="00D20253"/>
    <w:rsid w:val="00D207FD"/>
    <w:rsid w:val="00D20E06"/>
    <w:rsid w:val="00D2130E"/>
    <w:rsid w:val="00D215AA"/>
    <w:rsid w:val="00D21679"/>
    <w:rsid w:val="00D21C6C"/>
    <w:rsid w:val="00D2258F"/>
    <w:rsid w:val="00D22ACE"/>
    <w:rsid w:val="00D22F58"/>
    <w:rsid w:val="00D234EF"/>
    <w:rsid w:val="00D23638"/>
    <w:rsid w:val="00D23BEF"/>
    <w:rsid w:val="00D23C5C"/>
    <w:rsid w:val="00D23E13"/>
    <w:rsid w:val="00D2428A"/>
    <w:rsid w:val="00D24570"/>
    <w:rsid w:val="00D2458B"/>
    <w:rsid w:val="00D2475C"/>
    <w:rsid w:val="00D24AF8"/>
    <w:rsid w:val="00D25751"/>
    <w:rsid w:val="00D25E75"/>
    <w:rsid w:val="00D2670B"/>
    <w:rsid w:val="00D269C5"/>
    <w:rsid w:val="00D26D73"/>
    <w:rsid w:val="00D301E8"/>
    <w:rsid w:val="00D30632"/>
    <w:rsid w:val="00D307E4"/>
    <w:rsid w:val="00D30A12"/>
    <w:rsid w:val="00D30A1E"/>
    <w:rsid w:val="00D30E70"/>
    <w:rsid w:val="00D30FCE"/>
    <w:rsid w:val="00D3105A"/>
    <w:rsid w:val="00D3161D"/>
    <w:rsid w:val="00D31651"/>
    <w:rsid w:val="00D31802"/>
    <w:rsid w:val="00D324ED"/>
    <w:rsid w:val="00D32792"/>
    <w:rsid w:val="00D32B29"/>
    <w:rsid w:val="00D32B75"/>
    <w:rsid w:val="00D32B81"/>
    <w:rsid w:val="00D3339D"/>
    <w:rsid w:val="00D33498"/>
    <w:rsid w:val="00D339D0"/>
    <w:rsid w:val="00D33D6F"/>
    <w:rsid w:val="00D3480B"/>
    <w:rsid w:val="00D349A7"/>
    <w:rsid w:val="00D34DBD"/>
    <w:rsid w:val="00D34E77"/>
    <w:rsid w:val="00D355F7"/>
    <w:rsid w:val="00D357F2"/>
    <w:rsid w:val="00D358B1"/>
    <w:rsid w:val="00D35AC5"/>
    <w:rsid w:val="00D35BA6"/>
    <w:rsid w:val="00D37037"/>
    <w:rsid w:val="00D37557"/>
    <w:rsid w:val="00D37C5A"/>
    <w:rsid w:val="00D37D10"/>
    <w:rsid w:val="00D37D97"/>
    <w:rsid w:val="00D407AA"/>
    <w:rsid w:val="00D40B8F"/>
    <w:rsid w:val="00D412C8"/>
    <w:rsid w:val="00D41687"/>
    <w:rsid w:val="00D41C41"/>
    <w:rsid w:val="00D42260"/>
    <w:rsid w:val="00D42501"/>
    <w:rsid w:val="00D42F5D"/>
    <w:rsid w:val="00D43547"/>
    <w:rsid w:val="00D435B3"/>
    <w:rsid w:val="00D43DA4"/>
    <w:rsid w:val="00D440F7"/>
    <w:rsid w:val="00D445C7"/>
    <w:rsid w:val="00D447CA"/>
    <w:rsid w:val="00D44C80"/>
    <w:rsid w:val="00D44DED"/>
    <w:rsid w:val="00D45863"/>
    <w:rsid w:val="00D4595F"/>
    <w:rsid w:val="00D47578"/>
    <w:rsid w:val="00D47883"/>
    <w:rsid w:val="00D519B8"/>
    <w:rsid w:val="00D519C5"/>
    <w:rsid w:val="00D51B16"/>
    <w:rsid w:val="00D5211D"/>
    <w:rsid w:val="00D52628"/>
    <w:rsid w:val="00D52A39"/>
    <w:rsid w:val="00D52AF8"/>
    <w:rsid w:val="00D52D4A"/>
    <w:rsid w:val="00D533B8"/>
    <w:rsid w:val="00D53413"/>
    <w:rsid w:val="00D536B2"/>
    <w:rsid w:val="00D53754"/>
    <w:rsid w:val="00D53814"/>
    <w:rsid w:val="00D53C8B"/>
    <w:rsid w:val="00D54074"/>
    <w:rsid w:val="00D54509"/>
    <w:rsid w:val="00D54B03"/>
    <w:rsid w:val="00D54E80"/>
    <w:rsid w:val="00D54FC7"/>
    <w:rsid w:val="00D5556E"/>
    <w:rsid w:val="00D5591D"/>
    <w:rsid w:val="00D55C79"/>
    <w:rsid w:val="00D561D8"/>
    <w:rsid w:val="00D566F6"/>
    <w:rsid w:val="00D568B7"/>
    <w:rsid w:val="00D56A6A"/>
    <w:rsid w:val="00D5739B"/>
    <w:rsid w:val="00D57FA0"/>
    <w:rsid w:val="00D6010B"/>
    <w:rsid w:val="00D60181"/>
    <w:rsid w:val="00D60CB7"/>
    <w:rsid w:val="00D60DF5"/>
    <w:rsid w:val="00D610B9"/>
    <w:rsid w:val="00D6111D"/>
    <w:rsid w:val="00D61CD8"/>
    <w:rsid w:val="00D621EA"/>
    <w:rsid w:val="00D6249D"/>
    <w:rsid w:val="00D62ABF"/>
    <w:rsid w:val="00D630C3"/>
    <w:rsid w:val="00D63EEE"/>
    <w:rsid w:val="00D63F8E"/>
    <w:rsid w:val="00D64D92"/>
    <w:rsid w:val="00D64EF2"/>
    <w:rsid w:val="00D65783"/>
    <w:rsid w:val="00D65FE8"/>
    <w:rsid w:val="00D66937"/>
    <w:rsid w:val="00D66AF9"/>
    <w:rsid w:val="00D67D38"/>
    <w:rsid w:val="00D70260"/>
    <w:rsid w:val="00D70732"/>
    <w:rsid w:val="00D70AE3"/>
    <w:rsid w:val="00D711E3"/>
    <w:rsid w:val="00D71599"/>
    <w:rsid w:val="00D72333"/>
    <w:rsid w:val="00D73449"/>
    <w:rsid w:val="00D7355B"/>
    <w:rsid w:val="00D73832"/>
    <w:rsid w:val="00D73D19"/>
    <w:rsid w:val="00D73DA3"/>
    <w:rsid w:val="00D73DD7"/>
    <w:rsid w:val="00D74365"/>
    <w:rsid w:val="00D74460"/>
    <w:rsid w:val="00D7457F"/>
    <w:rsid w:val="00D745E7"/>
    <w:rsid w:val="00D75363"/>
    <w:rsid w:val="00D7555C"/>
    <w:rsid w:val="00D7699E"/>
    <w:rsid w:val="00D77038"/>
    <w:rsid w:val="00D77B63"/>
    <w:rsid w:val="00D77DD6"/>
    <w:rsid w:val="00D77F36"/>
    <w:rsid w:val="00D805E1"/>
    <w:rsid w:val="00D823D9"/>
    <w:rsid w:val="00D82560"/>
    <w:rsid w:val="00D825A6"/>
    <w:rsid w:val="00D8295D"/>
    <w:rsid w:val="00D82B06"/>
    <w:rsid w:val="00D83316"/>
    <w:rsid w:val="00D84906"/>
    <w:rsid w:val="00D849A3"/>
    <w:rsid w:val="00D857E0"/>
    <w:rsid w:val="00D859E2"/>
    <w:rsid w:val="00D85C82"/>
    <w:rsid w:val="00D85D73"/>
    <w:rsid w:val="00D86255"/>
    <w:rsid w:val="00D86452"/>
    <w:rsid w:val="00D866B9"/>
    <w:rsid w:val="00D871B9"/>
    <w:rsid w:val="00D87CDE"/>
    <w:rsid w:val="00D900B3"/>
    <w:rsid w:val="00D90411"/>
    <w:rsid w:val="00D90B54"/>
    <w:rsid w:val="00D90CC4"/>
    <w:rsid w:val="00D917FA"/>
    <w:rsid w:val="00D920AE"/>
    <w:rsid w:val="00D92612"/>
    <w:rsid w:val="00D92E88"/>
    <w:rsid w:val="00D92F77"/>
    <w:rsid w:val="00D932F0"/>
    <w:rsid w:val="00D93303"/>
    <w:rsid w:val="00D93515"/>
    <w:rsid w:val="00D93CC4"/>
    <w:rsid w:val="00D94036"/>
    <w:rsid w:val="00D94525"/>
    <w:rsid w:val="00D945CC"/>
    <w:rsid w:val="00D95046"/>
    <w:rsid w:val="00D95202"/>
    <w:rsid w:val="00D9540F"/>
    <w:rsid w:val="00D9568B"/>
    <w:rsid w:val="00D9580C"/>
    <w:rsid w:val="00D96165"/>
    <w:rsid w:val="00D961F5"/>
    <w:rsid w:val="00D96A53"/>
    <w:rsid w:val="00D96D40"/>
    <w:rsid w:val="00D96EAE"/>
    <w:rsid w:val="00D97191"/>
    <w:rsid w:val="00D97BED"/>
    <w:rsid w:val="00DA00CD"/>
    <w:rsid w:val="00DA0AFF"/>
    <w:rsid w:val="00DA0B37"/>
    <w:rsid w:val="00DA120A"/>
    <w:rsid w:val="00DA14D9"/>
    <w:rsid w:val="00DA213F"/>
    <w:rsid w:val="00DA23F6"/>
    <w:rsid w:val="00DA2487"/>
    <w:rsid w:val="00DA25C1"/>
    <w:rsid w:val="00DA2EC7"/>
    <w:rsid w:val="00DA3088"/>
    <w:rsid w:val="00DA30B7"/>
    <w:rsid w:val="00DA3B27"/>
    <w:rsid w:val="00DA3C96"/>
    <w:rsid w:val="00DA493A"/>
    <w:rsid w:val="00DA4B69"/>
    <w:rsid w:val="00DA5225"/>
    <w:rsid w:val="00DA528D"/>
    <w:rsid w:val="00DA5465"/>
    <w:rsid w:val="00DA5E0E"/>
    <w:rsid w:val="00DA5FA2"/>
    <w:rsid w:val="00DA6365"/>
    <w:rsid w:val="00DA6593"/>
    <w:rsid w:val="00DA76A2"/>
    <w:rsid w:val="00DB00B7"/>
    <w:rsid w:val="00DB11C1"/>
    <w:rsid w:val="00DB1472"/>
    <w:rsid w:val="00DB1583"/>
    <w:rsid w:val="00DB1813"/>
    <w:rsid w:val="00DB1882"/>
    <w:rsid w:val="00DB195E"/>
    <w:rsid w:val="00DB26FA"/>
    <w:rsid w:val="00DB2D04"/>
    <w:rsid w:val="00DB301E"/>
    <w:rsid w:val="00DB34C0"/>
    <w:rsid w:val="00DB3B88"/>
    <w:rsid w:val="00DB3D26"/>
    <w:rsid w:val="00DB3FCA"/>
    <w:rsid w:val="00DB43D7"/>
    <w:rsid w:val="00DB521C"/>
    <w:rsid w:val="00DB6436"/>
    <w:rsid w:val="00DB69D0"/>
    <w:rsid w:val="00DB6FD0"/>
    <w:rsid w:val="00DB73A5"/>
    <w:rsid w:val="00DB7414"/>
    <w:rsid w:val="00DB758B"/>
    <w:rsid w:val="00DC029F"/>
    <w:rsid w:val="00DC0734"/>
    <w:rsid w:val="00DC0984"/>
    <w:rsid w:val="00DC1493"/>
    <w:rsid w:val="00DC2440"/>
    <w:rsid w:val="00DC26D3"/>
    <w:rsid w:val="00DC376F"/>
    <w:rsid w:val="00DC37B4"/>
    <w:rsid w:val="00DC477E"/>
    <w:rsid w:val="00DC47FD"/>
    <w:rsid w:val="00DC4985"/>
    <w:rsid w:val="00DC537A"/>
    <w:rsid w:val="00DC5717"/>
    <w:rsid w:val="00DC5A50"/>
    <w:rsid w:val="00DC77B5"/>
    <w:rsid w:val="00DC77D3"/>
    <w:rsid w:val="00DC7A69"/>
    <w:rsid w:val="00DD0220"/>
    <w:rsid w:val="00DD0369"/>
    <w:rsid w:val="00DD0BC8"/>
    <w:rsid w:val="00DD1E83"/>
    <w:rsid w:val="00DD1ECD"/>
    <w:rsid w:val="00DD286D"/>
    <w:rsid w:val="00DD29B7"/>
    <w:rsid w:val="00DD3198"/>
    <w:rsid w:val="00DD34E7"/>
    <w:rsid w:val="00DD354E"/>
    <w:rsid w:val="00DD3BC2"/>
    <w:rsid w:val="00DD4468"/>
    <w:rsid w:val="00DD4F0E"/>
    <w:rsid w:val="00DD503F"/>
    <w:rsid w:val="00DD5314"/>
    <w:rsid w:val="00DD533F"/>
    <w:rsid w:val="00DD5802"/>
    <w:rsid w:val="00DD5888"/>
    <w:rsid w:val="00DD5998"/>
    <w:rsid w:val="00DD6F68"/>
    <w:rsid w:val="00DD7136"/>
    <w:rsid w:val="00DD7381"/>
    <w:rsid w:val="00DD770A"/>
    <w:rsid w:val="00DD7F68"/>
    <w:rsid w:val="00DE1016"/>
    <w:rsid w:val="00DE10AF"/>
    <w:rsid w:val="00DE145F"/>
    <w:rsid w:val="00DE1A8A"/>
    <w:rsid w:val="00DE1D6F"/>
    <w:rsid w:val="00DE245C"/>
    <w:rsid w:val="00DE27DA"/>
    <w:rsid w:val="00DE382F"/>
    <w:rsid w:val="00DE3A45"/>
    <w:rsid w:val="00DE3C27"/>
    <w:rsid w:val="00DE4143"/>
    <w:rsid w:val="00DE459D"/>
    <w:rsid w:val="00DE49B9"/>
    <w:rsid w:val="00DE4BE8"/>
    <w:rsid w:val="00DE4C99"/>
    <w:rsid w:val="00DE4D25"/>
    <w:rsid w:val="00DE5532"/>
    <w:rsid w:val="00DE5992"/>
    <w:rsid w:val="00DE5ACE"/>
    <w:rsid w:val="00DE5E84"/>
    <w:rsid w:val="00DE651A"/>
    <w:rsid w:val="00DE66DD"/>
    <w:rsid w:val="00DE6AB3"/>
    <w:rsid w:val="00DE6C3D"/>
    <w:rsid w:val="00DE6DB8"/>
    <w:rsid w:val="00DE721F"/>
    <w:rsid w:val="00DE72BD"/>
    <w:rsid w:val="00DE7E7E"/>
    <w:rsid w:val="00DE7FEA"/>
    <w:rsid w:val="00DF0633"/>
    <w:rsid w:val="00DF0B13"/>
    <w:rsid w:val="00DF15F7"/>
    <w:rsid w:val="00DF177B"/>
    <w:rsid w:val="00DF24E8"/>
    <w:rsid w:val="00DF2542"/>
    <w:rsid w:val="00DF2593"/>
    <w:rsid w:val="00DF278C"/>
    <w:rsid w:val="00DF2CEC"/>
    <w:rsid w:val="00DF3125"/>
    <w:rsid w:val="00DF3CAA"/>
    <w:rsid w:val="00DF3D43"/>
    <w:rsid w:val="00DF3DF0"/>
    <w:rsid w:val="00DF4144"/>
    <w:rsid w:val="00DF43EF"/>
    <w:rsid w:val="00DF4857"/>
    <w:rsid w:val="00DF4887"/>
    <w:rsid w:val="00DF54CB"/>
    <w:rsid w:val="00DF567E"/>
    <w:rsid w:val="00DF5816"/>
    <w:rsid w:val="00DF5819"/>
    <w:rsid w:val="00DF599D"/>
    <w:rsid w:val="00DF671E"/>
    <w:rsid w:val="00DF6DA8"/>
    <w:rsid w:val="00DF735D"/>
    <w:rsid w:val="00DF741C"/>
    <w:rsid w:val="00DF7639"/>
    <w:rsid w:val="00E001ED"/>
    <w:rsid w:val="00E00266"/>
    <w:rsid w:val="00E007C9"/>
    <w:rsid w:val="00E017D5"/>
    <w:rsid w:val="00E021C6"/>
    <w:rsid w:val="00E0230E"/>
    <w:rsid w:val="00E02A4B"/>
    <w:rsid w:val="00E02B88"/>
    <w:rsid w:val="00E02C22"/>
    <w:rsid w:val="00E02DE3"/>
    <w:rsid w:val="00E03184"/>
    <w:rsid w:val="00E03A9D"/>
    <w:rsid w:val="00E044A0"/>
    <w:rsid w:val="00E04A6B"/>
    <w:rsid w:val="00E04EE6"/>
    <w:rsid w:val="00E055D6"/>
    <w:rsid w:val="00E06D25"/>
    <w:rsid w:val="00E06F11"/>
    <w:rsid w:val="00E0707F"/>
    <w:rsid w:val="00E07581"/>
    <w:rsid w:val="00E100CC"/>
    <w:rsid w:val="00E10A84"/>
    <w:rsid w:val="00E117EA"/>
    <w:rsid w:val="00E12827"/>
    <w:rsid w:val="00E136AC"/>
    <w:rsid w:val="00E143C6"/>
    <w:rsid w:val="00E14885"/>
    <w:rsid w:val="00E14907"/>
    <w:rsid w:val="00E14B84"/>
    <w:rsid w:val="00E16066"/>
    <w:rsid w:val="00E16D9D"/>
    <w:rsid w:val="00E16ECB"/>
    <w:rsid w:val="00E1723A"/>
    <w:rsid w:val="00E1747B"/>
    <w:rsid w:val="00E1770E"/>
    <w:rsid w:val="00E1789D"/>
    <w:rsid w:val="00E17D63"/>
    <w:rsid w:val="00E201E6"/>
    <w:rsid w:val="00E2032F"/>
    <w:rsid w:val="00E21903"/>
    <w:rsid w:val="00E21DF2"/>
    <w:rsid w:val="00E230BA"/>
    <w:rsid w:val="00E2372C"/>
    <w:rsid w:val="00E23A7E"/>
    <w:rsid w:val="00E23E02"/>
    <w:rsid w:val="00E244BF"/>
    <w:rsid w:val="00E24675"/>
    <w:rsid w:val="00E249A1"/>
    <w:rsid w:val="00E24F48"/>
    <w:rsid w:val="00E25156"/>
    <w:rsid w:val="00E2534C"/>
    <w:rsid w:val="00E25984"/>
    <w:rsid w:val="00E25CF5"/>
    <w:rsid w:val="00E26F9E"/>
    <w:rsid w:val="00E27084"/>
    <w:rsid w:val="00E272EE"/>
    <w:rsid w:val="00E2756E"/>
    <w:rsid w:val="00E27611"/>
    <w:rsid w:val="00E27776"/>
    <w:rsid w:val="00E27FC2"/>
    <w:rsid w:val="00E27FED"/>
    <w:rsid w:val="00E30080"/>
    <w:rsid w:val="00E30CD4"/>
    <w:rsid w:val="00E3100F"/>
    <w:rsid w:val="00E31286"/>
    <w:rsid w:val="00E317C1"/>
    <w:rsid w:val="00E31E5C"/>
    <w:rsid w:val="00E32DC5"/>
    <w:rsid w:val="00E32EAB"/>
    <w:rsid w:val="00E32FDE"/>
    <w:rsid w:val="00E3405E"/>
    <w:rsid w:val="00E34280"/>
    <w:rsid w:val="00E34E58"/>
    <w:rsid w:val="00E35A94"/>
    <w:rsid w:val="00E35EC0"/>
    <w:rsid w:val="00E36703"/>
    <w:rsid w:val="00E36B2B"/>
    <w:rsid w:val="00E37059"/>
    <w:rsid w:val="00E3714B"/>
    <w:rsid w:val="00E371AE"/>
    <w:rsid w:val="00E378AC"/>
    <w:rsid w:val="00E37957"/>
    <w:rsid w:val="00E379B6"/>
    <w:rsid w:val="00E37B6D"/>
    <w:rsid w:val="00E37F4C"/>
    <w:rsid w:val="00E40D74"/>
    <w:rsid w:val="00E4108A"/>
    <w:rsid w:val="00E41291"/>
    <w:rsid w:val="00E416E6"/>
    <w:rsid w:val="00E416FF"/>
    <w:rsid w:val="00E418EC"/>
    <w:rsid w:val="00E419A9"/>
    <w:rsid w:val="00E419FF"/>
    <w:rsid w:val="00E423D3"/>
    <w:rsid w:val="00E42BD3"/>
    <w:rsid w:val="00E43044"/>
    <w:rsid w:val="00E43359"/>
    <w:rsid w:val="00E4454D"/>
    <w:rsid w:val="00E44D8F"/>
    <w:rsid w:val="00E4536E"/>
    <w:rsid w:val="00E4563B"/>
    <w:rsid w:val="00E45FB3"/>
    <w:rsid w:val="00E46A19"/>
    <w:rsid w:val="00E46A31"/>
    <w:rsid w:val="00E46FA8"/>
    <w:rsid w:val="00E47046"/>
    <w:rsid w:val="00E470A6"/>
    <w:rsid w:val="00E472A1"/>
    <w:rsid w:val="00E47B7E"/>
    <w:rsid w:val="00E5096C"/>
    <w:rsid w:val="00E511DA"/>
    <w:rsid w:val="00E516DB"/>
    <w:rsid w:val="00E5185F"/>
    <w:rsid w:val="00E518F5"/>
    <w:rsid w:val="00E51E89"/>
    <w:rsid w:val="00E527C1"/>
    <w:rsid w:val="00E52994"/>
    <w:rsid w:val="00E53B98"/>
    <w:rsid w:val="00E53F5B"/>
    <w:rsid w:val="00E53FFE"/>
    <w:rsid w:val="00E54431"/>
    <w:rsid w:val="00E562BE"/>
    <w:rsid w:val="00E5677F"/>
    <w:rsid w:val="00E56BB2"/>
    <w:rsid w:val="00E56FE5"/>
    <w:rsid w:val="00E60787"/>
    <w:rsid w:val="00E60AA3"/>
    <w:rsid w:val="00E60B9A"/>
    <w:rsid w:val="00E60BA3"/>
    <w:rsid w:val="00E6111E"/>
    <w:rsid w:val="00E6114E"/>
    <w:rsid w:val="00E620DD"/>
    <w:rsid w:val="00E62639"/>
    <w:rsid w:val="00E63162"/>
    <w:rsid w:val="00E637E0"/>
    <w:rsid w:val="00E63960"/>
    <w:rsid w:val="00E639FA"/>
    <w:rsid w:val="00E65F9A"/>
    <w:rsid w:val="00E66064"/>
    <w:rsid w:val="00E66324"/>
    <w:rsid w:val="00E6698A"/>
    <w:rsid w:val="00E669C0"/>
    <w:rsid w:val="00E67072"/>
    <w:rsid w:val="00E675D5"/>
    <w:rsid w:val="00E67725"/>
    <w:rsid w:val="00E70D1B"/>
    <w:rsid w:val="00E71626"/>
    <w:rsid w:val="00E71C65"/>
    <w:rsid w:val="00E71EAC"/>
    <w:rsid w:val="00E721E7"/>
    <w:rsid w:val="00E7278C"/>
    <w:rsid w:val="00E7291F"/>
    <w:rsid w:val="00E72ADA"/>
    <w:rsid w:val="00E72FC3"/>
    <w:rsid w:val="00E73171"/>
    <w:rsid w:val="00E73534"/>
    <w:rsid w:val="00E73711"/>
    <w:rsid w:val="00E73784"/>
    <w:rsid w:val="00E73EA5"/>
    <w:rsid w:val="00E74310"/>
    <w:rsid w:val="00E746E6"/>
    <w:rsid w:val="00E754A8"/>
    <w:rsid w:val="00E75575"/>
    <w:rsid w:val="00E762B8"/>
    <w:rsid w:val="00E763ED"/>
    <w:rsid w:val="00E76BBD"/>
    <w:rsid w:val="00E76FD5"/>
    <w:rsid w:val="00E7722F"/>
    <w:rsid w:val="00E77A93"/>
    <w:rsid w:val="00E8048A"/>
    <w:rsid w:val="00E805F1"/>
    <w:rsid w:val="00E80763"/>
    <w:rsid w:val="00E8091C"/>
    <w:rsid w:val="00E80937"/>
    <w:rsid w:val="00E80B8F"/>
    <w:rsid w:val="00E81172"/>
    <w:rsid w:val="00E818A2"/>
    <w:rsid w:val="00E82038"/>
    <w:rsid w:val="00E820AE"/>
    <w:rsid w:val="00E82307"/>
    <w:rsid w:val="00E8237A"/>
    <w:rsid w:val="00E82396"/>
    <w:rsid w:val="00E83021"/>
    <w:rsid w:val="00E83880"/>
    <w:rsid w:val="00E84467"/>
    <w:rsid w:val="00E84FB0"/>
    <w:rsid w:val="00E85421"/>
    <w:rsid w:val="00E86228"/>
    <w:rsid w:val="00E865F4"/>
    <w:rsid w:val="00E86C00"/>
    <w:rsid w:val="00E8711A"/>
    <w:rsid w:val="00E8718C"/>
    <w:rsid w:val="00E872DD"/>
    <w:rsid w:val="00E8762D"/>
    <w:rsid w:val="00E87806"/>
    <w:rsid w:val="00E879FC"/>
    <w:rsid w:val="00E87C95"/>
    <w:rsid w:val="00E87FB1"/>
    <w:rsid w:val="00E87FDE"/>
    <w:rsid w:val="00E90692"/>
    <w:rsid w:val="00E906ED"/>
    <w:rsid w:val="00E91B5F"/>
    <w:rsid w:val="00E920E3"/>
    <w:rsid w:val="00E924B2"/>
    <w:rsid w:val="00E924BA"/>
    <w:rsid w:val="00E92C21"/>
    <w:rsid w:val="00E932BC"/>
    <w:rsid w:val="00E93C60"/>
    <w:rsid w:val="00E93FAB"/>
    <w:rsid w:val="00E940A8"/>
    <w:rsid w:val="00E941C9"/>
    <w:rsid w:val="00E9507B"/>
    <w:rsid w:val="00E9599B"/>
    <w:rsid w:val="00E95BC7"/>
    <w:rsid w:val="00E95D60"/>
    <w:rsid w:val="00E96A2E"/>
    <w:rsid w:val="00E96BE5"/>
    <w:rsid w:val="00E96F0B"/>
    <w:rsid w:val="00E97133"/>
    <w:rsid w:val="00EA0065"/>
    <w:rsid w:val="00EA036C"/>
    <w:rsid w:val="00EA0B2F"/>
    <w:rsid w:val="00EA0EE9"/>
    <w:rsid w:val="00EA103C"/>
    <w:rsid w:val="00EA1459"/>
    <w:rsid w:val="00EA1824"/>
    <w:rsid w:val="00EA196D"/>
    <w:rsid w:val="00EA1CA6"/>
    <w:rsid w:val="00EA2950"/>
    <w:rsid w:val="00EA2A83"/>
    <w:rsid w:val="00EA2D6E"/>
    <w:rsid w:val="00EA3135"/>
    <w:rsid w:val="00EA317B"/>
    <w:rsid w:val="00EA330A"/>
    <w:rsid w:val="00EA3FC9"/>
    <w:rsid w:val="00EA499D"/>
    <w:rsid w:val="00EA4D76"/>
    <w:rsid w:val="00EA523C"/>
    <w:rsid w:val="00EA5C35"/>
    <w:rsid w:val="00EA634F"/>
    <w:rsid w:val="00EA700F"/>
    <w:rsid w:val="00EA703E"/>
    <w:rsid w:val="00EA730C"/>
    <w:rsid w:val="00EA768A"/>
    <w:rsid w:val="00EB1BB9"/>
    <w:rsid w:val="00EB1D97"/>
    <w:rsid w:val="00EB1F5B"/>
    <w:rsid w:val="00EB289C"/>
    <w:rsid w:val="00EB2BC6"/>
    <w:rsid w:val="00EB31CE"/>
    <w:rsid w:val="00EB3432"/>
    <w:rsid w:val="00EB3692"/>
    <w:rsid w:val="00EB3775"/>
    <w:rsid w:val="00EB3851"/>
    <w:rsid w:val="00EB3E28"/>
    <w:rsid w:val="00EB3F34"/>
    <w:rsid w:val="00EB4AAD"/>
    <w:rsid w:val="00EB57EC"/>
    <w:rsid w:val="00EB5D1A"/>
    <w:rsid w:val="00EB679F"/>
    <w:rsid w:val="00EB72A7"/>
    <w:rsid w:val="00EB788D"/>
    <w:rsid w:val="00EC007C"/>
    <w:rsid w:val="00EC0707"/>
    <w:rsid w:val="00EC1567"/>
    <w:rsid w:val="00EC17DD"/>
    <w:rsid w:val="00EC1AA4"/>
    <w:rsid w:val="00EC1B5D"/>
    <w:rsid w:val="00EC2041"/>
    <w:rsid w:val="00EC2345"/>
    <w:rsid w:val="00EC261D"/>
    <w:rsid w:val="00EC2742"/>
    <w:rsid w:val="00EC2B45"/>
    <w:rsid w:val="00EC2ECE"/>
    <w:rsid w:val="00EC3470"/>
    <w:rsid w:val="00EC3BC7"/>
    <w:rsid w:val="00EC46FC"/>
    <w:rsid w:val="00EC489A"/>
    <w:rsid w:val="00EC496E"/>
    <w:rsid w:val="00EC4E19"/>
    <w:rsid w:val="00EC5D65"/>
    <w:rsid w:val="00EC5ED2"/>
    <w:rsid w:val="00EC6018"/>
    <w:rsid w:val="00EC63B8"/>
    <w:rsid w:val="00EC65B4"/>
    <w:rsid w:val="00EC70DB"/>
    <w:rsid w:val="00EC7683"/>
    <w:rsid w:val="00EC77A4"/>
    <w:rsid w:val="00EC7975"/>
    <w:rsid w:val="00EC7C67"/>
    <w:rsid w:val="00EC7D2B"/>
    <w:rsid w:val="00ED02FE"/>
    <w:rsid w:val="00ED0BA3"/>
    <w:rsid w:val="00ED0C53"/>
    <w:rsid w:val="00ED0F8D"/>
    <w:rsid w:val="00ED144F"/>
    <w:rsid w:val="00ED166F"/>
    <w:rsid w:val="00ED1891"/>
    <w:rsid w:val="00ED1941"/>
    <w:rsid w:val="00ED1BA2"/>
    <w:rsid w:val="00ED2391"/>
    <w:rsid w:val="00ED2519"/>
    <w:rsid w:val="00ED2A47"/>
    <w:rsid w:val="00ED2CB9"/>
    <w:rsid w:val="00ED2E59"/>
    <w:rsid w:val="00ED3E5A"/>
    <w:rsid w:val="00ED3EF7"/>
    <w:rsid w:val="00ED426B"/>
    <w:rsid w:val="00ED4453"/>
    <w:rsid w:val="00ED458D"/>
    <w:rsid w:val="00ED475B"/>
    <w:rsid w:val="00ED49FD"/>
    <w:rsid w:val="00ED4A06"/>
    <w:rsid w:val="00ED4B17"/>
    <w:rsid w:val="00ED4DC8"/>
    <w:rsid w:val="00ED502E"/>
    <w:rsid w:val="00ED5626"/>
    <w:rsid w:val="00ED5983"/>
    <w:rsid w:val="00ED5A8B"/>
    <w:rsid w:val="00ED5D05"/>
    <w:rsid w:val="00ED6497"/>
    <w:rsid w:val="00ED6AD3"/>
    <w:rsid w:val="00ED6E80"/>
    <w:rsid w:val="00ED7F96"/>
    <w:rsid w:val="00EE06D7"/>
    <w:rsid w:val="00EE144C"/>
    <w:rsid w:val="00EE16D9"/>
    <w:rsid w:val="00EE1FD2"/>
    <w:rsid w:val="00EE2460"/>
    <w:rsid w:val="00EE252C"/>
    <w:rsid w:val="00EE2762"/>
    <w:rsid w:val="00EE2BC8"/>
    <w:rsid w:val="00EE307A"/>
    <w:rsid w:val="00EE3D83"/>
    <w:rsid w:val="00EE4037"/>
    <w:rsid w:val="00EE4253"/>
    <w:rsid w:val="00EE470A"/>
    <w:rsid w:val="00EE49CC"/>
    <w:rsid w:val="00EE52A5"/>
    <w:rsid w:val="00EE53C2"/>
    <w:rsid w:val="00EE55E9"/>
    <w:rsid w:val="00EE5A5B"/>
    <w:rsid w:val="00EE6010"/>
    <w:rsid w:val="00EE63CE"/>
    <w:rsid w:val="00EE6452"/>
    <w:rsid w:val="00EE651E"/>
    <w:rsid w:val="00EE6E7F"/>
    <w:rsid w:val="00EE772F"/>
    <w:rsid w:val="00EE7843"/>
    <w:rsid w:val="00EE78F4"/>
    <w:rsid w:val="00EE7E5F"/>
    <w:rsid w:val="00EF0301"/>
    <w:rsid w:val="00EF0D69"/>
    <w:rsid w:val="00EF0EDA"/>
    <w:rsid w:val="00EF15D4"/>
    <w:rsid w:val="00EF255F"/>
    <w:rsid w:val="00EF278E"/>
    <w:rsid w:val="00EF2921"/>
    <w:rsid w:val="00EF2AA2"/>
    <w:rsid w:val="00EF2E56"/>
    <w:rsid w:val="00EF3107"/>
    <w:rsid w:val="00EF356F"/>
    <w:rsid w:val="00EF3742"/>
    <w:rsid w:val="00EF376C"/>
    <w:rsid w:val="00EF3B75"/>
    <w:rsid w:val="00EF40C8"/>
    <w:rsid w:val="00EF4273"/>
    <w:rsid w:val="00EF4ACE"/>
    <w:rsid w:val="00EF5326"/>
    <w:rsid w:val="00EF534F"/>
    <w:rsid w:val="00EF586B"/>
    <w:rsid w:val="00EF5899"/>
    <w:rsid w:val="00EF64AE"/>
    <w:rsid w:val="00EF680E"/>
    <w:rsid w:val="00EF6A11"/>
    <w:rsid w:val="00EF7062"/>
    <w:rsid w:val="00EF7ADA"/>
    <w:rsid w:val="00EF7D28"/>
    <w:rsid w:val="00F0003D"/>
    <w:rsid w:val="00F0060A"/>
    <w:rsid w:val="00F00E00"/>
    <w:rsid w:val="00F0118B"/>
    <w:rsid w:val="00F012DE"/>
    <w:rsid w:val="00F0133B"/>
    <w:rsid w:val="00F01A51"/>
    <w:rsid w:val="00F026BD"/>
    <w:rsid w:val="00F027B8"/>
    <w:rsid w:val="00F02962"/>
    <w:rsid w:val="00F0305D"/>
    <w:rsid w:val="00F036A7"/>
    <w:rsid w:val="00F03C4C"/>
    <w:rsid w:val="00F03DF0"/>
    <w:rsid w:val="00F040AD"/>
    <w:rsid w:val="00F045FF"/>
    <w:rsid w:val="00F048CE"/>
    <w:rsid w:val="00F061B5"/>
    <w:rsid w:val="00F06ACF"/>
    <w:rsid w:val="00F06F6D"/>
    <w:rsid w:val="00F07021"/>
    <w:rsid w:val="00F073D7"/>
    <w:rsid w:val="00F078F3"/>
    <w:rsid w:val="00F07E67"/>
    <w:rsid w:val="00F10135"/>
    <w:rsid w:val="00F10495"/>
    <w:rsid w:val="00F104CC"/>
    <w:rsid w:val="00F108DD"/>
    <w:rsid w:val="00F1154E"/>
    <w:rsid w:val="00F115DD"/>
    <w:rsid w:val="00F11C87"/>
    <w:rsid w:val="00F11DC0"/>
    <w:rsid w:val="00F12138"/>
    <w:rsid w:val="00F1224E"/>
    <w:rsid w:val="00F12381"/>
    <w:rsid w:val="00F12A39"/>
    <w:rsid w:val="00F13437"/>
    <w:rsid w:val="00F13D26"/>
    <w:rsid w:val="00F14689"/>
    <w:rsid w:val="00F157A3"/>
    <w:rsid w:val="00F15EF3"/>
    <w:rsid w:val="00F1634E"/>
    <w:rsid w:val="00F16478"/>
    <w:rsid w:val="00F16ECF"/>
    <w:rsid w:val="00F171FD"/>
    <w:rsid w:val="00F17A7B"/>
    <w:rsid w:val="00F17BFF"/>
    <w:rsid w:val="00F17F51"/>
    <w:rsid w:val="00F2012E"/>
    <w:rsid w:val="00F2019C"/>
    <w:rsid w:val="00F2045D"/>
    <w:rsid w:val="00F20ACD"/>
    <w:rsid w:val="00F20BB0"/>
    <w:rsid w:val="00F21049"/>
    <w:rsid w:val="00F218AA"/>
    <w:rsid w:val="00F21A31"/>
    <w:rsid w:val="00F21C85"/>
    <w:rsid w:val="00F22328"/>
    <w:rsid w:val="00F223DE"/>
    <w:rsid w:val="00F22A0C"/>
    <w:rsid w:val="00F22CD9"/>
    <w:rsid w:val="00F230A8"/>
    <w:rsid w:val="00F231D5"/>
    <w:rsid w:val="00F23506"/>
    <w:rsid w:val="00F23598"/>
    <w:rsid w:val="00F23D7C"/>
    <w:rsid w:val="00F24198"/>
    <w:rsid w:val="00F257C2"/>
    <w:rsid w:val="00F26176"/>
    <w:rsid w:val="00F26542"/>
    <w:rsid w:val="00F26CF7"/>
    <w:rsid w:val="00F26DD3"/>
    <w:rsid w:val="00F26F9F"/>
    <w:rsid w:val="00F27062"/>
    <w:rsid w:val="00F27112"/>
    <w:rsid w:val="00F271F5"/>
    <w:rsid w:val="00F2779C"/>
    <w:rsid w:val="00F3012D"/>
    <w:rsid w:val="00F30955"/>
    <w:rsid w:val="00F30DC6"/>
    <w:rsid w:val="00F30E26"/>
    <w:rsid w:val="00F30E3A"/>
    <w:rsid w:val="00F31279"/>
    <w:rsid w:val="00F32473"/>
    <w:rsid w:val="00F326F7"/>
    <w:rsid w:val="00F332B4"/>
    <w:rsid w:val="00F333FF"/>
    <w:rsid w:val="00F33FA1"/>
    <w:rsid w:val="00F34D9A"/>
    <w:rsid w:val="00F35620"/>
    <w:rsid w:val="00F35A4D"/>
    <w:rsid w:val="00F364F5"/>
    <w:rsid w:val="00F36E69"/>
    <w:rsid w:val="00F373B9"/>
    <w:rsid w:val="00F37900"/>
    <w:rsid w:val="00F3791F"/>
    <w:rsid w:val="00F40221"/>
    <w:rsid w:val="00F403AD"/>
    <w:rsid w:val="00F40D3F"/>
    <w:rsid w:val="00F41BEF"/>
    <w:rsid w:val="00F42064"/>
    <w:rsid w:val="00F42069"/>
    <w:rsid w:val="00F423D8"/>
    <w:rsid w:val="00F42625"/>
    <w:rsid w:val="00F42794"/>
    <w:rsid w:val="00F42E03"/>
    <w:rsid w:val="00F4385A"/>
    <w:rsid w:val="00F43BB6"/>
    <w:rsid w:val="00F44254"/>
    <w:rsid w:val="00F44493"/>
    <w:rsid w:val="00F4481D"/>
    <w:rsid w:val="00F44AAA"/>
    <w:rsid w:val="00F4512F"/>
    <w:rsid w:val="00F451EA"/>
    <w:rsid w:val="00F45BF8"/>
    <w:rsid w:val="00F45E3B"/>
    <w:rsid w:val="00F46018"/>
    <w:rsid w:val="00F460A1"/>
    <w:rsid w:val="00F46A24"/>
    <w:rsid w:val="00F46B7F"/>
    <w:rsid w:val="00F46C7F"/>
    <w:rsid w:val="00F47409"/>
    <w:rsid w:val="00F47A4D"/>
    <w:rsid w:val="00F501E3"/>
    <w:rsid w:val="00F5064E"/>
    <w:rsid w:val="00F507A7"/>
    <w:rsid w:val="00F50D88"/>
    <w:rsid w:val="00F50DB2"/>
    <w:rsid w:val="00F511AB"/>
    <w:rsid w:val="00F51882"/>
    <w:rsid w:val="00F51CC4"/>
    <w:rsid w:val="00F5229A"/>
    <w:rsid w:val="00F53216"/>
    <w:rsid w:val="00F53CF3"/>
    <w:rsid w:val="00F53DE8"/>
    <w:rsid w:val="00F54458"/>
    <w:rsid w:val="00F5487B"/>
    <w:rsid w:val="00F552EF"/>
    <w:rsid w:val="00F55773"/>
    <w:rsid w:val="00F55E8D"/>
    <w:rsid w:val="00F56133"/>
    <w:rsid w:val="00F56B03"/>
    <w:rsid w:val="00F56D37"/>
    <w:rsid w:val="00F56E89"/>
    <w:rsid w:val="00F5714C"/>
    <w:rsid w:val="00F571C8"/>
    <w:rsid w:val="00F57A1A"/>
    <w:rsid w:val="00F57E7D"/>
    <w:rsid w:val="00F6008D"/>
    <w:rsid w:val="00F60191"/>
    <w:rsid w:val="00F601DB"/>
    <w:rsid w:val="00F60A84"/>
    <w:rsid w:val="00F60BE2"/>
    <w:rsid w:val="00F61CE9"/>
    <w:rsid w:val="00F623FC"/>
    <w:rsid w:val="00F63BE0"/>
    <w:rsid w:val="00F63ED5"/>
    <w:rsid w:val="00F650F8"/>
    <w:rsid w:val="00F652C3"/>
    <w:rsid w:val="00F65320"/>
    <w:rsid w:val="00F656BA"/>
    <w:rsid w:val="00F65E21"/>
    <w:rsid w:val="00F671F6"/>
    <w:rsid w:val="00F675A7"/>
    <w:rsid w:val="00F67C24"/>
    <w:rsid w:val="00F67D2E"/>
    <w:rsid w:val="00F67FD0"/>
    <w:rsid w:val="00F70155"/>
    <w:rsid w:val="00F7043E"/>
    <w:rsid w:val="00F70998"/>
    <w:rsid w:val="00F710EA"/>
    <w:rsid w:val="00F71372"/>
    <w:rsid w:val="00F713F0"/>
    <w:rsid w:val="00F718CE"/>
    <w:rsid w:val="00F72648"/>
    <w:rsid w:val="00F72BB9"/>
    <w:rsid w:val="00F72C3B"/>
    <w:rsid w:val="00F72EFA"/>
    <w:rsid w:val="00F73E54"/>
    <w:rsid w:val="00F759C2"/>
    <w:rsid w:val="00F75ADA"/>
    <w:rsid w:val="00F7617A"/>
    <w:rsid w:val="00F76711"/>
    <w:rsid w:val="00F76A08"/>
    <w:rsid w:val="00F76B9D"/>
    <w:rsid w:val="00F77013"/>
    <w:rsid w:val="00F7742C"/>
    <w:rsid w:val="00F775D1"/>
    <w:rsid w:val="00F77818"/>
    <w:rsid w:val="00F8008D"/>
    <w:rsid w:val="00F80276"/>
    <w:rsid w:val="00F80B7D"/>
    <w:rsid w:val="00F8124C"/>
    <w:rsid w:val="00F81557"/>
    <w:rsid w:val="00F81601"/>
    <w:rsid w:val="00F81612"/>
    <w:rsid w:val="00F81A9F"/>
    <w:rsid w:val="00F81FDF"/>
    <w:rsid w:val="00F83B54"/>
    <w:rsid w:val="00F857C6"/>
    <w:rsid w:val="00F86E22"/>
    <w:rsid w:val="00F87402"/>
    <w:rsid w:val="00F87E2F"/>
    <w:rsid w:val="00F87FAD"/>
    <w:rsid w:val="00F90B79"/>
    <w:rsid w:val="00F90DFA"/>
    <w:rsid w:val="00F917C7"/>
    <w:rsid w:val="00F92BE7"/>
    <w:rsid w:val="00F92BFD"/>
    <w:rsid w:val="00F92E45"/>
    <w:rsid w:val="00F930C1"/>
    <w:rsid w:val="00F93364"/>
    <w:rsid w:val="00F9382C"/>
    <w:rsid w:val="00F93C1C"/>
    <w:rsid w:val="00F93DE6"/>
    <w:rsid w:val="00F93E80"/>
    <w:rsid w:val="00F94669"/>
    <w:rsid w:val="00F94F01"/>
    <w:rsid w:val="00F954D8"/>
    <w:rsid w:val="00F95530"/>
    <w:rsid w:val="00F96115"/>
    <w:rsid w:val="00F96952"/>
    <w:rsid w:val="00F972C6"/>
    <w:rsid w:val="00F975DE"/>
    <w:rsid w:val="00F97807"/>
    <w:rsid w:val="00F97E9B"/>
    <w:rsid w:val="00FA0107"/>
    <w:rsid w:val="00FA06A7"/>
    <w:rsid w:val="00FA0C6A"/>
    <w:rsid w:val="00FA0D24"/>
    <w:rsid w:val="00FA0ED1"/>
    <w:rsid w:val="00FA1343"/>
    <w:rsid w:val="00FA147D"/>
    <w:rsid w:val="00FA155D"/>
    <w:rsid w:val="00FA198D"/>
    <w:rsid w:val="00FA1F1E"/>
    <w:rsid w:val="00FA2171"/>
    <w:rsid w:val="00FA2E78"/>
    <w:rsid w:val="00FA2EA3"/>
    <w:rsid w:val="00FA303F"/>
    <w:rsid w:val="00FA32B7"/>
    <w:rsid w:val="00FA343D"/>
    <w:rsid w:val="00FA3817"/>
    <w:rsid w:val="00FA3848"/>
    <w:rsid w:val="00FA42D8"/>
    <w:rsid w:val="00FA4DF8"/>
    <w:rsid w:val="00FA4F20"/>
    <w:rsid w:val="00FA5137"/>
    <w:rsid w:val="00FA51B9"/>
    <w:rsid w:val="00FA5557"/>
    <w:rsid w:val="00FA58FB"/>
    <w:rsid w:val="00FA5BDA"/>
    <w:rsid w:val="00FA62AF"/>
    <w:rsid w:val="00FA6314"/>
    <w:rsid w:val="00FA6BC7"/>
    <w:rsid w:val="00FA6CD8"/>
    <w:rsid w:val="00FA79CB"/>
    <w:rsid w:val="00FB0105"/>
    <w:rsid w:val="00FB010C"/>
    <w:rsid w:val="00FB02D3"/>
    <w:rsid w:val="00FB04F9"/>
    <w:rsid w:val="00FB077D"/>
    <w:rsid w:val="00FB08D9"/>
    <w:rsid w:val="00FB0E23"/>
    <w:rsid w:val="00FB0F60"/>
    <w:rsid w:val="00FB0FCC"/>
    <w:rsid w:val="00FB10B6"/>
    <w:rsid w:val="00FB1258"/>
    <w:rsid w:val="00FB174B"/>
    <w:rsid w:val="00FB1796"/>
    <w:rsid w:val="00FB1879"/>
    <w:rsid w:val="00FB1B3D"/>
    <w:rsid w:val="00FB28E4"/>
    <w:rsid w:val="00FB2CD1"/>
    <w:rsid w:val="00FB33D6"/>
    <w:rsid w:val="00FB33F6"/>
    <w:rsid w:val="00FB3457"/>
    <w:rsid w:val="00FB3517"/>
    <w:rsid w:val="00FB3766"/>
    <w:rsid w:val="00FB3B20"/>
    <w:rsid w:val="00FB41B1"/>
    <w:rsid w:val="00FB44EC"/>
    <w:rsid w:val="00FB5039"/>
    <w:rsid w:val="00FB520C"/>
    <w:rsid w:val="00FB58FB"/>
    <w:rsid w:val="00FB5A4B"/>
    <w:rsid w:val="00FB5F8C"/>
    <w:rsid w:val="00FB610C"/>
    <w:rsid w:val="00FB6854"/>
    <w:rsid w:val="00FB6CC2"/>
    <w:rsid w:val="00FB7729"/>
    <w:rsid w:val="00FB7CC8"/>
    <w:rsid w:val="00FC0095"/>
    <w:rsid w:val="00FC021F"/>
    <w:rsid w:val="00FC04FE"/>
    <w:rsid w:val="00FC0855"/>
    <w:rsid w:val="00FC0A07"/>
    <w:rsid w:val="00FC1290"/>
    <w:rsid w:val="00FC1B70"/>
    <w:rsid w:val="00FC2134"/>
    <w:rsid w:val="00FC2561"/>
    <w:rsid w:val="00FC2A18"/>
    <w:rsid w:val="00FC2D08"/>
    <w:rsid w:val="00FC2DE1"/>
    <w:rsid w:val="00FC302B"/>
    <w:rsid w:val="00FC3709"/>
    <w:rsid w:val="00FC4025"/>
    <w:rsid w:val="00FC47A2"/>
    <w:rsid w:val="00FC4BDC"/>
    <w:rsid w:val="00FC4F15"/>
    <w:rsid w:val="00FC518B"/>
    <w:rsid w:val="00FC5C57"/>
    <w:rsid w:val="00FC604B"/>
    <w:rsid w:val="00FC64A5"/>
    <w:rsid w:val="00FC64CB"/>
    <w:rsid w:val="00FC737A"/>
    <w:rsid w:val="00FC755F"/>
    <w:rsid w:val="00FD01EA"/>
    <w:rsid w:val="00FD0624"/>
    <w:rsid w:val="00FD0747"/>
    <w:rsid w:val="00FD0B63"/>
    <w:rsid w:val="00FD1496"/>
    <w:rsid w:val="00FD17F4"/>
    <w:rsid w:val="00FD1BFE"/>
    <w:rsid w:val="00FD2724"/>
    <w:rsid w:val="00FD28E1"/>
    <w:rsid w:val="00FD29E7"/>
    <w:rsid w:val="00FD31DF"/>
    <w:rsid w:val="00FD386C"/>
    <w:rsid w:val="00FD390B"/>
    <w:rsid w:val="00FD3A52"/>
    <w:rsid w:val="00FD3AE7"/>
    <w:rsid w:val="00FD3BC2"/>
    <w:rsid w:val="00FD430E"/>
    <w:rsid w:val="00FD49FA"/>
    <w:rsid w:val="00FD50D8"/>
    <w:rsid w:val="00FD5119"/>
    <w:rsid w:val="00FD5B82"/>
    <w:rsid w:val="00FD61ED"/>
    <w:rsid w:val="00FD6223"/>
    <w:rsid w:val="00FD653A"/>
    <w:rsid w:val="00FD6A69"/>
    <w:rsid w:val="00FD750E"/>
    <w:rsid w:val="00FD7876"/>
    <w:rsid w:val="00FD79D5"/>
    <w:rsid w:val="00FD7E14"/>
    <w:rsid w:val="00FE00D1"/>
    <w:rsid w:val="00FE0A02"/>
    <w:rsid w:val="00FE0DC8"/>
    <w:rsid w:val="00FE1083"/>
    <w:rsid w:val="00FE119C"/>
    <w:rsid w:val="00FE1E56"/>
    <w:rsid w:val="00FE1EC6"/>
    <w:rsid w:val="00FE24CE"/>
    <w:rsid w:val="00FE26E9"/>
    <w:rsid w:val="00FE37E9"/>
    <w:rsid w:val="00FE4162"/>
    <w:rsid w:val="00FE4548"/>
    <w:rsid w:val="00FE4788"/>
    <w:rsid w:val="00FE4967"/>
    <w:rsid w:val="00FE600E"/>
    <w:rsid w:val="00FE607C"/>
    <w:rsid w:val="00FE6326"/>
    <w:rsid w:val="00FE6C32"/>
    <w:rsid w:val="00FE6DF4"/>
    <w:rsid w:val="00FE700E"/>
    <w:rsid w:val="00FE7053"/>
    <w:rsid w:val="00FE7175"/>
    <w:rsid w:val="00FE7524"/>
    <w:rsid w:val="00FE78EF"/>
    <w:rsid w:val="00FE7CF4"/>
    <w:rsid w:val="00FF077D"/>
    <w:rsid w:val="00FF0963"/>
    <w:rsid w:val="00FF1293"/>
    <w:rsid w:val="00FF12C8"/>
    <w:rsid w:val="00FF1349"/>
    <w:rsid w:val="00FF14E7"/>
    <w:rsid w:val="00FF1AC3"/>
    <w:rsid w:val="00FF1AF5"/>
    <w:rsid w:val="00FF1EE8"/>
    <w:rsid w:val="00FF2254"/>
    <w:rsid w:val="00FF2439"/>
    <w:rsid w:val="00FF26FF"/>
    <w:rsid w:val="00FF282B"/>
    <w:rsid w:val="00FF2996"/>
    <w:rsid w:val="00FF2D84"/>
    <w:rsid w:val="00FF2FB4"/>
    <w:rsid w:val="00FF33AC"/>
    <w:rsid w:val="00FF3538"/>
    <w:rsid w:val="00FF354B"/>
    <w:rsid w:val="00FF3B88"/>
    <w:rsid w:val="00FF3CE0"/>
    <w:rsid w:val="00FF48B6"/>
    <w:rsid w:val="00FF5DF3"/>
    <w:rsid w:val="00FF5EA1"/>
    <w:rsid w:val="00FF5F55"/>
    <w:rsid w:val="00FF6048"/>
    <w:rsid w:val="00FF6B5B"/>
    <w:rsid w:val="00FF6FA2"/>
    <w:rsid w:val="00FF71FF"/>
    <w:rsid w:val="00FF77D9"/>
    <w:rsid w:val="00FF78F2"/>
    <w:rsid w:val="00FF7F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8" fillcolor="silver">
      <v:fill color="silver"/>
      <o:colormenu v:ext="edit" fillcolor="none"/>
    </o:shapedefaults>
    <o:shapelayout v:ext="edit">
      <o:idmap v:ext="edit" data="1"/>
      <o:rules v:ext="edit">
        <o:r id="V:Rule15" type="connector" idref="#_x0000_s1499"/>
        <o:r id="V:Rule16" type="connector" idref="#_x0000_s1515"/>
        <o:r id="V:Rule17" type="connector" idref="#_x0000_s1502"/>
        <o:r id="V:Rule18" type="connector" idref="#_x0000_s1530"/>
        <o:r id="V:Rule19" type="connector" idref="#_x0000_s1516"/>
        <o:r id="V:Rule20" type="connector" idref="#_x0000_s1498"/>
        <o:r id="V:Rule21" type="connector" idref="#_x0000_s1497"/>
        <o:r id="V:Rule22" type="connector" idref="#_x0000_s1517"/>
        <o:r id="V:Rule23" type="connector" idref="#_x0000_s1528"/>
        <o:r id="V:Rule24" type="connector" idref="#_x0000_s1518"/>
        <o:r id="V:Rule25" type="connector" idref="#_x0000_s1529"/>
        <o:r id="V:Rule26" type="connector" idref="#_x0000_s1514"/>
        <o:r id="V:Rule27" type="connector" idref="#_x0000_s1527"/>
        <o:r id="V:Rule28" type="connector" idref="#_x0000_s15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er" w:uiPriority="99"/>
    <w:lsdException w:name="caption" w:semiHidden="1" w:unhideWhenUsed="1" w:qFormat="1"/>
    <w:lsdException w:name="Title" w:qFormat="1"/>
    <w:lsdException w:name="Subtitle" w:uiPriority="11" w:qFormat="1"/>
    <w:lsdException w:name="Date"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0C3B63"/>
    <w:pPr>
      <w:widowControl w:val="0"/>
      <w:jc w:val="both"/>
    </w:pPr>
    <w:rPr>
      <w:kern w:val="2"/>
      <w:sz w:val="21"/>
      <w:szCs w:val="24"/>
    </w:rPr>
  </w:style>
  <w:style w:type="paragraph" w:styleId="10">
    <w:name w:val="heading 1"/>
    <w:aliases w:val="（一级标题）,合同标题,H1,章节标题,h1,11,h11,12,h12,13,h13,14,h14,15,h15,16,h16,17,h17,18,h18,19,h19,110,h110,111,h111,112,h112,113,h113,114,h114,115,h115,121,h121,131,h131,141,h141,151,h151,161,h161,171,h171,181,h181,191,h191,1101,h1101,1111,h1111,1121,h1121,H11"/>
    <w:basedOn w:val="a"/>
    <w:next w:val="a"/>
    <w:link w:val="1Char"/>
    <w:uiPriority w:val="9"/>
    <w:qFormat/>
    <w:rsid w:val="000C3B63"/>
    <w:pPr>
      <w:keepNext/>
      <w:spacing w:line="320" w:lineRule="exact"/>
      <w:jc w:val="center"/>
      <w:outlineLvl w:val="0"/>
    </w:pPr>
    <w:rPr>
      <w:rFonts w:ascii="楷体_GB2312" w:eastAsia="华文楷体"/>
      <w:b/>
      <w:bCs/>
    </w:rPr>
  </w:style>
  <w:style w:type="paragraph" w:styleId="2">
    <w:name w:val="heading 2"/>
    <w:aliases w:val="（二级标题）,h2,Heading 2 Hidden,Heading 2 CCBS,heading 2,第一章 标题 2,（一）,PIM2,H2,Titre3,HD2,sect 1.2,H21,sect 1.21,H22,sect 1.22,H211,sect 1.211,H23,sect 1.23,H212,sect 1.212,DO,Titre B,heading 2TOC,节,1.1  heading 2,h:2,h:2app,A,Header 2,Level 2 Head,l2,2"/>
    <w:basedOn w:val="a"/>
    <w:next w:val="a"/>
    <w:link w:val="2Char"/>
    <w:uiPriority w:val="9"/>
    <w:qFormat/>
    <w:rsid w:val="004B1620"/>
    <w:pPr>
      <w:keepNext/>
      <w:keepLines/>
      <w:spacing w:before="260" w:after="260" w:line="416" w:lineRule="auto"/>
      <w:outlineLvl w:val="1"/>
    </w:pPr>
    <w:rPr>
      <w:rFonts w:ascii="Arial" w:eastAsia="黑体" w:hAnsi="Arial"/>
      <w:b/>
      <w:bCs/>
      <w:sz w:val="32"/>
      <w:szCs w:val="32"/>
    </w:rPr>
  </w:style>
  <w:style w:type="paragraph" w:styleId="3">
    <w:name w:val="heading 3"/>
    <w:aliases w:val="（三级标题）,h3,H3,level_3,PIM 3,Level 3 Head,Heading 3 - old,sect1.2.3,sect1.2.31,sect1.2.32,sect1.2.311,sect1.2.33,sect1.2.312,H31,H32,H33,H34,H35,H36,H37,H38,H39,H310,H311,H321,H331,H341,H351,H361,H371,H381,H391,H3101,H312,H322,H332,H342,H352,H362,l3"/>
    <w:basedOn w:val="a"/>
    <w:next w:val="a"/>
    <w:link w:val="3Char"/>
    <w:uiPriority w:val="9"/>
    <w:qFormat/>
    <w:rsid w:val="00CF5A38"/>
    <w:pPr>
      <w:keepNext/>
      <w:keepLines/>
      <w:tabs>
        <w:tab w:val="num" w:pos="1440"/>
      </w:tabs>
      <w:spacing w:before="260" w:after="260" w:line="415" w:lineRule="auto"/>
      <w:ind w:left="1080" w:hanging="720"/>
      <w:outlineLvl w:val="2"/>
    </w:pPr>
    <w:rPr>
      <w:b/>
      <w:bCs/>
      <w:sz w:val="32"/>
      <w:szCs w:val="32"/>
    </w:rPr>
  </w:style>
  <w:style w:type="paragraph" w:styleId="4">
    <w:name w:val="heading 4"/>
    <w:aliases w:val="（四级标题）,h4,PIM 4,H4,bullet,bl,bb,l4,sect 1.2.3.4,Ref Heading 1,rh1,Heading sql,h41,h42,h43,h411,h44,h412,h45,h413,h46,h414,h47,h48,h415,h49,h410,h416,h417,h418,h419,h420,h4110,h421,heading 4,heading 41,heading 42,heading 411,heading 43,heading 412,T"/>
    <w:basedOn w:val="a"/>
    <w:next w:val="a"/>
    <w:link w:val="4Char"/>
    <w:uiPriority w:val="9"/>
    <w:qFormat/>
    <w:rsid w:val="00CF5A38"/>
    <w:pPr>
      <w:keepNext/>
      <w:keepLines/>
      <w:tabs>
        <w:tab w:val="num" w:pos="864"/>
      </w:tabs>
      <w:spacing w:before="240" w:after="120" w:line="377" w:lineRule="auto"/>
      <w:ind w:left="864" w:hanging="864"/>
      <w:outlineLvl w:val="3"/>
    </w:pPr>
    <w:rPr>
      <w:rFonts w:ascii="Arial" w:eastAsia="黑体" w:hAnsi="Arial"/>
      <w:b/>
      <w:bCs/>
      <w:sz w:val="28"/>
      <w:szCs w:val="28"/>
    </w:rPr>
  </w:style>
  <w:style w:type="paragraph" w:styleId="5">
    <w:name w:val="heading 5"/>
    <w:aliases w:val="（五级标题）,h5,上海中望标准标题五,H5,h51,heading 51,h52,heading 52,h53,heading 53,dash,ds,dd,PIM 5,heading 5,Level4 Hd,Gliederung 5,H51,H52,H53,H54,H55,H56,H57,H58,H59,H510,H511,H512,H513,H514,H515,H516,H517,H518,H519,H520,H521,H522,H523,H524,H525,H526,H527,H528"/>
    <w:basedOn w:val="a"/>
    <w:next w:val="a"/>
    <w:link w:val="5Char"/>
    <w:qFormat/>
    <w:rsid w:val="00CF5A38"/>
    <w:pPr>
      <w:keepNext/>
      <w:keepLines/>
      <w:tabs>
        <w:tab w:val="num" w:pos="1008"/>
      </w:tabs>
      <w:spacing w:before="280" w:after="290" w:line="376" w:lineRule="auto"/>
      <w:ind w:left="1008" w:hanging="1008"/>
      <w:outlineLvl w:val="4"/>
    </w:pPr>
    <w:rPr>
      <w:b/>
      <w:bCs/>
      <w:sz w:val="28"/>
      <w:szCs w:val="28"/>
    </w:rPr>
  </w:style>
  <w:style w:type="paragraph" w:styleId="6">
    <w:name w:val="heading 6"/>
    <w:aliases w:val="（六级标题）,BOD 4,H6,h6,h61,heading 61,PIM 6,标题 6 Char Char,PIM 6 Char Char Char Char Char,PIM 6 Char,Third Subheading,●,标题 6 Char1,标题 6 Char Char Char,BOD 4 Char,H6 Char,h6 Char,h61 Char,heading 61 Char,PIM 6 Char Char Char Char Char Char Char Char1,L6"/>
    <w:basedOn w:val="a"/>
    <w:next w:val="a"/>
    <w:link w:val="6Char"/>
    <w:qFormat/>
    <w:rsid w:val="00CF5A38"/>
    <w:pPr>
      <w:keepNext/>
      <w:keepLines/>
      <w:tabs>
        <w:tab w:val="num" w:pos="1152"/>
      </w:tabs>
      <w:spacing w:before="240" w:after="64" w:line="320" w:lineRule="auto"/>
      <w:ind w:left="1152" w:hanging="1152"/>
      <w:outlineLvl w:val="5"/>
    </w:pPr>
    <w:rPr>
      <w:rFonts w:ascii="Arial" w:eastAsia="黑体" w:hAnsi="Arial"/>
      <w:b/>
      <w:bCs/>
      <w:sz w:val="24"/>
    </w:rPr>
  </w:style>
  <w:style w:type="paragraph" w:styleId="7">
    <w:name w:val="heading 7"/>
    <w:aliases w:val="（七级标题）,PIM 7,H TIMES1,1.标题 6,PIM 7 Char,不用,◎,1.标题 6 Char,Legal Level 1.1.,letter list,Level 1.1,QCI Heading 1,Do Not Use3,cnc,Caption number (column-wide),st,ITT t7,PA Appendix Major,lettered list,letter list1,lettered list1,letter list2"/>
    <w:basedOn w:val="a"/>
    <w:next w:val="a"/>
    <w:link w:val="7Char"/>
    <w:qFormat/>
    <w:rsid w:val="00CF5A38"/>
    <w:pPr>
      <w:keepNext/>
      <w:keepLines/>
      <w:tabs>
        <w:tab w:val="num" w:pos="1296"/>
      </w:tabs>
      <w:spacing w:before="240" w:after="64" w:line="320" w:lineRule="auto"/>
      <w:ind w:left="1296" w:hanging="1296"/>
      <w:outlineLvl w:val="6"/>
    </w:pPr>
    <w:rPr>
      <w:b/>
      <w:bCs/>
      <w:sz w:val="24"/>
    </w:rPr>
  </w:style>
  <w:style w:type="paragraph" w:styleId="8">
    <w:name w:val="heading 8"/>
    <w:aliases w:val="（八级标题）,注意框体,不用8,Legal Level 1.1.1.,Do Not Use2,h8,ctp,Caption text (page-wide),tt,Center Bold,ITT t8,PA Appendix Minor,Center Bold1,Center Bold2,Center Bold3,Center Bold4,Center Bold5,Center Bold6,action,action1,action2,action11,action3,action4,ac"/>
    <w:basedOn w:val="a"/>
    <w:next w:val="a"/>
    <w:link w:val="8Char"/>
    <w:qFormat/>
    <w:rsid w:val="00CF5A38"/>
    <w:pPr>
      <w:keepNext/>
      <w:keepLines/>
      <w:tabs>
        <w:tab w:val="num" w:pos="1440"/>
      </w:tabs>
      <w:spacing w:before="240" w:after="64" w:line="320" w:lineRule="auto"/>
      <w:ind w:left="1440" w:hanging="1440"/>
      <w:outlineLvl w:val="7"/>
    </w:pPr>
    <w:rPr>
      <w:rFonts w:ascii="Arial" w:eastAsia="黑体" w:hAnsi="Arial"/>
      <w:sz w:val="24"/>
    </w:rPr>
  </w:style>
  <w:style w:type="paragraph" w:styleId="9">
    <w:name w:val="heading 9"/>
    <w:aliases w:val="（九级标题）,App Heading,PIM 9,Appendix,huh,不用9,Legal Level 1.1.1.1.,Do Not Use1,ctc,Caption text (column-wide),ITT t9,App Heading1,App Heading2,progress,progress1,progress2,progress11,progress3,progress4,progress5,progress6,progress7,progress12"/>
    <w:basedOn w:val="a"/>
    <w:next w:val="a"/>
    <w:link w:val="9Char"/>
    <w:qFormat/>
    <w:rsid w:val="00CF5A38"/>
    <w:pPr>
      <w:keepNext/>
      <w:keepLines/>
      <w:tabs>
        <w:tab w:val="num" w:pos="1584"/>
      </w:tabs>
      <w:spacing w:before="240" w:after="64" w:line="320" w:lineRule="auto"/>
      <w:ind w:left="1584" w:hanging="1584"/>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B63"/>
    <w:pPr>
      <w:pBdr>
        <w:bottom w:val="single" w:sz="6" w:space="1" w:color="auto"/>
      </w:pBdr>
      <w:tabs>
        <w:tab w:val="center" w:pos="4153"/>
        <w:tab w:val="right" w:pos="8306"/>
      </w:tabs>
      <w:snapToGrid w:val="0"/>
      <w:jc w:val="center"/>
    </w:pPr>
    <w:rPr>
      <w:sz w:val="18"/>
      <w:szCs w:val="18"/>
    </w:rPr>
  </w:style>
  <w:style w:type="paragraph" w:customStyle="1" w:styleId="11">
    <w:name w:val="1"/>
    <w:basedOn w:val="a"/>
    <w:next w:val="a4"/>
    <w:rsid w:val="000C3B63"/>
    <w:pPr>
      <w:ind w:firstLine="300"/>
    </w:pPr>
    <w:rPr>
      <w:rFonts w:ascii="宋体"/>
      <w:sz w:val="18"/>
      <w:szCs w:val="20"/>
    </w:rPr>
  </w:style>
  <w:style w:type="character" w:styleId="a5">
    <w:name w:val="page number"/>
    <w:basedOn w:val="a0"/>
    <w:rsid w:val="000C3B63"/>
  </w:style>
  <w:style w:type="paragraph" w:styleId="a6">
    <w:name w:val="footer"/>
    <w:basedOn w:val="a"/>
    <w:link w:val="Char0"/>
    <w:uiPriority w:val="99"/>
    <w:rsid w:val="000C3B63"/>
    <w:pPr>
      <w:tabs>
        <w:tab w:val="center" w:pos="4153"/>
        <w:tab w:val="right" w:pos="8306"/>
      </w:tabs>
      <w:snapToGrid w:val="0"/>
      <w:jc w:val="left"/>
    </w:pPr>
    <w:rPr>
      <w:sz w:val="18"/>
      <w:szCs w:val="18"/>
    </w:rPr>
  </w:style>
  <w:style w:type="paragraph" w:styleId="a7">
    <w:name w:val="Body Text"/>
    <w:basedOn w:val="a"/>
    <w:link w:val="Char1"/>
    <w:rsid w:val="000C3B63"/>
    <w:pPr>
      <w:spacing w:after="120"/>
    </w:pPr>
  </w:style>
  <w:style w:type="paragraph" w:styleId="a4">
    <w:name w:val="Body Text Indent"/>
    <w:basedOn w:val="a"/>
    <w:link w:val="Char2"/>
    <w:rsid w:val="000C3B63"/>
    <w:pPr>
      <w:spacing w:after="120"/>
      <w:ind w:leftChars="200" w:left="420"/>
    </w:pPr>
  </w:style>
  <w:style w:type="paragraph" w:styleId="a8">
    <w:name w:val="Balloon Text"/>
    <w:basedOn w:val="a"/>
    <w:link w:val="Char3"/>
    <w:rsid w:val="00F17F51"/>
    <w:rPr>
      <w:sz w:val="18"/>
      <w:szCs w:val="18"/>
    </w:rPr>
  </w:style>
  <w:style w:type="paragraph" w:customStyle="1" w:styleId="xl28">
    <w:name w:val="xl28"/>
    <w:basedOn w:val="a"/>
    <w:rsid w:val="00DB73A5"/>
    <w:pPr>
      <w:widowControl/>
      <w:pBdr>
        <w:right w:val="single" w:sz="4" w:space="0" w:color="auto"/>
      </w:pBdr>
      <w:spacing w:before="100" w:beforeAutospacing="1" w:after="100" w:afterAutospacing="1"/>
      <w:textAlignment w:val="top"/>
    </w:pPr>
    <w:rPr>
      <w:rFonts w:ascii="Arial Unicode MS" w:eastAsia="Arial Unicode MS" w:hAnsi="Arial Unicode MS" w:cs="Century"/>
      <w:kern w:val="0"/>
      <w:sz w:val="18"/>
      <w:szCs w:val="18"/>
    </w:rPr>
  </w:style>
  <w:style w:type="paragraph" w:styleId="20">
    <w:name w:val="Body Text Indent 2"/>
    <w:basedOn w:val="a"/>
    <w:link w:val="2Char0"/>
    <w:uiPriority w:val="99"/>
    <w:rsid w:val="003F7B67"/>
    <w:pPr>
      <w:spacing w:after="120" w:line="480" w:lineRule="auto"/>
      <w:ind w:leftChars="200" w:left="420"/>
    </w:pPr>
  </w:style>
  <w:style w:type="paragraph" w:styleId="a9">
    <w:name w:val="List Paragraph"/>
    <w:basedOn w:val="a"/>
    <w:uiPriority w:val="34"/>
    <w:qFormat/>
    <w:rsid w:val="00BE3263"/>
    <w:pPr>
      <w:ind w:firstLineChars="200" w:firstLine="420"/>
    </w:pPr>
    <w:rPr>
      <w:rFonts w:ascii="Calibri" w:hAnsi="Calibri"/>
      <w:szCs w:val="22"/>
    </w:rPr>
  </w:style>
  <w:style w:type="paragraph" w:styleId="aa">
    <w:name w:val="footnote text"/>
    <w:aliases w:val="Footnote,Fußnote"/>
    <w:basedOn w:val="a"/>
    <w:link w:val="Char4"/>
    <w:unhideWhenUsed/>
    <w:rsid w:val="0075790A"/>
    <w:pPr>
      <w:snapToGrid w:val="0"/>
      <w:jc w:val="left"/>
    </w:pPr>
    <w:rPr>
      <w:sz w:val="18"/>
      <w:szCs w:val="18"/>
    </w:rPr>
  </w:style>
  <w:style w:type="character" w:customStyle="1" w:styleId="Char4">
    <w:name w:val="脚注文本 Char"/>
    <w:aliases w:val="Footnote Char,Fußnote Char"/>
    <w:basedOn w:val="a0"/>
    <w:link w:val="aa"/>
    <w:rsid w:val="0075790A"/>
    <w:rPr>
      <w:rFonts w:eastAsia="宋体"/>
      <w:kern w:val="2"/>
      <w:sz w:val="18"/>
      <w:szCs w:val="18"/>
      <w:lang w:val="en-US" w:eastAsia="zh-CN" w:bidi="ar-SA"/>
    </w:rPr>
  </w:style>
  <w:style w:type="character" w:styleId="ab">
    <w:name w:val="footnote reference"/>
    <w:aliases w:val="Footnote Reference Number"/>
    <w:basedOn w:val="a0"/>
    <w:unhideWhenUsed/>
    <w:rsid w:val="0075790A"/>
    <w:rPr>
      <w:vertAlign w:val="superscript"/>
    </w:rPr>
  </w:style>
  <w:style w:type="character" w:styleId="ac">
    <w:name w:val="annotation reference"/>
    <w:basedOn w:val="a0"/>
    <w:rsid w:val="004F17CA"/>
    <w:rPr>
      <w:sz w:val="16"/>
      <w:szCs w:val="16"/>
    </w:rPr>
  </w:style>
  <w:style w:type="paragraph" w:styleId="ad">
    <w:name w:val="annotation text"/>
    <w:basedOn w:val="a"/>
    <w:link w:val="Char5"/>
    <w:rsid w:val="004F17CA"/>
    <w:pPr>
      <w:widowControl/>
      <w:jc w:val="left"/>
    </w:pPr>
    <w:rPr>
      <w:kern w:val="0"/>
      <w:sz w:val="20"/>
      <w:szCs w:val="20"/>
      <w:lang w:eastAsia="en-US"/>
    </w:rPr>
  </w:style>
  <w:style w:type="character" w:styleId="ae">
    <w:name w:val="Hyperlink"/>
    <w:basedOn w:val="a0"/>
    <w:uiPriority w:val="99"/>
    <w:rsid w:val="00464B37"/>
    <w:rPr>
      <w:color w:val="0000FF"/>
      <w:u w:val="single"/>
    </w:rPr>
  </w:style>
  <w:style w:type="paragraph" w:styleId="af">
    <w:name w:val="annotation subject"/>
    <w:basedOn w:val="ad"/>
    <w:next w:val="ad"/>
    <w:link w:val="Char6"/>
    <w:rsid w:val="00CC3021"/>
    <w:pPr>
      <w:widowControl w:val="0"/>
    </w:pPr>
    <w:rPr>
      <w:b/>
      <w:bCs/>
      <w:kern w:val="2"/>
      <w:sz w:val="21"/>
      <w:szCs w:val="24"/>
      <w:lang w:eastAsia="zh-CN"/>
    </w:rPr>
  </w:style>
  <w:style w:type="character" w:customStyle="1" w:styleId="Char5">
    <w:name w:val="批注文字 Char"/>
    <w:basedOn w:val="a0"/>
    <w:link w:val="ad"/>
    <w:rsid w:val="00CC3021"/>
    <w:rPr>
      <w:lang w:eastAsia="en-US"/>
    </w:rPr>
  </w:style>
  <w:style w:type="character" w:customStyle="1" w:styleId="Char6">
    <w:name w:val="批注主题 Char"/>
    <w:basedOn w:val="Char5"/>
    <w:link w:val="af"/>
    <w:rsid w:val="00CC3021"/>
  </w:style>
  <w:style w:type="table" w:styleId="af0">
    <w:name w:val="Table Grid"/>
    <w:aliases w:val="方欣网格型,表格样式,方欣网格型1,表格样式1,定制网格型,标书网格型表格正文,方欣网格型2,自定网格"/>
    <w:basedOn w:val="a1"/>
    <w:uiPriority w:val="59"/>
    <w:rsid w:val="00CF5A38"/>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Char">
    <w:name w:val="标题 3 Char"/>
    <w:aliases w:val="（三级标题） Char,h3 Char,H3 Char,level_3 Char,PIM 3 Char,Level 3 Head Char,Heading 3 - old Char,sect1.2.3 Char,sect1.2.31 Char,sect1.2.32 Char,sect1.2.311 Char,sect1.2.33 Char,sect1.2.312 Char,H31 Char,H32 Char,H33 Char,H34 Char,H35 Char,H36 Char"/>
    <w:basedOn w:val="a0"/>
    <w:link w:val="3"/>
    <w:uiPriority w:val="9"/>
    <w:rsid w:val="00CF5A38"/>
    <w:rPr>
      <w:b/>
      <w:bCs/>
      <w:kern w:val="2"/>
      <w:sz w:val="32"/>
      <w:szCs w:val="32"/>
    </w:rPr>
  </w:style>
  <w:style w:type="character" w:customStyle="1" w:styleId="4Char">
    <w:name w:val="标题 4 Char"/>
    <w:aliases w:val="（四级标题） Char,h4 Char,PIM 4 Char,H4 Char,bullet Char,bl Char,bb Char,l4 Char,sect 1.2.3.4 Char,Ref Heading 1 Char,rh1 Char,Heading sql Char,h41 Char,h42 Char,h43 Char,h411 Char,h44 Char,h412 Char,h45 Char,h413 Char,h46 Char,h414 Char,h47 Char"/>
    <w:basedOn w:val="a0"/>
    <w:link w:val="4"/>
    <w:uiPriority w:val="9"/>
    <w:rsid w:val="00CF5A38"/>
    <w:rPr>
      <w:rFonts w:ascii="Arial" w:eastAsia="黑体" w:hAnsi="Arial"/>
      <w:b/>
      <w:bCs/>
      <w:kern w:val="2"/>
      <w:sz w:val="28"/>
      <w:szCs w:val="28"/>
    </w:rPr>
  </w:style>
  <w:style w:type="character" w:customStyle="1" w:styleId="5Char">
    <w:name w:val="标题 5 Char"/>
    <w:aliases w:val="（五级标题） Char,h5 Char,上海中望标准标题五 Char,H5 Char,h51 Char,heading 51 Char,h52 Char,heading 52 Char,h53 Char,heading 53 Char,dash Char,ds Char,dd Char,PIM 5 Char,heading 5 Char,Level4 Hd Char,Gliederung 5 Char,H51 Char,H52 Char,H53 Char,H54 Char"/>
    <w:basedOn w:val="a0"/>
    <w:link w:val="5"/>
    <w:rsid w:val="00CF5A38"/>
    <w:rPr>
      <w:b/>
      <w:bCs/>
      <w:kern w:val="2"/>
      <w:sz w:val="28"/>
      <w:szCs w:val="28"/>
    </w:rPr>
  </w:style>
  <w:style w:type="character" w:customStyle="1" w:styleId="6Char">
    <w:name w:val="标题 6 Char"/>
    <w:aliases w:val="（六级标题） Char,BOD 4 Char1,H6 Char1,h6 Char1,h61 Char1,heading 61 Char1,PIM 6 Char1,标题 6 Char Char Char1,PIM 6 Char Char Char Char Char Char,PIM 6 Char Char,Third Subheading Char,● Char,标题 6 Char1 Char,标题 6 Char Char Char Char,BOD 4 Char Char"/>
    <w:basedOn w:val="a0"/>
    <w:link w:val="6"/>
    <w:rsid w:val="00CF5A38"/>
    <w:rPr>
      <w:rFonts w:ascii="Arial" w:eastAsia="黑体" w:hAnsi="Arial"/>
      <w:b/>
      <w:bCs/>
      <w:kern w:val="2"/>
      <w:sz w:val="24"/>
      <w:szCs w:val="24"/>
    </w:rPr>
  </w:style>
  <w:style w:type="character" w:customStyle="1" w:styleId="7Char">
    <w:name w:val="标题 7 Char"/>
    <w:aliases w:val="（七级标题） Char,PIM 7 Char1,H TIMES1 Char,1.标题 6 Char1,PIM 7 Char Char,不用 Char,◎ Char,1.标题 6 Char Char,Legal Level 1.1. Char,letter list Char,Level 1.1 Char,QCI Heading 1 Char,Do Not Use3 Char,cnc Char,Caption number (column-wide) Char,st Char"/>
    <w:basedOn w:val="a0"/>
    <w:link w:val="7"/>
    <w:rsid w:val="00CF5A38"/>
    <w:rPr>
      <w:b/>
      <w:bCs/>
      <w:kern w:val="2"/>
      <w:sz w:val="24"/>
      <w:szCs w:val="24"/>
    </w:rPr>
  </w:style>
  <w:style w:type="character" w:customStyle="1" w:styleId="8Char">
    <w:name w:val="标题 8 Char"/>
    <w:aliases w:val="（八级标题） Char,注意框体 Char,不用8 Char,Legal Level 1.1.1. Char,Do Not Use2 Char,h8 Char,ctp Char,Caption text (page-wide) Char,tt Char,Center Bold Char,ITT t8 Char,PA Appendix Minor Char,Center Bold1 Char,Center Bold2 Char,Center Bold3 Char,ac Char"/>
    <w:basedOn w:val="a0"/>
    <w:link w:val="8"/>
    <w:rsid w:val="00CF5A38"/>
    <w:rPr>
      <w:rFonts w:ascii="Arial" w:eastAsia="黑体" w:hAnsi="Arial"/>
      <w:kern w:val="2"/>
      <w:sz w:val="24"/>
      <w:szCs w:val="24"/>
    </w:rPr>
  </w:style>
  <w:style w:type="character" w:customStyle="1" w:styleId="9Char">
    <w:name w:val="标题 9 Char"/>
    <w:aliases w:val="（九级标题） Char,App Heading Char,PIM 9 Char,Appendix Char,huh Char,不用9 Char,Legal Level 1.1.1.1. Char,Do Not Use1 Char,ctc Char,Caption text (column-wide) Char,ITT t9 Char,App Heading1 Char,App Heading2 Char,progress Char,progress1 Char"/>
    <w:basedOn w:val="a0"/>
    <w:link w:val="9"/>
    <w:rsid w:val="00CF5A38"/>
    <w:rPr>
      <w:rFonts w:ascii="Arial" w:eastAsia="黑体" w:hAnsi="Arial"/>
      <w:kern w:val="2"/>
      <w:sz w:val="21"/>
      <w:szCs w:val="21"/>
    </w:rPr>
  </w:style>
  <w:style w:type="character" w:customStyle="1" w:styleId="Char">
    <w:name w:val="页眉 Char"/>
    <w:basedOn w:val="a0"/>
    <w:link w:val="a3"/>
    <w:rsid w:val="00CF5A38"/>
    <w:rPr>
      <w:kern w:val="2"/>
      <w:sz w:val="18"/>
      <w:szCs w:val="18"/>
    </w:rPr>
  </w:style>
  <w:style w:type="character" w:customStyle="1" w:styleId="Char0">
    <w:name w:val="页脚 Char"/>
    <w:basedOn w:val="a0"/>
    <w:link w:val="a6"/>
    <w:uiPriority w:val="99"/>
    <w:rsid w:val="00CF5A38"/>
    <w:rPr>
      <w:kern w:val="2"/>
      <w:sz w:val="18"/>
      <w:szCs w:val="18"/>
    </w:rPr>
  </w:style>
  <w:style w:type="character" w:customStyle="1" w:styleId="Char3">
    <w:name w:val="批注框文本 Char"/>
    <w:basedOn w:val="a0"/>
    <w:link w:val="a8"/>
    <w:rsid w:val="00CF5A38"/>
    <w:rPr>
      <w:kern w:val="2"/>
      <w:sz w:val="18"/>
      <w:szCs w:val="18"/>
    </w:rPr>
  </w:style>
  <w:style w:type="character" w:customStyle="1" w:styleId="1Char">
    <w:name w:val="标题 1 Char"/>
    <w:aliases w:val="（一级标题） Char,合同标题 Char,H1 Char,章节标题 Char,h1 Char,11 Char,h11 Char,12 Char,h12 Char,13 Char,h13 Char,14 Char,h14 Char,15 Char,h15 Char,16 Char,h16 Char,17 Char,h17 Char,18 Char,h18 Char,19 Char,h19 Char,110 Char,h110 Char,111 Char,h111 Char"/>
    <w:basedOn w:val="a0"/>
    <w:link w:val="10"/>
    <w:uiPriority w:val="9"/>
    <w:rsid w:val="00CF5A38"/>
    <w:rPr>
      <w:rFonts w:ascii="楷体_GB2312" w:eastAsia="华文楷体"/>
      <w:b/>
      <w:bCs/>
      <w:kern w:val="2"/>
      <w:sz w:val="21"/>
      <w:szCs w:val="24"/>
    </w:rPr>
  </w:style>
  <w:style w:type="character" w:customStyle="1" w:styleId="2Char">
    <w:name w:val="标题 2 Char"/>
    <w:aliases w:val="（二级标题） Char,h2 Char,Heading 2 Hidden Char,Heading 2 CCBS Char,heading 2 Char,第一章 标题 2 Char,（一） Char,PIM2 Char,H2 Char,Titre3 Char,HD2 Char,sect 1.2 Char,H21 Char,sect 1.21 Char,H22 Char,sect 1.22 Char,H211 Char,sect 1.211 Char,H23 Char,DO Char"/>
    <w:basedOn w:val="a0"/>
    <w:link w:val="2"/>
    <w:uiPriority w:val="9"/>
    <w:rsid w:val="00CF5A38"/>
    <w:rPr>
      <w:rFonts w:ascii="Arial" w:eastAsia="黑体" w:hAnsi="Arial"/>
      <w:b/>
      <w:bCs/>
      <w:kern w:val="2"/>
      <w:sz w:val="32"/>
      <w:szCs w:val="32"/>
    </w:rPr>
  </w:style>
  <w:style w:type="paragraph" w:customStyle="1" w:styleId="af1">
    <w:name w:val="列项◆（三级）"/>
    <w:rsid w:val="00CF5A38"/>
    <w:pPr>
      <w:tabs>
        <w:tab w:val="num" w:pos="927"/>
      </w:tabs>
      <w:ind w:firstLine="567"/>
    </w:pPr>
    <w:rPr>
      <w:rFonts w:ascii="宋体"/>
      <w:sz w:val="21"/>
    </w:rPr>
  </w:style>
  <w:style w:type="character" w:styleId="af2">
    <w:name w:val="FollowedHyperlink"/>
    <w:basedOn w:val="a0"/>
    <w:uiPriority w:val="99"/>
    <w:rsid w:val="00CF5A38"/>
    <w:rPr>
      <w:color w:val="800080"/>
      <w:u w:val="single"/>
    </w:rPr>
  </w:style>
  <w:style w:type="paragraph" w:styleId="TOC">
    <w:name w:val="TOC Heading"/>
    <w:basedOn w:val="10"/>
    <w:next w:val="a"/>
    <w:uiPriority w:val="39"/>
    <w:qFormat/>
    <w:rsid w:val="00FB3517"/>
    <w:pPr>
      <w:keepLines/>
      <w:widowControl/>
      <w:spacing w:before="480" w:line="276" w:lineRule="auto"/>
      <w:jc w:val="left"/>
      <w:outlineLvl w:val="9"/>
    </w:pPr>
    <w:rPr>
      <w:rFonts w:ascii="Cambria" w:eastAsia="宋体" w:hAnsi="Cambria"/>
      <w:color w:val="365F91"/>
      <w:kern w:val="0"/>
      <w:sz w:val="28"/>
      <w:szCs w:val="28"/>
    </w:rPr>
  </w:style>
  <w:style w:type="paragraph" w:styleId="21">
    <w:name w:val="toc 2"/>
    <w:basedOn w:val="a"/>
    <w:next w:val="a"/>
    <w:autoRedefine/>
    <w:uiPriority w:val="39"/>
    <w:unhideWhenUsed/>
    <w:qFormat/>
    <w:rsid w:val="00A93251"/>
    <w:pPr>
      <w:widowControl/>
      <w:tabs>
        <w:tab w:val="right" w:leader="dot" w:pos="9403"/>
      </w:tabs>
      <w:spacing w:after="100" w:line="276" w:lineRule="auto"/>
      <w:ind w:left="220"/>
      <w:jc w:val="left"/>
    </w:pPr>
    <w:rPr>
      <w:rFonts w:ascii="Calibri" w:hAnsi="Calibri"/>
      <w:kern w:val="0"/>
      <w:sz w:val="22"/>
      <w:szCs w:val="22"/>
    </w:rPr>
  </w:style>
  <w:style w:type="paragraph" w:styleId="12">
    <w:name w:val="toc 1"/>
    <w:basedOn w:val="a"/>
    <w:next w:val="a"/>
    <w:autoRedefine/>
    <w:uiPriority w:val="39"/>
    <w:unhideWhenUsed/>
    <w:qFormat/>
    <w:rsid w:val="00D435B3"/>
    <w:pPr>
      <w:widowControl/>
      <w:tabs>
        <w:tab w:val="right" w:leader="dot" w:pos="9403"/>
      </w:tabs>
      <w:spacing w:after="100"/>
      <w:ind w:leftChars="100" w:left="210"/>
      <w:jc w:val="left"/>
    </w:pPr>
    <w:rPr>
      <w:rFonts w:ascii="Calibri" w:hAnsi="Calibri"/>
      <w:kern w:val="0"/>
      <w:sz w:val="22"/>
      <w:szCs w:val="22"/>
    </w:rPr>
  </w:style>
  <w:style w:type="paragraph" w:styleId="30">
    <w:name w:val="toc 3"/>
    <w:basedOn w:val="a"/>
    <w:next w:val="a"/>
    <w:autoRedefine/>
    <w:uiPriority w:val="39"/>
    <w:unhideWhenUsed/>
    <w:qFormat/>
    <w:rsid w:val="00D435B3"/>
    <w:pPr>
      <w:widowControl/>
      <w:tabs>
        <w:tab w:val="right" w:leader="dot" w:pos="9403"/>
      </w:tabs>
      <w:spacing w:after="100" w:line="276" w:lineRule="auto"/>
      <w:ind w:left="238"/>
      <w:jc w:val="left"/>
    </w:pPr>
    <w:rPr>
      <w:rFonts w:ascii="Calibri" w:hAnsi="Calibri"/>
      <w:kern w:val="0"/>
      <w:sz w:val="22"/>
      <w:szCs w:val="22"/>
    </w:rPr>
  </w:style>
  <w:style w:type="paragraph" w:styleId="af3">
    <w:name w:val="Revision"/>
    <w:hidden/>
    <w:uiPriority w:val="99"/>
    <w:semiHidden/>
    <w:rsid w:val="00596915"/>
    <w:rPr>
      <w:kern w:val="2"/>
      <w:sz w:val="21"/>
      <w:szCs w:val="24"/>
    </w:rPr>
  </w:style>
  <w:style w:type="paragraph" w:styleId="af4">
    <w:name w:val="Document Map"/>
    <w:basedOn w:val="a"/>
    <w:link w:val="Char7"/>
    <w:rsid w:val="00266E14"/>
    <w:pPr>
      <w:shd w:val="clear" w:color="auto" w:fill="000080"/>
    </w:pPr>
  </w:style>
  <w:style w:type="character" w:customStyle="1" w:styleId="Char7">
    <w:name w:val="文档结构图 Char"/>
    <w:basedOn w:val="a0"/>
    <w:link w:val="af4"/>
    <w:rsid w:val="00A67CEB"/>
    <w:rPr>
      <w:kern w:val="2"/>
      <w:sz w:val="21"/>
      <w:szCs w:val="24"/>
      <w:shd w:val="clear" w:color="auto" w:fill="000080"/>
    </w:rPr>
  </w:style>
  <w:style w:type="paragraph" w:customStyle="1" w:styleId="font5">
    <w:name w:val="font5"/>
    <w:basedOn w:val="a"/>
    <w:rsid w:val="00A67CEB"/>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A67CEB"/>
    <w:pPr>
      <w:widowControl/>
      <w:spacing w:before="100" w:beforeAutospacing="1" w:after="100" w:afterAutospacing="1"/>
      <w:jc w:val="left"/>
    </w:pPr>
    <w:rPr>
      <w:rFonts w:ascii="Arial" w:hAnsi="Arial" w:cs="Arial"/>
      <w:color w:val="333333"/>
      <w:kern w:val="0"/>
      <w:sz w:val="22"/>
      <w:szCs w:val="22"/>
    </w:rPr>
  </w:style>
  <w:style w:type="paragraph" w:customStyle="1" w:styleId="font7">
    <w:name w:val="font7"/>
    <w:basedOn w:val="a"/>
    <w:rsid w:val="00A67CEB"/>
    <w:pPr>
      <w:widowControl/>
      <w:spacing w:before="100" w:beforeAutospacing="1" w:after="100" w:afterAutospacing="1"/>
      <w:jc w:val="left"/>
    </w:pPr>
    <w:rPr>
      <w:rFonts w:ascii="宋体" w:hAnsi="宋体" w:cs="宋体"/>
      <w:color w:val="333333"/>
      <w:kern w:val="0"/>
      <w:sz w:val="22"/>
      <w:szCs w:val="22"/>
    </w:rPr>
  </w:style>
  <w:style w:type="paragraph" w:customStyle="1" w:styleId="font8">
    <w:name w:val="font8"/>
    <w:basedOn w:val="a"/>
    <w:rsid w:val="00A67CEB"/>
    <w:pPr>
      <w:widowControl/>
      <w:spacing w:before="100" w:beforeAutospacing="1" w:after="100" w:afterAutospacing="1"/>
      <w:jc w:val="left"/>
    </w:pPr>
    <w:rPr>
      <w:rFonts w:ascii="Arial" w:hAnsi="Arial" w:cs="Arial"/>
      <w:color w:val="333333"/>
      <w:kern w:val="0"/>
      <w:sz w:val="22"/>
      <w:szCs w:val="22"/>
    </w:rPr>
  </w:style>
  <w:style w:type="paragraph" w:customStyle="1" w:styleId="font9">
    <w:name w:val="font9"/>
    <w:basedOn w:val="a"/>
    <w:rsid w:val="00A67CEB"/>
    <w:pPr>
      <w:widowControl/>
      <w:spacing w:before="100" w:beforeAutospacing="1" w:after="100" w:afterAutospacing="1"/>
      <w:jc w:val="left"/>
    </w:pPr>
    <w:rPr>
      <w:rFonts w:ascii="宋体" w:hAnsi="宋体" w:cs="宋体"/>
      <w:color w:val="333333"/>
      <w:kern w:val="0"/>
      <w:sz w:val="22"/>
      <w:szCs w:val="22"/>
    </w:rPr>
  </w:style>
  <w:style w:type="paragraph" w:customStyle="1" w:styleId="font10">
    <w:name w:val="font10"/>
    <w:basedOn w:val="a"/>
    <w:rsid w:val="00A67CEB"/>
    <w:pPr>
      <w:widowControl/>
      <w:spacing w:before="100" w:beforeAutospacing="1" w:after="100" w:afterAutospacing="1"/>
      <w:jc w:val="left"/>
    </w:pPr>
    <w:rPr>
      <w:rFonts w:ascii="宋体" w:hAnsi="宋体" w:cs="宋体"/>
      <w:color w:val="333333"/>
      <w:kern w:val="0"/>
      <w:sz w:val="20"/>
      <w:szCs w:val="20"/>
    </w:rPr>
  </w:style>
  <w:style w:type="paragraph" w:customStyle="1" w:styleId="font11">
    <w:name w:val="font11"/>
    <w:basedOn w:val="a"/>
    <w:rsid w:val="00A67CEB"/>
    <w:pPr>
      <w:widowControl/>
      <w:spacing w:before="100" w:beforeAutospacing="1" w:after="100" w:afterAutospacing="1"/>
      <w:jc w:val="left"/>
    </w:pPr>
    <w:rPr>
      <w:rFonts w:ascii="Arial" w:hAnsi="Arial" w:cs="Arial"/>
      <w:color w:val="333333"/>
      <w:kern w:val="0"/>
      <w:sz w:val="20"/>
      <w:szCs w:val="20"/>
    </w:rPr>
  </w:style>
  <w:style w:type="paragraph" w:customStyle="1" w:styleId="font12">
    <w:name w:val="font12"/>
    <w:basedOn w:val="a"/>
    <w:rsid w:val="00A67CEB"/>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Segoe UI" w:hAnsi="Segoe UI" w:cs="Segoe UI"/>
      <w:kern w:val="0"/>
      <w:sz w:val="20"/>
      <w:szCs w:val="20"/>
    </w:rPr>
  </w:style>
  <w:style w:type="paragraph" w:customStyle="1" w:styleId="xl66">
    <w:name w:val="xl66"/>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kern w:val="0"/>
      <w:sz w:val="20"/>
      <w:szCs w:val="20"/>
    </w:rPr>
  </w:style>
  <w:style w:type="paragraph" w:customStyle="1" w:styleId="xl67">
    <w:name w:val="xl67"/>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egoe UI" w:hAnsi="Segoe UI" w:cs="Segoe UI"/>
      <w:kern w:val="0"/>
      <w:sz w:val="20"/>
      <w:szCs w:val="20"/>
    </w:rPr>
  </w:style>
  <w:style w:type="paragraph" w:customStyle="1" w:styleId="xl68">
    <w:name w:val="xl68"/>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egoe UI" w:hAnsi="Segoe UI" w:cs="Segoe UI"/>
      <w:kern w:val="0"/>
      <w:sz w:val="20"/>
      <w:szCs w:val="20"/>
    </w:rPr>
  </w:style>
  <w:style w:type="paragraph" w:customStyle="1" w:styleId="xl69">
    <w:name w:val="xl69"/>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70">
    <w:name w:val="xl70"/>
    <w:basedOn w:val="a"/>
    <w:rsid w:val="00A67CE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71">
    <w:name w:val="xl71"/>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2B2B2B"/>
      <w:kern w:val="0"/>
      <w:sz w:val="20"/>
      <w:szCs w:val="20"/>
    </w:rPr>
  </w:style>
  <w:style w:type="paragraph" w:customStyle="1" w:styleId="xl72">
    <w:name w:val="xl72"/>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2B2B2B"/>
      <w:kern w:val="0"/>
      <w:sz w:val="20"/>
      <w:szCs w:val="20"/>
    </w:rPr>
  </w:style>
  <w:style w:type="paragraph" w:customStyle="1" w:styleId="xl73">
    <w:name w:val="xl73"/>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4">
    <w:name w:val="xl74"/>
    <w:basedOn w:val="a"/>
    <w:rsid w:val="00A67CE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5">
    <w:name w:val="xl75"/>
    <w:basedOn w:val="a"/>
    <w:rsid w:val="00A67CEB"/>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b/>
      <w:bCs/>
      <w:kern w:val="0"/>
      <w:sz w:val="20"/>
      <w:szCs w:val="20"/>
    </w:rPr>
  </w:style>
  <w:style w:type="paragraph" w:customStyle="1" w:styleId="xl76">
    <w:name w:val="xl76"/>
    <w:basedOn w:val="a"/>
    <w:rsid w:val="00A67CEB"/>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b/>
      <w:bCs/>
      <w:kern w:val="0"/>
      <w:sz w:val="20"/>
      <w:szCs w:val="20"/>
    </w:rPr>
  </w:style>
  <w:style w:type="paragraph" w:customStyle="1" w:styleId="xl77">
    <w:name w:val="xl77"/>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kern w:val="0"/>
      <w:sz w:val="20"/>
      <w:szCs w:val="20"/>
    </w:rPr>
  </w:style>
  <w:style w:type="paragraph" w:customStyle="1" w:styleId="xl78">
    <w:name w:val="xl78"/>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Segoe UI" w:hAnsi="Segoe UI" w:cs="Segoe UI"/>
      <w:kern w:val="0"/>
      <w:sz w:val="20"/>
      <w:szCs w:val="20"/>
    </w:rPr>
  </w:style>
  <w:style w:type="paragraph" w:customStyle="1" w:styleId="xl79">
    <w:name w:val="xl79"/>
    <w:basedOn w:val="a"/>
    <w:rsid w:val="00A67CE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Segoe UI" w:hAnsi="Segoe UI" w:cs="Segoe UI"/>
      <w:kern w:val="0"/>
      <w:sz w:val="20"/>
      <w:szCs w:val="20"/>
    </w:rPr>
  </w:style>
  <w:style w:type="paragraph" w:customStyle="1" w:styleId="xl80">
    <w:name w:val="xl80"/>
    <w:basedOn w:val="a"/>
    <w:rsid w:val="00A67CEB"/>
    <w:pPr>
      <w:widowControl/>
      <w:spacing w:before="100" w:beforeAutospacing="1" w:after="100" w:afterAutospacing="1"/>
      <w:jc w:val="left"/>
    </w:pPr>
    <w:rPr>
      <w:rFonts w:ascii="宋体" w:hAnsi="宋体" w:cs="宋体"/>
      <w:kern w:val="0"/>
      <w:sz w:val="24"/>
    </w:rPr>
  </w:style>
  <w:style w:type="paragraph" w:customStyle="1" w:styleId="xl81">
    <w:name w:val="xl81"/>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kern w:val="0"/>
      <w:sz w:val="20"/>
      <w:szCs w:val="20"/>
    </w:rPr>
  </w:style>
  <w:style w:type="paragraph" w:customStyle="1" w:styleId="xl82">
    <w:name w:val="xl82"/>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egoe UI" w:hAnsi="Segoe UI" w:cs="Segoe UI"/>
      <w:kern w:val="0"/>
      <w:sz w:val="20"/>
      <w:szCs w:val="20"/>
    </w:rPr>
  </w:style>
  <w:style w:type="paragraph" w:customStyle="1" w:styleId="xl83">
    <w:name w:val="xl83"/>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2B2B2B"/>
      <w:kern w:val="0"/>
      <w:sz w:val="20"/>
      <w:szCs w:val="20"/>
    </w:rPr>
  </w:style>
  <w:style w:type="paragraph" w:customStyle="1" w:styleId="xl84">
    <w:name w:val="xl84"/>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2B2B2B"/>
      <w:kern w:val="0"/>
      <w:sz w:val="20"/>
      <w:szCs w:val="20"/>
    </w:rPr>
  </w:style>
  <w:style w:type="paragraph" w:customStyle="1" w:styleId="xl85">
    <w:name w:val="xl85"/>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kern w:val="0"/>
      <w:sz w:val="20"/>
      <w:szCs w:val="20"/>
    </w:rPr>
  </w:style>
  <w:style w:type="paragraph" w:customStyle="1" w:styleId="xl86">
    <w:name w:val="xl86"/>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2B2B2B"/>
      <w:kern w:val="0"/>
      <w:sz w:val="24"/>
    </w:rPr>
  </w:style>
  <w:style w:type="paragraph" w:customStyle="1" w:styleId="xl87">
    <w:name w:val="xl87"/>
    <w:basedOn w:val="a"/>
    <w:rsid w:val="00A67CEB"/>
    <w:pPr>
      <w:widowControl/>
      <w:spacing w:before="100" w:beforeAutospacing="1" w:after="100" w:afterAutospacing="1"/>
      <w:jc w:val="center"/>
      <w:textAlignment w:val="center"/>
    </w:pPr>
    <w:rPr>
      <w:rFonts w:ascii="Segoe UI" w:hAnsi="Segoe UI" w:cs="Segoe UI"/>
      <w:kern w:val="0"/>
      <w:sz w:val="20"/>
      <w:szCs w:val="20"/>
    </w:rPr>
  </w:style>
  <w:style w:type="paragraph" w:customStyle="1" w:styleId="xl88">
    <w:name w:val="xl88"/>
    <w:basedOn w:val="a"/>
    <w:rsid w:val="00A67CEB"/>
    <w:pPr>
      <w:widowControl/>
      <w:shd w:val="clear" w:color="000000" w:fill="FFFFFF"/>
      <w:spacing w:before="100" w:beforeAutospacing="1" w:after="100" w:afterAutospacing="1"/>
      <w:jc w:val="left"/>
    </w:pPr>
    <w:rPr>
      <w:rFonts w:ascii="Segoe UI" w:hAnsi="Segoe UI" w:cs="Segoe UI"/>
      <w:kern w:val="0"/>
      <w:sz w:val="20"/>
      <w:szCs w:val="20"/>
    </w:rPr>
  </w:style>
  <w:style w:type="paragraph" w:customStyle="1" w:styleId="xl89">
    <w:name w:val="xl89"/>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Segoe UI" w:hAnsi="Segoe UI" w:cs="Segoe UI"/>
      <w:kern w:val="0"/>
      <w:sz w:val="20"/>
      <w:szCs w:val="20"/>
    </w:rPr>
  </w:style>
  <w:style w:type="paragraph" w:customStyle="1" w:styleId="xl90">
    <w:name w:val="xl90"/>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egoe UI" w:hAnsi="Segoe UI" w:cs="Segoe UI"/>
      <w:kern w:val="0"/>
      <w:sz w:val="20"/>
      <w:szCs w:val="20"/>
    </w:rPr>
  </w:style>
  <w:style w:type="paragraph" w:customStyle="1" w:styleId="xl91">
    <w:name w:val="xl91"/>
    <w:basedOn w:val="a"/>
    <w:rsid w:val="00A67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2B2B2B"/>
      <w:kern w:val="0"/>
      <w:sz w:val="20"/>
      <w:szCs w:val="20"/>
    </w:rPr>
  </w:style>
  <w:style w:type="paragraph" w:customStyle="1" w:styleId="xl92">
    <w:name w:val="xl92"/>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_GB2312" w:eastAsia="仿宋_GB2312" w:hAnsi="宋体" w:cs="宋体"/>
      <w:kern w:val="0"/>
      <w:sz w:val="20"/>
      <w:szCs w:val="20"/>
    </w:rPr>
  </w:style>
  <w:style w:type="paragraph" w:customStyle="1" w:styleId="xl93">
    <w:name w:val="xl93"/>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_GB2312" w:eastAsia="仿宋_GB2312" w:hAnsi="宋体" w:cs="宋体"/>
      <w:kern w:val="0"/>
      <w:sz w:val="20"/>
      <w:szCs w:val="20"/>
    </w:rPr>
  </w:style>
  <w:style w:type="paragraph" w:customStyle="1" w:styleId="xl94">
    <w:name w:val="xl94"/>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_GB2312" w:eastAsia="仿宋_GB2312" w:hAnsi="宋体" w:cs="宋体"/>
      <w:kern w:val="0"/>
      <w:sz w:val="20"/>
      <w:szCs w:val="20"/>
    </w:rPr>
  </w:style>
  <w:style w:type="paragraph" w:customStyle="1" w:styleId="xl95">
    <w:name w:val="xl95"/>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_GB2312" w:eastAsia="仿宋_GB2312" w:hAnsi="宋体" w:cs="宋体"/>
      <w:kern w:val="0"/>
      <w:sz w:val="20"/>
      <w:szCs w:val="20"/>
    </w:rPr>
  </w:style>
  <w:style w:type="paragraph" w:customStyle="1" w:styleId="xl96">
    <w:name w:val="xl96"/>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_GB2312" w:eastAsia="仿宋_GB2312" w:hAnsi="宋体" w:cs="宋体"/>
      <w:kern w:val="0"/>
      <w:sz w:val="20"/>
      <w:szCs w:val="20"/>
    </w:rPr>
  </w:style>
  <w:style w:type="paragraph" w:customStyle="1" w:styleId="xl97">
    <w:name w:val="xl97"/>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_GB2312" w:eastAsia="仿宋_GB2312" w:hAnsi="宋体" w:cs="宋体"/>
      <w:kern w:val="0"/>
      <w:sz w:val="20"/>
      <w:szCs w:val="20"/>
    </w:rPr>
  </w:style>
  <w:style w:type="paragraph" w:customStyle="1" w:styleId="xl98">
    <w:name w:val="xl98"/>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_GB2312" w:eastAsia="仿宋_GB2312" w:hAnsi="宋体" w:cs="宋体"/>
      <w:kern w:val="0"/>
      <w:sz w:val="20"/>
      <w:szCs w:val="20"/>
    </w:rPr>
  </w:style>
  <w:style w:type="paragraph" w:customStyle="1" w:styleId="xl99">
    <w:name w:val="xl99"/>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仿宋_GB2312" w:eastAsia="仿宋_GB2312" w:hAnsi="宋体" w:cs="宋体"/>
      <w:kern w:val="0"/>
      <w:sz w:val="20"/>
      <w:szCs w:val="20"/>
    </w:rPr>
  </w:style>
  <w:style w:type="paragraph" w:customStyle="1" w:styleId="xl100">
    <w:name w:val="xl100"/>
    <w:basedOn w:val="a"/>
    <w:rsid w:val="00105ED1"/>
    <w:pPr>
      <w:widowControl/>
      <w:spacing w:before="100" w:beforeAutospacing="1" w:after="100" w:afterAutospacing="1"/>
      <w:jc w:val="center"/>
    </w:pPr>
    <w:rPr>
      <w:rFonts w:ascii="宋体" w:hAnsi="宋体" w:cs="宋体"/>
      <w:kern w:val="0"/>
      <w:sz w:val="24"/>
    </w:rPr>
  </w:style>
  <w:style w:type="paragraph" w:customStyle="1" w:styleId="xl101">
    <w:name w:val="xl101"/>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b/>
      <w:bCs/>
      <w:kern w:val="0"/>
      <w:sz w:val="20"/>
      <w:szCs w:val="20"/>
    </w:rPr>
  </w:style>
  <w:style w:type="paragraph" w:customStyle="1" w:styleId="xl102">
    <w:name w:val="xl102"/>
    <w:basedOn w:val="a"/>
    <w:rsid w:val="00105ED1"/>
    <w:pPr>
      <w:widowControl/>
      <w:spacing w:before="100" w:beforeAutospacing="1" w:after="100" w:afterAutospacing="1"/>
      <w:jc w:val="center"/>
    </w:pPr>
    <w:rPr>
      <w:rFonts w:ascii="宋体" w:hAnsi="宋体" w:cs="宋体"/>
      <w:b/>
      <w:bCs/>
      <w:kern w:val="0"/>
      <w:sz w:val="24"/>
    </w:rPr>
  </w:style>
  <w:style w:type="paragraph" w:customStyle="1" w:styleId="xl103">
    <w:name w:val="xl103"/>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仿宋_GB2312" w:eastAsia="仿宋_GB2312" w:hAnsi="宋体" w:cs="宋体"/>
      <w:kern w:val="0"/>
      <w:sz w:val="20"/>
      <w:szCs w:val="20"/>
    </w:rPr>
  </w:style>
  <w:style w:type="paragraph" w:customStyle="1" w:styleId="xl104">
    <w:name w:val="xl104"/>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仿宋_GB2312" w:eastAsia="仿宋_GB2312" w:hAnsi="宋体" w:cs="宋体"/>
      <w:kern w:val="0"/>
      <w:sz w:val="20"/>
      <w:szCs w:val="20"/>
    </w:rPr>
  </w:style>
  <w:style w:type="paragraph" w:customStyle="1" w:styleId="xl105">
    <w:name w:val="xl105"/>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仿宋_GB2312" w:eastAsia="仿宋_GB2312" w:hAnsi="宋体" w:cs="宋体"/>
      <w:kern w:val="0"/>
      <w:sz w:val="20"/>
      <w:szCs w:val="20"/>
    </w:rPr>
  </w:style>
  <w:style w:type="paragraph" w:customStyle="1" w:styleId="xl106">
    <w:name w:val="xl106"/>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仿宋_GB2312" w:eastAsia="仿宋_GB2312" w:hAnsi="宋体" w:cs="宋体"/>
      <w:kern w:val="0"/>
      <w:sz w:val="20"/>
      <w:szCs w:val="20"/>
    </w:rPr>
  </w:style>
  <w:style w:type="paragraph" w:customStyle="1" w:styleId="xl107">
    <w:name w:val="xl107"/>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仿宋_GB2312" w:eastAsia="仿宋_GB2312" w:hAnsi="宋体" w:cs="宋体"/>
      <w:kern w:val="0"/>
      <w:sz w:val="20"/>
      <w:szCs w:val="20"/>
    </w:rPr>
  </w:style>
  <w:style w:type="paragraph" w:customStyle="1" w:styleId="xl108">
    <w:name w:val="xl108"/>
    <w:basedOn w:val="a"/>
    <w:rsid w:val="00105ED1"/>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仿宋_GB2312" w:eastAsia="仿宋_GB2312" w:hAnsi="宋体" w:cs="宋体"/>
      <w:kern w:val="0"/>
      <w:sz w:val="20"/>
      <w:szCs w:val="20"/>
    </w:rPr>
  </w:style>
  <w:style w:type="paragraph" w:customStyle="1" w:styleId="xl109">
    <w:name w:val="xl109"/>
    <w:basedOn w:val="a"/>
    <w:rsid w:val="00105ED1"/>
    <w:pPr>
      <w:widowControl/>
      <w:shd w:val="clear" w:color="000000" w:fill="FFFFFF"/>
      <w:spacing w:before="100" w:beforeAutospacing="1" w:after="100" w:afterAutospacing="1"/>
      <w:jc w:val="center"/>
    </w:pPr>
    <w:rPr>
      <w:rFonts w:ascii="宋体" w:hAnsi="宋体" w:cs="宋体"/>
      <w:kern w:val="0"/>
      <w:sz w:val="24"/>
    </w:rPr>
  </w:style>
  <w:style w:type="paragraph" w:styleId="af5">
    <w:name w:val="caption"/>
    <w:basedOn w:val="a"/>
    <w:next w:val="a"/>
    <w:unhideWhenUsed/>
    <w:qFormat/>
    <w:rsid w:val="002031C2"/>
    <w:rPr>
      <w:rFonts w:asciiTheme="minorHAnsi" w:eastAsiaTheme="minorEastAsia" w:hAnsiTheme="minorHAnsi"/>
      <w:b/>
      <w:bCs/>
      <w:color w:val="4F81BD"/>
      <w:sz w:val="18"/>
      <w:szCs w:val="18"/>
    </w:rPr>
  </w:style>
  <w:style w:type="paragraph" w:styleId="af6">
    <w:name w:val="Title"/>
    <w:basedOn w:val="a"/>
    <w:next w:val="a"/>
    <w:link w:val="Char8"/>
    <w:qFormat/>
    <w:rsid w:val="002031C2"/>
    <w:pPr>
      <w:pBdr>
        <w:bottom w:val="single" w:sz="8" w:space="4" w:color="4F81BD"/>
      </w:pBdr>
      <w:spacing w:after="300"/>
      <w:contextualSpacing/>
    </w:pPr>
    <w:rPr>
      <w:rFonts w:ascii="Cambria" w:eastAsiaTheme="minorEastAsia" w:hAnsi="Cambria"/>
      <w:color w:val="17365D"/>
      <w:spacing w:val="5"/>
      <w:kern w:val="28"/>
      <w:sz w:val="52"/>
      <w:szCs w:val="52"/>
    </w:rPr>
  </w:style>
  <w:style w:type="character" w:customStyle="1" w:styleId="Char8">
    <w:name w:val="标题 Char"/>
    <w:basedOn w:val="a0"/>
    <w:link w:val="af6"/>
    <w:rsid w:val="002031C2"/>
    <w:rPr>
      <w:rFonts w:ascii="Cambria" w:eastAsiaTheme="minorEastAsia" w:hAnsi="Cambria"/>
      <w:color w:val="17365D"/>
      <w:spacing w:val="5"/>
      <w:kern w:val="28"/>
      <w:sz w:val="52"/>
      <w:szCs w:val="52"/>
    </w:rPr>
  </w:style>
  <w:style w:type="paragraph" w:styleId="af7">
    <w:name w:val="Subtitle"/>
    <w:basedOn w:val="a"/>
    <w:next w:val="a"/>
    <w:link w:val="Char9"/>
    <w:uiPriority w:val="11"/>
    <w:qFormat/>
    <w:rsid w:val="002031C2"/>
    <w:pPr>
      <w:numPr>
        <w:ilvl w:val="1"/>
      </w:numPr>
    </w:pPr>
    <w:rPr>
      <w:rFonts w:ascii="Cambria" w:eastAsiaTheme="minorEastAsia" w:hAnsi="Cambria"/>
      <w:i/>
      <w:iCs/>
      <w:color w:val="4F81BD"/>
      <w:spacing w:val="15"/>
      <w:sz w:val="24"/>
      <w:szCs w:val="22"/>
    </w:rPr>
  </w:style>
  <w:style w:type="character" w:customStyle="1" w:styleId="Char9">
    <w:name w:val="副标题 Char"/>
    <w:basedOn w:val="a0"/>
    <w:link w:val="af7"/>
    <w:uiPriority w:val="11"/>
    <w:rsid w:val="002031C2"/>
    <w:rPr>
      <w:rFonts w:ascii="Cambria" w:eastAsiaTheme="minorEastAsia" w:hAnsi="Cambria"/>
      <w:i/>
      <w:iCs/>
      <w:color w:val="4F81BD"/>
      <w:spacing w:val="15"/>
      <w:kern w:val="2"/>
      <w:sz w:val="24"/>
      <w:szCs w:val="22"/>
    </w:rPr>
  </w:style>
  <w:style w:type="character" w:styleId="af8">
    <w:name w:val="Strong"/>
    <w:basedOn w:val="a0"/>
    <w:uiPriority w:val="22"/>
    <w:qFormat/>
    <w:rsid w:val="002031C2"/>
    <w:rPr>
      <w:b/>
      <w:bCs/>
    </w:rPr>
  </w:style>
  <w:style w:type="character" w:styleId="af9">
    <w:name w:val="Emphasis"/>
    <w:basedOn w:val="a0"/>
    <w:uiPriority w:val="20"/>
    <w:qFormat/>
    <w:rsid w:val="002031C2"/>
    <w:rPr>
      <w:i/>
      <w:iCs/>
    </w:rPr>
  </w:style>
  <w:style w:type="paragraph" w:styleId="afa">
    <w:name w:val="No Spacing"/>
    <w:uiPriority w:val="1"/>
    <w:qFormat/>
    <w:rsid w:val="002031C2"/>
    <w:rPr>
      <w:rFonts w:ascii="Calibri" w:hAnsi="Calibri"/>
      <w:sz w:val="22"/>
      <w:szCs w:val="22"/>
      <w:lang w:eastAsia="en-US" w:bidi="en-US"/>
    </w:rPr>
  </w:style>
  <w:style w:type="paragraph" w:styleId="afb">
    <w:name w:val="Quote"/>
    <w:basedOn w:val="a"/>
    <w:next w:val="a"/>
    <w:link w:val="Chara"/>
    <w:uiPriority w:val="29"/>
    <w:qFormat/>
    <w:rsid w:val="002031C2"/>
    <w:rPr>
      <w:rFonts w:asciiTheme="minorHAnsi" w:eastAsiaTheme="minorEastAsia" w:hAnsiTheme="minorHAnsi"/>
      <w:i/>
      <w:iCs/>
      <w:color w:val="000000"/>
      <w:szCs w:val="22"/>
    </w:rPr>
  </w:style>
  <w:style w:type="character" w:customStyle="1" w:styleId="Chara">
    <w:name w:val="引用 Char"/>
    <w:basedOn w:val="a0"/>
    <w:link w:val="afb"/>
    <w:uiPriority w:val="29"/>
    <w:rsid w:val="002031C2"/>
    <w:rPr>
      <w:rFonts w:asciiTheme="minorHAnsi" w:eastAsiaTheme="minorEastAsia" w:hAnsiTheme="minorHAnsi"/>
      <w:i/>
      <w:iCs/>
      <w:color w:val="000000"/>
      <w:kern w:val="2"/>
      <w:sz w:val="21"/>
      <w:szCs w:val="22"/>
    </w:rPr>
  </w:style>
  <w:style w:type="paragraph" w:styleId="afc">
    <w:name w:val="Intense Quote"/>
    <w:basedOn w:val="a"/>
    <w:next w:val="a"/>
    <w:link w:val="Charb"/>
    <w:uiPriority w:val="30"/>
    <w:qFormat/>
    <w:rsid w:val="002031C2"/>
    <w:pPr>
      <w:pBdr>
        <w:bottom w:val="single" w:sz="4" w:space="4" w:color="4F81BD"/>
      </w:pBdr>
      <w:spacing w:before="200" w:after="280"/>
      <w:ind w:left="936" w:right="936"/>
    </w:pPr>
    <w:rPr>
      <w:rFonts w:asciiTheme="minorHAnsi" w:eastAsiaTheme="minorEastAsia" w:hAnsiTheme="minorHAnsi"/>
      <w:b/>
      <w:bCs/>
      <w:i/>
      <w:iCs/>
      <w:color w:val="4F81BD"/>
      <w:szCs w:val="22"/>
    </w:rPr>
  </w:style>
  <w:style w:type="character" w:customStyle="1" w:styleId="Charb">
    <w:name w:val="明显引用 Char"/>
    <w:basedOn w:val="a0"/>
    <w:link w:val="afc"/>
    <w:uiPriority w:val="30"/>
    <w:rsid w:val="002031C2"/>
    <w:rPr>
      <w:rFonts w:asciiTheme="minorHAnsi" w:eastAsiaTheme="minorEastAsia" w:hAnsiTheme="minorHAnsi"/>
      <w:b/>
      <w:bCs/>
      <w:i/>
      <w:iCs/>
      <w:color w:val="4F81BD"/>
      <w:kern w:val="2"/>
      <w:sz w:val="21"/>
      <w:szCs w:val="22"/>
    </w:rPr>
  </w:style>
  <w:style w:type="character" w:styleId="afd">
    <w:name w:val="Subtle Emphasis"/>
    <w:basedOn w:val="a0"/>
    <w:uiPriority w:val="19"/>
    <w:qFormat/>
    <w:rsid w:val="002031C2"/>
    <w:rPr>
      <w:i/>
      <w:iCs/>
      <w:color w:val="808080"/>
    </w:rPr>
  </w:style>
  <w:style w:type="character" w:styleId="afe">
    <w:name w:val="Intense Emphasis"/>
    <w:basedOn w:val="a0"/>
    <w:uiPriority w:val="21"/>
    <w:qFormat/>
    <w:rsid w:val="002031C2"/>
    <w:rPr>
      <w:b/>
      <w:bCs/>
      <w:i/>
      <w:iCs/>
      <w:color w:val="4F81BD"/>
    </w:rPr>
  </w:style>
  <w:style w:type="character" w:styleId="aff">
    <w:name w:val="Subtle Reference"/>
    <w:basedOn w:val="a0"/>
    <w:uiPriority w:val="31"/>
    <w:qFormat/>
    <w:rsid w:val="002031C2"/>
    <w:rPr>
      <w:smallCaps/>
      <w:color w:val="C0504D"/>
      <w:u w:val="single"/>
    </w:rPr>
  </w:style>
  <w:style w:type="character" w:styleId="aff0">
    <w:name w:val="Intense Reference"/>
    <w:basedOn w:val="a0"/>
    <w:uiPriority w:val="32"/>
    <w:qFormat/>
    <w:rsid w:val="002031C2"/>
    <w:rPr>
      <w:b/>
      <w:bCs/>
      <w:smallCaps/>
      <w:color w:val="C0504D"/>
      <w:spacing w:val="5"/>
      <w:u w:val="single"/>
    </w:rPr>
  </w:style>
  <w:style w:type="character" w:styleId="aff1">
    <w:name w:val="Book Title"/>
    <w:basedOn w:val="a0"/>
    <w:uiPriority w:val="33"/>
    <w:qFormat/>
    <w:rsid w:val="002031C2"/>
    <w:rPr>
      <w:b/>
      <w:bCs/>
      <w:smallCaps/>
      <w:spacing w:val="5"/>
    </w:rPr>
  </w:style>
  <w:style w:type="paragraph" w:customStyle="1" w:styleId="ParagraphNumbering">
    <w:name w:val="Paragraph Numbering"/>
    <w:basedOn w:val="a"/>
    <w:rsid w:val="002031C2"/>
    <w:pPr>
      <w:widowControl/>
      <w:tabs>
        <w:tab w:val="num" w:pos="1280"/>
      </w:tabs>
      <w:spacing w:after="240" w:line="264" w:lineRule="auto"/>
      <w:ind w:firstLine="560"/>
      <w:jc w:val="left"/>
    </w:pPr>
    <w:rPr>
      <w:kern w:val="0"/>
      <w:sz w:val="24"/>
      <w:lang w:eastAsia="en-US"/>
    </w:rPr>
  </w:style>
  <w:style w:type="paragraph" w:styleId="aff2">
    <w:name w:val="List Bullet"/>
    <w:basedOn w:val="a"/>
    <w:rsid w:val="002031C2"/>
    <w:pPr>
      <w:widowControl/>
      <w:tabs>
        <w:tab w:val="num" w:pos="425"/>
      </w:tabs>
      <w:spacing w:after="240" w:line="264" w:lineRule="auto"/>
      <w:ind w:left="425" w:hanging="425"/>
      <w:jc w:val="left"/>
    </w:pPr>
    <w:rPr>
      <w:kern w:val="0"/>
      <w:sz w:val="24"/>
      <w:lang w:eastAsia="en-US"/>
    </w:rPr>
  </w:style>
  <w:style w:type="paragraph" w:styleId="22">
    <w:name w:val="List Bullet 2"/>
    <w:basedOn w:val="a"/>
    <w:rsid w:val="002031C2"/>
    <w:pPr>
      <w:widowControl/>
      <w:tabs>
        <w:tab w:val="num" w:pos="1280"/>
      </w:tabs>
      <w:spacing w:line="264" w:lineRule="auto"/>
      <w:ind w:firstLine="560"/>
      <w:jc w:val="left"/>
    </w:pPr>
    <w:rPr>
      <w:kern w:val="0"/>
      <w:sz w:val="24"/>
      <w:lang w:eastAsia="en-US"/>
    </w:rPr>
  </w:style>
  <w:style w:type="paragraph" w:customStyle="1" w:styleId="B">
    <w:name w:val="B表格正文"/>
    <w:next w:val="a"/>
    <w:qFormat/>
    <w:rsid w:val="002031C2"/>
    <w:pPr>
      <w:jc w:val="both"/>
    </w:pPr>
    <w:rPr>
      <w:rFonts w:ascii="宋体" w:eastAsia="黑体" w:hAnsi="宋体"/>
      <w:szCs w:val="21"/>
    </w:rPr>
  </w:style>
  <w:style w:type="character" w:customStyle="1" w:styleId="Char2">
    <w:name w:val="正文文本缩进 Char"/>
    <w:basedOn w:val="a0"/>
    <w:link w:val="a4"/>
    <w:rsid w:val="002031C2"/>
    <w:rPr>
      <w:kern w:val="2"/>
      <w:sz w:val="21"/>
      <w:szCs w:val="24"/>
    </w:rPr>
  </w:style>
  <w:style w:type="paragraph" w:customStyle="1" w:styleId="B0">
    <w:name w:val="B表格题注"/>
    <w:next w:val="a"/>
    <w:qFormat/>
    <w:rsid w:val="002031C2"/>
    <w:pPr>
      <w:tabs>
        <w:tab w:val="num" w:pos="420"/>
      </w:tabs>
      <w:spacing w:line="360" w:lineRule="auto"/>
      <w:ind w:left="420" w:hanging="420"/>
      <w:jc w:val="center"/>
    </w:pPr>
    <w:rPr>
      <w:rFonts w:ascii="Calibri" w:eastAsia="黑体" w:hAnsi="Calibri"/>
      <w:b/>
    </w:rPr>
  </w:style>
  <w:style w:type="paragraph" w:customStyle="1" w:styleId="B1">
    <w:name w:val="B表头样式"/>
    <w:next w:val="a"/>
    <w:qFormat/>
    <w:rsid w:val="002031C2"/>
    <w:pPr>
      <w:jc w:val="center"/>
    </w:pPr>
    <w:rPr>
      <w:rFonts w:ascii="Calibri" w:eastAsia="黑体" w:hAnsi="Calibri"/>
      <w:b/>
    </w:rPr>
  </w:style>
  <w:style w:type="character" w:customStyle="1" w:styleId="2Char0">
    <w:name w:val="正文文本缩进 2 Char"/>
    <w:basedOn w:val="a0"/>
    <w:link w:val="20"/>
    <w:uiPriority w:val="99"/>
    <w:rsid w:val="002031C2"/>
    <w:rPr>
      <w:kern w:val="2"/>
      <w:sz w:val="21"/>
      <w:szCs w:val="24"/>
    </w:rPr>
  </w:style>
  <w:style w:type="paragraph" w:styleId="31">
    <w:name w:val="Body Text Indent 3"/>
    <w:basedOn w:val="a"/>
    <w:link w:val="3Char0"/>
    <w:uiPriority w:val="99"/>
    <w:rsid w:val="002031C2"/>
    <w:pPr>
      <w:spacing w:after="120" w:line="360" w:lineRule="auto"/>
      <w:ind w:leftChars="200" w:left="420" w:firstLineChars="200" w:firstLine="200"/>
    </w:pPr>
    <w:rPr>
      <w:rFonts w:ascii="Calibri" w:hAnsi="Calibri"/>
      <w:kern w:val="0"/>
      <w:sz w:val="16"/>
      <w:szCs w:val="16"/>
    </w:rPr>
  </w:style>
  <w:style w:type="character" w:customStyle="1" w:styleId="3Char0">
    <w:name w:val="正文文本缩进 3 Char"/>
    <w:basedOn w:val="a0"/>
    <w:link w:val="31"/>
    <w:uiPriority w:val="99"/>
    <w:rsid w:val="002031C2"/>
    <w:rPr>
      <w:rFonts w:ascii="Calibri" w:hAnsi="Calibri"/>
      <w:sz w:val="16"/>
      <w:szCs w:val="16"/>
    </w:rPr>
  </w:style>
  <w:style w:type="paragraph" w:customStyle="1" w:styleId="Web">
    <w:name w:val="普通 (Web)"/>
    <w:basedOn w:val="a"/>
    <w:rsid w:val="002031C2"/>
    <w:pPr>
      <w:widowControl/>
      <w:spacing w:before="100" w:beforeAutospacing="1" w:after="100" w:afterAutospacing="1" w:line="360" w:lineRule="auto"/>
      <w:ind w:firstLineChars="200" w:firstLine="200"/>
      <w:jc w:val="left"/>
    </w:pPr>
    <w:rPr>
      <w:rFonts w:ascii="宋体" w:hAnsi="宋体" w:cs="黑体"/>
      <w:kern w:val="0"/>
      <w:sz w:val="24"/>
      <w:szCs w:val="20"/>
    </w:rPr>
  </w:style>
  <w:style w:type="paragraph" w:styleId="50">
    <w:name w:val="toc 5"/>
    <w:basedOn w:val="a"/>
    <w:next w:val="a"/>
    <w:autoRedefine/>
    <w:uiPriority w:val="39"/>
    <w:rsid w:val="002031C2"/>
    <w:pPr>
      <w:spacing w:line="360" w:lineRule="auto"/>
      <w:ind w:leftChars="800" w:left="1680" w:firstLineChars="200" w:firstLine="200"/>
    </w:pPr>
    <w:rPr>
      <w:rFonts w:ascii="Calibri" w:hAnsi="Calibri"/>
      <w:kern w:val="0"/>
      <w:sz w:val="24"/>
      <w:szCs w:val="20"/>
    </w:rPr>
  </w:style>
  <w:style w:type="character" w:customStyle="1" w:styleId="Charc">
    <w:name w:val="正文文本 Char"/>
    <w:basedOn w:val="a0"/>
    <w:rsid w:val="002031C2"/>
    <w:rPr>
      <w:rFonts w:ascii="Calibri" w:eastAsia="宋体" w:hAnsi="Calibri" w:cs="Times New Roman"/>
      <w:kern w:val="0"/>
      <w:sz w:val="24"/>
      <w:szCs w:val="20"/>
    </w:rPr>
  </w:style>
  <w:style w:type="paragraph" w:styleId="aff3">
    <w:name w:val="Body Text First Indent"/>
    <w:basedOn w:val="a7"/>
    <w:link w:val="Chard"/>
    <w:rsid w:val="002031C2"/>
    <w:pPr>
      <w:spacing w:line="360" w:lineRule="auto"/>
      <w:ind w:firstLineChars="100" w:firstLine="420"/>
    </w:pPr>
    <w:rPr>
      <w:rFonts w:ascii="Calibri" w:hAnsi="Calibri"/>
      <w:kern w:val="0"/>
      <w:sz w:val="24"/>
      <w:szCs w:val="20"/>
    </w:rPr>
  </w:style>
  <w:style w:type="character" w:customStyle="1" w:styleId="Char1">
    <w:name w:val="正文文本 Char1"/>
    <w:basedOn w:val="a0"/>
    <w:link w:val="a7"/>
    <w:rsid w:val="002031C2"/>
    <w:rPr>
      <w:kern w:val="2"/>
      <w:sz w:val="21"/>
      <w:szCs w:val="24"/>
    </w:rPr>
  </w:style>
  <w:style w:type="character" w:customStyle="1" w:styleId="Chard">
    <w:name w:val="正文首行缩进 Char"/>
    <w:basedOn w:val="Char1"/>
    <w:link w:val="aff3"/>
    <w:rsid w:val="002031C2"/>
    <w:rPr>
      <w:rFonts w:ascii="Calibri" w:hAnsi="Calibri"/>
      <w:sz w:val="24"/>
    </w:rPr>
  </w:style>
  <w:style w:type="paragraph" w:customStyle="1" w:styleId="aff4">
    <w:name w:val="附录表标题"/>
    <w:next w:val="a"/>
    <w:rsid w:val="002031C2"/>
    <w:pPr>
      <w:jc w:val="center"/>
      <w:textAlignment w:val="baseline"/>
    </w:pPr>
    <w:rPr>
      <w:rFonts w:ascii="黑体" w:eastAsia="黑体" w:hAnsi="Calibri"/>
      <w:kern w:val="21"/>
      <w:sz w:val="21"/>
    </w:rPr>
  </w:style>
  <w:style w:type="paragraph" w:styleId="40">
    <w:name w:val="toc 4"/>
    <w:basedOn w:val="a"/>
    <w:next w:val="a"/>
    <w:autoRedefine/>
    <w:uiPriority w:val="39"/>
    <w:rsid w:val="002031C2"/>
    <w:pPr>
      <w:spacing w:line="360" w:lineRule="auto"/>
      <w:ind w:leftChars="600" w:left="1260" w:firstLineChars="200" w:firstLine="200"/>
    </w:pPr>
    <w:rPr>
      <w:rFonts w:ascii="Calibri" w:hAnsi="Calibri"/>
      <w:kern w:val="0"/>
      <w:sz w:val="24"/>
      <w:szCs w:val="20"/>
    </w:rPr>
  </w:style>
  <w:style w:type="paragraph" w:styleId="60">
    <w:name w:val="toc 6"/>
    <w:basedOn w:val="a"/>
    <w:next w:val="a"/>
    <w:autoRedefine/>
    <w:uiPriority w:val="39"/>
    <w:rsid w:val="002031C2"/>
    <w:pPr>
      <w:spacing w:line="360" w:lineRule="auto"/>
      <w:ind w:leftChars="1000" w:left="2100" w:firstLineChars="200" w:firstLine="200"/>
    </w:pPr>
    <w:rPr>
      <w:rFonts w:ascii="Calibri" w:hAnsi="Calibri"/>
      <w:kern w:val="0"/>
      <w:sz w:val="24"/>
      <w:szCs w:val="20"/>
    </w:rPr>
  </w:style>
  <w:style w:type="paragraph" w:styleId="70">
    <w:name w:val="toc 7"/>
    <w:basedOn w:val="a"/>
    <w:next w:val="a"/>
    <w:autoRedefine/>
    <w:uiPriority w:val="39"/>
    <w:rsid w:val="002031C2"/>
    <w:pPr>
      <w:spacing w:line="360" w:lineRule="auto"/>
      <w:ind w:leftChars="1200" w:left="2520" w:firstLineChars="200" w:firstLine="200"/>
    </w:pPr>
    <w:rPr>
      <w:rFonts w:ascii="Calibri" w:hAnsi="Calibri"/>
      <w:kern w:val="0"/>
      <w:sz w:val="24"/>
      <w:szCs w:val="20"/>
    </w:rPr>
  </w:style>
  <w:style w:type="paragraph" w:styleId="80">
    <w:name w:val="toc 8"/>
    <w:basedOn w:val="a"/>
    <w:next w:val="a"/>
    <w:autoRedefine/>
    <w:uiPriority w:val="39"/>
    <w:rsid w:val="002031C2"/>
    <w:pPr>
      <w:spacing w:line="360" w:lineRule="auto"/>
      <w:ind w:leftChars="1400" w:left="2940" w:firstLineChars="200" w:firstLine="200"/>
    </w:pPr>
    <w:rPr>
      <w:rFonts w:ascii="Calibri" w:hAnsi="Calibri"/>
      <w:kern w:val="0"/>
      <w:sz w:val="24"/>
      <w:szCs w:val="20"/>
    </w:rPr>
  </w:style>
  <w:style w:type="paragraph" w:styleId="90">
    <w:name w:val="toc 9"/>
    <w:basedOn w:val="a"/>
    <w:next w:val="a"/>
    <w:autoRedefine/>
    <w:uiPriority w:val="39"/>
    <w:rsid w:val="002031C2"/>
    <w:pPr>
      <w:spacing w:line="360" w:lineRule="auto"/>
      <w:ind w:leftChars="1600" w:left="3360" w:firstLineChars="200" w:firstLine="200"/>
    </w:pPr>
    <w:rPr>
      <w:rFonts w:ascii="Calibri" w:hAnsi="Calibri"/>
      <w:kern w:val="0"/>
      <w:sz w:val="24"/>
      <w:szCs w:val="20"/>
    </w:rPr>
  </w:style>
  <w:style w:type="paragraph" w:customStyle="1" w:styleId="GB231209812">
    <w:name w:val="样式 (中文) 仿宋_GB2312 四号 首行缩进:  0.98 厘米 段前: 12 磅"/>
    <w:basedOn w:val="a"/>
    <w:rsid w:val="002031C2"/>
    <w:pPr>
      <w:spacing w:line="360" w:lineRule="auto"/>
      <w:ind w:firstLineChars="200" w:firstLine="556"/>
    </w:pPr>
    <w:rPr>
      <w:rFonts w:ascii="Calibri" w:eastAsia="仿宋_GB2312" w:hAnsi="Calibri" w:cs="黑体"/>
      <w:kern w:val="0"/>
      <w:sz w:val="28"/>
      <w:szCs w:val="20"/>
    </w:rPr>
  </w:style>
  <w:style w:type="paragraph" w:styleId="aff5">
    <w:name w:val="endnote text"/>
    <w:basedOn w:val="a"/>
    <w:link w:val="Chare"/>
    <w:rsid w:val="002031C2"/>
    <w:pPr>
      <w:snapToGrid w:val="0"/>
      <w:spacing w:line="360" w:lineRule="auto"/>
      <w:ind w:firstLineChars="200" w:firstLine="200"/>
      <w:jc w:val="left"/>
    </w:pPr>
    <w:rPr>
      <w:rFonts w:ascii="Calibri" w:hAnsi="Calibri"/>
    </w:rPr>
  </w:style>
  <w:style w:type="character" w:customStyle="1" w:styleId="Chare">
    <w:name w:val="尾注文本 Char"/>
    <w:basedOn w:val="a0"/>
    <w:link w:val="aff5"/>
    <w:rsid w:val="002031C2"/>
    <w:rPr>
      <w:rFonts w:ascii="Calibri" w:hAnsi="Calibri"/>
      <w:kern w:val="2"/>
      <w:sz w:val="21"/>
      <w:szCs w:val="24"/>
    </w:rPr>
  </w:style>
  <w:style w:type="character" w:styleId="aff6">
    <w:name w:val="endnote reference"/>
    <w:rsid w:val="002031C2"/>
    <w:rPr>
      <w:vertAlign w:val="superscript"/>
    </w:rPr>
  </w:style>
  <w:style w:type="paragraph" w:styleId="aff7">
    <w:name w:val="Normal Indent"/>
    <w:aliases w:val="标题4,表正文,正文非缩进,段1,特点,四号,正文（首行缩进两字）,正文（首行缩进两字） Char,正文（首行缩进两字） Char Char Char Char Char,正文（首行缩进两字） Char Char Char,正文（首行缩进两字） Char Char Char Char,正文（首行缩进两字） Char Char,正文双线,正文不缩进,ALT+Z,水上软件,正文缩进William,缩进,段1 + 黑体,(符号) 宋体,蓝色,左侧:  2.59 厘米,加宽...,标"/>
    <w:basedOn w:val="a"/>
    <w:link w:val="Charf"/>
    <w:unhideWhenUsed/>
    <w:qFormat/>
    <w:rsid w:val="002031C2"/>
    <w:pPr>
      <w:spacing w:line="360" w:lineRule="auto"/>
      <w:ind w:firstLineChars="200" w:firstLine="420"/>
    </w:pPr>
    <w:rPr>
      <w:rFonts w:ascii="Calibri" w:hAnsi="Calibri"/>
      <w:kern w:val="0"/>
      <w:sz w:val="24"/>
      <w:szCs w:val="20"/>
    </w:rPr>
  </w:style>
  <w:style w:type="character" w:customStyle="1" w:styleId="Charf">
    <w:name w:val="正文缩进 Char"/>
    <w:aliases w:val="标题4 Char,表正文 Char,正文非缩进 Char,段1 Char,特点 Char,四号 Char,正文（首行缩进两字） Char1,正文（首行缩进两字） Char Char1,正文（首行缩进两字） Char Char Char Char Char Char,正文（首行缩进两字） Char Char Char Char1,正文（首行缩进两字） Char Char Char Char Char1,正文（首行缩进两字） Char Char Char1,正文双线 Char"/>
    <w:link w:val="aff7"/>
    <w:rsid w:val="002031C2"/>
    <w:rPr>
      <w:rFonts w:ascii="Calibri" w:hAnsi="Calibri"/>
      <w:sz w:val="24"/>
    </w:rPr>
  </w:style>
  <w:style w:type="paragraph" w:customStyle="1" w:styleId="Z">
    <w:name w:val="Z正文标题"/>
    <w:basedOn w:val="a"/>
    <w:next w:val="a"/>
    <w:qFormat/>
    <w:rsid w:val="002031C2"/>
    <w:pPr>
      <w:spacing w:afterLines="50" w:line="360" w:lineRule="auto"/>
      <w:ind w:firstLineChars="200" w:firstLine="200"/>
    </w:pPr>
    <w:rPr>
      <w:rFonts w:ascii="Calibri" w:hAnsi="Calibri"/>
      <w:b/>
      <w:kern w:val="0"/>
      <w:sz w:val="24"/>
      <w:szCs w:val="20"/>
    </w:rPr>
  </w:style>
  <w:style w:type="paragraph" w:customStyle="1" w:styleId="T">
    <w:name w:val="T图形题注"/>
    <w:basedOn w:val="a"/>
    <w:next w:val="a"/>
    <w:qFormat/>
    <w:rsid w:val="002031C2"/>
    <w:pPr>
      <w:tabs>
        <w:tab w:val="num" w:pos="1440"/>
      </w:tabs>
      <w:spacing w:line="360" w:lineRule="auto"/>
      <w:ind w:left="432" w:hanging="432"/>
      <w:jc w:val="center"/>
    </w:pPr>
    <w:rPr>
      <w:rFonts w:ascii="Calibri" w:eastAsia="黑体" w:hAnsi="Calibri"/>
      <w:b/>
      <w:kern w:val="0"/>
      <w:szCs w:val="20"/>
    </w:rPr>
  </w:style>
  <w:style w:type="paragraph" w:customStyle="1" w:styleId="T0">
    <w:name w:val="T图形居中"/>
    <w:next w:val="T"/>
    <w:qFormat/>
    <w:rsid w:val="002031C2"/>
    <w:pPr>
      <w:jc w:val="center"/>
    </w:pPr>
    <w:rPr>
      <w:rFonts w:ascii="Calibri" w:hAnsi="Calibri"/>
      <w:sz w:val="24"/>
    </w:rPr>
  </w:style>
  <w:style w:type="paragraph" w:customStyle="1" w:styleId="B2">
    <w:name w:val="B表格序号"/>
    <w:basedOn w:val="B"/>
    <w:qFormat/>
    <w:rsid w:val="002031C2"/>
    <w:pPr>
      <w:jc w:val="center"/>
    </w:pPr>
    <w:rPr>
      <w:sz w:val="24"/>
    </w:rPr>
  </w:style>
  <w:style w:type="paragraph" w:customStyle="1" w:styleId="Z0">
    <w:name w:val="Z正文强调"/>
    <w:basedOn w:val="a"/>
    <w:qFormat/>
    <w:rsid w:val="002031C2"/>
    <w:pPr>
      <w:spacing w:afterLines="50" w:line="360" w:lineRule="auto"/>
      <w:ind w:firstLineChars="200" w:firstLine="200"/>
    </w:pPr>
    <w:rPr>
      <w:rFonts w:ascii="Calibri" w:hAnsi="Calibri"/>
      <w:b/>
      <w:kern w:val="0"/>
      <w:sz w:val="24"/>
      <w:szCs w:val="20"/>
      <w:u w:val="single"/>
    </w:rPr>
  </w:style>
  <w:style w:type="paragraph" w:customStyle="1" w:styleId="aff8">
    <w:name w:val="表格文字"/>
    <w:basedOn w:val="a"/>
    <w:qFormat/>
    <w:rsid w:val="002031C2"/>
    <w:pPr>
      <w:jc w:val="center"/>
    </w:pPr>
    <w:rPr>
      <w:szCs w:val="20"/>
    </w:rPr>
  </w:style>
  <w:style w:type="paragraph" w:customStyle="1" w:styleId="aff9">
    <w:name w:val="样式模板"/>
    <w:basedOn w:val="a"/>
    <w:link w:val="Charf0"/>
    <w:qFormat/>
    <w:rsid w:val="002031C2"/>
    <w:pPr>
      <w:spacing w:line="360" w:lineRule="auto"/>
      <w:ind w:firstLineChars="200" w:firstLine="480"/>
    </w:pPr>
    <w:rPr>
      <w:rFonts w:ascii="Calibri" w:hAnsi="Calibri"/>
      <w:kern w:val="0"/>
      <w:sz w:val="24"/>
      <w:szCs w:val="20"/>
    </w:rPr>
  </w:style>
  <w:style w:type="character" w:customStyle="1" w:styleId="Charf0">
    <w:name w:val="样式模板 Char"/>
    <w:link w:val="aff9"/>
    <w:rsid w:val="002031C2"/>
    <w:rPr>
      <w:rFonts w:ascii="Calibri" w:hAnsi="Calibri"/>
      <w:sz w:val="24"/>
    </w:rPr>
  </w:style>
  <w:style w:type="paragraph" w:customStyle="1" w:styleId="ISSHeadPageTitle1">
    <w:name w:val="ISS_Head_Page_Title1"/>
    <w:basedOn w:val="a"/>
    <w:rsid w:val="002031C2"/>
    <w:pPr>
      <w:spacing w:before="180" w:line="360" w:lineRule="auto"/>
    </w:pPr>
    <w:rPr>
      <w:rFonts w:ascii="Arial" w:eastAsia="楷体_GB2312" w:hAnsi="Arial"/>
      <w:b/>
      <w:sz w:val="18"/>
    </w:rPr>
  </w:style>
  <w:style w:type="character" w:customStyle="1" w:styleId="alt-edited1">
    <w:name w:val="alt-edited1"/>
    <w:rsid w:val="002031C2"/>
    <w:rPr>
      <w:color w:val="4D90F0"/>
    </w:rPr>
  </w:style>
  <w:style w:type="character" w:customStyle="1" w:styleId="Charf1">
    <w:name w:val="日期 Char"/>
    <w:link w:val="affa"/>
    <w:uiPriority w:val="99"/>
    <w:rsid w:val="002031C2"/>
    <w:rPr>
      <w:rFonts w:asciiTheme="minorHAnsi" w:eastAsiaTheme="minorEastAsia" w:hAnsiTheme="minorHAnsi" w:cstheme="minorBidi"/>
      <w:kern w:val="2"/>
      <w:sz w:val="21"/>
      <w:szCs w:val="22"/>
    </w:rPr>
  </w:style>
  <w:style w:type="paragraph" w:styleId="affa">
    <w:name w:val="Date"/>
    <w:basedOn w:val="a"/>
    <w:next w:val="a"/>
    <w:link w:val="Charf1"/>
    <w:uiPriority w:val="99"/>
    <w:unhideWhenUsed/>
    <w:rsid w:val="002031C2"/>
    <w:pPr>
      <w:ind w:leftChars="2500" w:left="100"/>
    </w:pPr>
    <w:rPr>
      <w:rFonts w:asciiTheme="minorHAnsi" w:eastAsiaTheme="minorEastAsia" w:hAnsiTheme="minorHAnsi" w:cstheme="minorBidi"/>
      <w:szCs w:val="22"/>
    </w:rPr>
  </w:style>
  <w:style w:type="character" w:customStyle="1" w:styleId="Char10">
    <w:name w:val="日期 Char1"/>
    <w:basedOn w:val="a0"/>
    <w:link w:val="affa"/>
    <w:uiPriority w:val="99"/>
    <w:rsid w:val="002031C2"/>
    <w:rPr>
      <w:kern w:val="2"/>
      <w:sz w:val="21"/>
      <w:szCs w:val="24"/>
    </w:rPr>
  </w:style>
  <w:style w:type="character" w:customStyle="1" w:styleId="4Char1">
    <w:name w:val="标题 4 Char1"/>
    <w:aliases w:val="CSS节内2级标记 Char1,CSS节内2级标记 Char Char,标题 4 Char Char,（四级标题） Char1,h4 Char1,PIM 4 Char1,H4 Char1,bullet Char1,bl Char1,bb Char1,l4 Char1,sect 1.2.3.4 Char1,Ref Heading 1 Char1,rh1 Char1,Heading sql Char1,h41 Char1,h42 Char1,h43 Char1,h411 Char1"/>
    <w:basedOn w:val="a0"/>
    <w:uiPriority w:val="9"/>
    <w:rsid w:val="002031C2"/>
    <w:rPr>
      <w:rFonts w:ascii="Arial" w:eastAsia="黑体" w:hAnsi="Arial"/>
      <w:b/>
      <w:bCs/>
      <w:kern w:val="2"/>
      <w:sz w:val="28"/>
      <w:szCs w:val="28"/>
      <w:lang w:val="en-US" w:eastAsia="zh-CN" w:bidi="ar-SA"/>
    </w:rPr>
  </w:style>
  <w:style w:type="paragraph" w:styleId="affb">
    <w:name w:val="Plain Text"/>
    <w:basedOn w:val="a"/>
    <w:link w:val="Charf2"/>
    <w:rsid w:val="002031C2"/>
    <w:rPr>
      <w:rFonts w:ascii="宋体" w:hAnsi="Courier New"/>
      <w:szCs w:val="20"/>
    </w:rPr>
  </w:style>
  <w:style w:type="character" w:customStyle="1" w:styleId="Charf2">
    <w:name w:val="纯文本 Char"/>
    <w:basedOn w:val="a0"/>
    <w:link w:val="affb"/>
    <w:rsid w:val="002031C2"/>
    <w:rPr>
      <w:rFonts w:ascii="宋体" w:hAnsi="Courier New"/>
      <w:kern w:val="2"/>
      <w:sz w:val="21"/>
    </w:rPr>
  </w:style>
  <w:style w:type="paragraph" w:customStyle="1" w:styleId="117165241">
    <w:name w:val="样式 标题 1 + 段前: 17 磅 段后: 16.5 磅 行距: 多倍行距 2.41 字行"/>
    <w:basedOn w:val="10"/>
    <w:rsid w:val="002031C2"/>
    <w:pPr>
      <w:keepLines/>
      <w:spacing w:before="240" w:after="240" w:line="480" w:lineRule="auto"/>
      <w:ind w:left="1350" w:hanging="720"/>
      <w:jc w:val="both"/>
    </w:pPr>
    <w:rPr>
      <w:rFonts w:ascii="Times New Roman" w:eastAsia="宋体" w:cs="宋体"/>
      <w:kern w:val="44"/>
      <w:sz w:val="44"/>
      <w:szCs w:val="20"/>
    </w:rPr>
  </w:style>
  <w:style w:type="paragraph" w:customStyle="1" w:styleId="affc">
    <w:name w:val="段"/>
    <w:rsid w:val="002031C2"/>
    <w:pPr>
      <w:autoSpaceDE w:val="0"/>
      <w:autoSpaceDN w:val="0"/>
      <w:jc w:val="both"/>
    </w:pPr>
    <w:rPr>
      <w:rFonts w:ascii="宋体"/>
      <w:noProof/>
      <w:sz w:val="21"/>
    </w:rPr>
  </w:style>
  <w:style w:type="paragraph" w:customStyle="1" w:styleId="affd">
    <w:name w:val="样式 宋体"/>
    <w:basedOn w:val="a"/>
    <w:rsid w:val="002031C2"/>
    <w:pPr>
      <w:spacing w:line="360" w:lineRule="auto"/>
      <w:jc w:val="left"/>
    </w:pPr>
    <w:rPr>
      <w:rFonts w:ascii="宋体" w:hAnsi="宋体" w:cs="宋体"/>
      <w:szCs w:val="20"/>
    </w:rPr>
  </w:style>
  <w:style w:type="paragraph" w:customStyle="1" w:styleId="13">
    <w:name w:val="样式 宋体1"/>
    <w:basedOn w:val="a"/>
    <w:rsid w:val="002031C2"/>
    <w:pPr>
      <w:spacing w:line="360" w:lineRule="auto"/>
      <w:jc w:val="left"/>
    </w:pPr>
    <w:rPr>
      <w:rFonts w:ascii="宋体" w:hAnsi="宋体" w:cs="宋体"/>
      <w:szCs w:val="20"/>
    </w:rPr>
  </w:style>
  <w:style w:type="paragraph" w:customStyle="1" w:styleId="23">
    <w:name w:val="样式 宋体2"/>
    <w:basedOn w:val="a"/>
    <w:rsid w:val="002031C2"/>
    <w:pPr>
      <w:spacing w:line="360" w:lineRule="auto"/>
      <w:jc w:val="left"/>
    </w:pPr>
    <w:rPr>
      <w:rFonts w:ascii="宋体" w:hAnsi="宋体" w:cs="宋体"/>
      <w:szCs w:val="20"/>
    </w:rPr>
  </w:style>
  <w:style w:type="paragraph" w:customStyle="1" w:styleId="24">
    <w:name w:val="标题2"/>
    <w:basedOn w:val="10"/>
    <w:link w:val="2Char1"/>
    <w:qFormat/>
    <w:rsid w:val="002031C2"/>
    <w:pPr>
      <w:keepLines/>
      <w:spacing w:before="340" w:after="330" w:line="578" w:lineRule="auto"/>
      <w:jc w:val="both"/>
    </w:pPr>
    <w:rPr>
      <w:rFonts w:ascii="Calibri" w:eastAsia="宋体" w:hAnsi="Calibri"/>
      <w:kern w:val="44"/>
      <w:sz w:val="36"/>
      <w:szCs w:val="36"/>
    </w:rPr>
  </w:style>
  <w:style w:type="character" w:customStyle="1" w:styleId="2Char1">
    <w:name w:val="标题2 Char"/>
    <w:basedOn w:val="a0"/>
    <w:link w:val="24"/>
    <w:rsid w:val="002031C2"/>
    <w:rPr>
      <w:rFonts w:ascii="Calibri" w:hAnsi="Calibri"/>
      <w:b/>
      <w:bCs/>
      <w:kern w:val="44"/>
      <w:sz w:val="36"/>
      <w:szCs w:val="36"/>
    </w:rPr>
  </w:style>
  <w:style w:type="paragraph" w:customStyle="1" w:styleId="reader-word-layer">
    <w:name w:val="reader-word-layer"/>
    <w:basedOn w:val="a"/>
    <w:rsid w:val="002031C2"/>
    <w:pPr>
      <w:widowControl/>
      <w:spacing w:before="100" w:beforeAutospacing="1" w:after="100" w:afterAutospacing="1"/>
      <w:jc w:val="left"/>
    </w:pPr>
    <w:rPr>
      <w:rFonts w:ascii="宋体" w:hAnsi="宋体" w:cs="宋体"/>
      <w:kern w:val="0"/>
      <w:sz w:val="24"/>
    </w:rPr>
  </w:style>
  <w:style w:type="paragraph" w:styleId="14">
    <w:name w:val="index 1"/>
    <w:basedOn w:val="a"/>
    <w:next w:val="a"/>
    <w:rsid w:val="002031C2"/>
    <w:pPr>
      <w:widowControl/>
      <w:spacing w:line="264" w:lineRule="auto"/>
      <w:ind w:left="240" w:hanging="240"/>
      <w:jc w:val="left"/>
    </w:pPr>
    <w:rPr>
      <w:kern w:val="0"/>
      <w:sz w:val="24"/>
      <w:lang w:eastAsia="en-US"/>
    </w:rPr>
  </w:style>
  <w:style w:type="paragraph" w:styleId="25">
    <w:name w:val="index 2"/>
    <w:basedOn w:val="a"/>
    <w:next w:val="a"/>
    <w:rsid w:val="002031C2"/>
    <w:pPr>
      <w:widowControl/>
      <w:spacing w:line="264" w:lineRule="auto"/>
      <w:ind w:left="480" w:hanging="240"/>
      <w:jc w:val="left"/>
    </w:pPr>
    <w:rPr>
      <w:kern w:val="0"/>
      <w:sz w:val="24"/>
      <w:lang w:eastAsia="en-US"/>
    </w:rPr>
  </w:style>
  <w:style w:type="paragraph" w:styleId="32">
    <w:name w:val="index 3"/>
    <w:basedOn w:val="a"/>
    <w:next w:val="a"/>
    <w:rsid w:val="002031C2"/>
    <w:pPr>
      <w:widowControl/>
      <w:spacing w:line="264" w:lineRule="auto"/>
      <w:ind w:left="720" w:hanging="240"/>
      <w:jc w:val="left"/>
    </w:pPr>
    <w:rPr>
      <w:kern w:val="0"/>
      <w:sz w:val="24"/>
      <w:lang w:eastAsia="en-US"/>
    </w:rPr>
  </w:style>
  <w:style w:type="paragraph" w:styleId="41">
    <w:name w:val="index 4"/>
    <w:basedOn w:val="a"/>
    <w:next w:val="a"/>
    <w:rsid w:val="002031C2"/>
    <w:pPr>
      <w:widowControl/>
      <w:spacing w:line="264" w:lineRule="auto"/>
      <w:ind w:left="960" w:hanging="240"/>
      <w:jc w:val="left"/>
    </w:pPr>
    <w:rPr>
      <w:kern w:val="0"/>
      <w:sz w:val="24"/>
      <w:lang w:eastAsia="en-US"/>
    </w:rPr>
  </w:style>
  <w:style w:type="paragraph" w:styleId="51">
    <w:name w:val="index 5"/>
    <w:basedOn w:val="a"/>
    <w:next w:val="a"/>
    <w:rsid w:val="002031C2"/>
    <w:pPr>
      <w:widowControl/>
      <w:spacing w:line="264" w:lineRule="auto"/>
      <w:ind w:left="1200" w:hanging="240"/>
      <w:jc w:val="left"/>
    </w:pPr>
    <w:rPr>
      <w:kern w:val="0"/>
      <w:sz w:val="24"/>
      <w:lang w:eastAsia="en-US"/>
    </w:rPr>
  </w:style>
  <w:style w:type="paragraph" w:styleId="61">
    <w:name w:val="index 6"/>
    <w:basedOn w:val="a"/>
    <w:next w:val="a"/>
    <w:rsid w:val="002031C2"/>
    <w:pPr>
      <w:widowControl/>
      <w:spacing w:line="264" w:lineRule="auto"/>
      <w:ind w:left="1440" w:hanging="240"/>
      <w:jc w:val="left"/>
    </w:pPr>
    <w:rPr>
      <w:kern w:val="0"/>
      <w:sz w:val="24"/>
      <w:lang w:eastAsia="en-US"/>
    </w:rPr>
  </w:style>
  <w:style w:type="paragraph" w:styleId="71">
    <w:name w:val="index 7"/>
    <w:basedOn w:val="a"/>
    <w:next w:val="a"/>
    <w:rsid w:val="002031C2"/>
    <w:pPr>
      <w:widowControl/>
      <w:spacing w:line="264" w:lineRule="auto"/>
      <w:ind w:left="1680" w:hanging="240"/>
      <w:jc w:val="left"/>
    </w:pPr>
    <w:rPr>
      <w:kern w:val="0"/>
      <w:sz w:val="24"/>
      <w:lang w:eastAsia="en-US"/>
    </w:rPr>
  </w:style>
  <w:style w:type="paragraph" w:styleId="81">
    <w:name w:val="index 8"/>
    <w:basedOn w:val="a"/>
    <w:next w:val="a"/>
    <w:rsid w:val="002031C2"/>
    <w:pPr>
      <w:widowControl/>
      <w:spacing w:line="264" w:lineRule="auto"/>
      <w:ind w:left="1920" w:hanging="240"/>
      <w:jc w:val="left"/>
    </w:pPr>
    <w:rPr>
      <w:kern w:val="0"/>
      <w:sz w:val="24"/>
      <w:lang w:eastAsia="en-US"/>
    </w:rPr>
  </w:style>
  <w:style w:type="paragraph" w:styleId="91">
    <w:name w:val="index 9"/>
    <w:basedOn w:val="a"/>
    <w:next w:val="a"/>
    <w:rsid w:val="002031C2"/>
    <w:pPr>
      <w:widowControl/>
      <w:spacing w:line="264" w:lineRule="auto"/>
      <w:ind w:left="2160" w:hanging="240"/>
      <w:jc w:val="left"/>
    </w:pPr>
    <w:rPr>
      <w:kern w:val="0"/>
      <w:sz w:val="24"/>
      <w:lang w:eastAsia="en-US"/>
    </w:rPr>
  </w:style>
  <w:style w:type="paragraph" w:styleId="33">
    <w:name w:val="List Bullet 3"/>
    <w:basedOn w:val="a"/>
    <w:rsid w:val="002031C2"/>
    <w:pPr>
      <w:widowControl/>
      <w:tabs>
        <w:tab w:val="num" w:pos="1080"/>
      </w:tabs>
      <w:spacing w:line="264" w:lineRule="auto"/>
      <w:ind w:left="1080" w:hanging="360"/>
      <w:jc w:val="left"/>
    </w:pPr>
    <w:rPr>
      <w:kern w:val="0"/>
      <w:sz w:val="24"/>
      <w:lang w:eastAsia="en-US"/>
    </w:rPr>
  </w:style>
  <w:style w:type="paragraph" w:styleId="42">
    <w:name w:val="List Bullet 4"/>
    <w:basedOn w:val="a"/>
    <w:rsid w:val="002031C2"/>
    <w:pPr>
      <w:widowControl/>
      <w:tabs>
        <w:tab w:val="num" w:pos="1440"/>
      </w:tabs>
      <w:spacing w:line="264" w:lineRule="auto"/>
      <w:ind w:left="1440" w:hanging="360"/>
      <w:jc w:val="left"/>
    </w:pPr>
    <w:rPr>
      <w:kern w:val="0"/>
      <w:sz w:val="24"/>
      <w:lang w:eastAsia="en-US"/>
    </w:rPr>
  </w:style>
  <w:style w:type="paragraph" w:styleId="52">
    <w:name w:val="List Bullet 5"/>
    <w:basedOn w:val="a"/>
    <w:rsid w:val="002031C2"/>
    <w:pPr>
      <w:widowControl/>
      <w:tabs>
        <w:tab w:val="num" w:pos="1800"/>
      </w:tabs>
      <w:spacing w:line="264" w:lineRule="auto"/>
      <w:ind w:left="1800" w:hanging="360"/>
      <w:jc w:val="left"/>
    </w:pPr>
    <w:rPr>
      <w:kern w:val="0"/>
      <w:sz w:val="24"/>
      <w:lang w:eastAsia="en-US"/>
    </w:rPr>
  </w:style>
  <w:style w:type="paragraph" w:customStyle="1" w:styleId="Indent">
    <w:name w:val="Indent"/>
    <w:basedOn w:val="a"/>
    <w:rsid w:val="002031C2"/>
    <w:pPr>
      <w:widowControl/>
      <w:spacing w:line="264" w:lineRule="auto"/>
      <w:ind w:left="720" w:hanging="720"/>
      <w:jc w:val="left"/>
    </w:pPr>
    <w:rPr>
      <w:kern w:val="0"/>
      <w:sz w:val="24"/>
      <w:lang w:eastAsia="en-US"/>
    </w:rPr>
  </w:style>
  <w:style w:type="paragraph" w:customStyle="1" w:styleId="UnNumberedHeading1">
    <w:name w:val="UnNumbered Heading 1"/>
    <w:basedOn w:val="a"/>
    <w:next w:val="a"/>
    <w:rsid w:val="002031C2"/>
    <w:pPr>
      <w:widowControl/>
      <w:spacing w:line="264" w:lineRule="auto"/>
      <w:jc w:val="center"/>
    </w:pPr>
    <w:rPr>
      <w:b/>
      <w:smallCaps/>
      <w:kern w:val="0"/>
      <w:sz w:val="24"/>
      <w:lang w:eastAsia="en-US"/>
    </w:rPr>
  </w:style>
  <w:style w:type="paragraph" w:customStyle="1" w:styleId="Style1">
    <w:name w:val="Style1"/>
    <w:basedOn w:val="a"/>
    <w:rsid w:val="002031C2"/>
    <w:pPr>
      <w:widowControl/>
      <w:tabs>
        <w:tab w:val="left" w:pos="1387"/>
        <w:tab w:val="left" w:pos="1717"/>
        <w:tab w:val="left" w:pos="2434"/>
        <w:tab w:val="left" w:pos="2995"/>
        <w:tab w:val="left" w:pos="3529"/>
        <w:tab w:val="left" w:pos="7329"/>
        <w:tab w:val="left" w:pos="9924"/>
        <w:tab w:val="left" w:pos="10864"/>
        <w:tab w:val="left" w:pos="11704"/>
        <w:tab w:val="left" w:pos="12544"/>
      </w:tabs>
      <w:ind w:left="1468" w:hanging="1382"/>
      <w:jc w:val="left"/>
    </w:pPr>
    <w:rPr>
      <w:b/>
      <w:kern w:val="0"/>
      <w:sz w:val="36"/>
      <w:szCs w:val="36"/>
      <w:lang w:eastAsia="en-US"/>
    </w:rPr>
  </w:style>
  <w:style w:type="character" w:customStyle="1" w:styleId="tw4winMark">
    <w:name w:val="tw4winMark"/>
    <w:rsid w:val="002031C2"/>
    <w:rPr>
      <w:rFonts w:ascii="Courier New" w:hAnsi="Courier New"/>
      <w:vanish/>
      <w:color w:val="800080"/>
      <w:vertAlign w:val="subscript"/>
    </w:rPr>
  </w:style>
  <w:style w:type="paragraph" w:customStyle="1" w:styleId="xl63">
    <w:name w:val="xl63"/>
    <w:basedOn w:val="a"/>
    <w:rsid w:val="002031C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2031C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黑体" w:eastAsia="黑体" w:hAnsi="宋体" w:cs="宋体"/>
      <w:b/>
      <w:bCs/>
      <w:color w:val="000000"/>
      <w:kern w:val="0"/>
      <w:sz w:val="20"/>
      <w:szCs w:val="20"/>
    </w:rPr>
  </w:style>
  <w:style w:type="character" w:customStyle="1" w:styleId="CommentTextChar">
    <w:name w:val="Comment Text Char"/>
    <w:semiHidden/>
    <w:locked/>
    <w:rsid w:val="002031C2"/>
    <w:rPr>
      <w:rFonts w:cs="Times New Roman"/>
      <w:kern w:val="0"/>
      <w:sz w:val="20"/>
      <w:szCs w:val="20"/>
    </w:rPr>
  </w:style>
  <w:style w:type="numbering" w:customStyle="1" w:styleId="1">
    <w:name w:val="样式1"/>
    <w:rsid w:val="002031C2"/>
    <w:pPr>
      <w:numPr>
        <w:numId w:val="31"/>
      </w:numPr>
    </w:pPr>
  </w:style>
</w:styles>
</file>

<file path=word/webSettings.xml><?xml version="1.0" encoding="utf-8"?>
<w:webSettings xmlns:r="http://schemas.openxmlformats.org/officeDocument/2006/relationships" xmlns:w="http://schemas.openxmlformats.org/wordprocessingml/2006/main">
  <w:divs>
    <w:div w:id="27217839">
      <w:bodyDiv w:val="1"/>
      <w:marLeft w:val="0"/>
      <w:marRight w:val="0"/>
      <w:marTop w:val="0"/>
      <w:marBottom w:val="0"/>
      <w:divBdr>
        <w:top w:val="none" w:sz="0" w:space="0" w:color="auto"/>
        <w:left w:val="none" w:sz="0" w:space="0" w:color="auto"/>
        <w:bottom w:val="none" w:sz="0" w:space="0" w:color="auto"/>
        <w:right w:val="none" w:sz="0" w:space="0" w:color="auto"/>
      </w:divBdr>
    </w:div>
    <w:div w:id="54354536">
      <w:bodyDiv w:val="1"/>
      <w:marLeft w:val="0"/>
      <w:marRight w:val="0"/>
      <w:marTop w:val="0"/>
      <w:marBottom w:val="0"/>
      <w:divBdr>
        <w:top w:val="none" w:sz="0" w:space="0" w:color="auto"/>
        <w:left w:val="none" w:sz="0" w:space="0" w:color="auto"/>
        <w:bottom w:val="none" w:sz="0" w:space="0" w:color="auto"/>
        <w:right w:val="none" w:sz="0" w:space="0" w:color="auto"/>
      </w:divBdr>
    </w:div>
    <w:div w:id="58094529">
      <w:bodyDiv w:val="1"/>
      <w:marLeft w:val="0"/>
      <w:marRight w:val="0"/>
      <w:marTop w:val="0"/>
      <w:marBottom w:val="0"/>
      <w:divBdr>
        <w:top w:val="none" w:sz="0" w:space="0" w:color="auto"/>
        <w:left w:val="none" w:sz="0" w:space="0" w:color="auto"/>
        <w:bottom w:val="none" w:sz="0" w:space="0" w:color="auto"/>
        <w:right w:val="none" w:sz="0" w:space="0" w:color="auto"/>
      </w:divBdr>
    </w:div>
    <w:div w:id="65340884">
      <w:bodyDiv w:val="1"/>
      <w:marLeft w:val="0"/>
      <w:marRight w:val="0"/>
      <w:marTop w:val="0"/>
      <w:marBottom w:val="0"/>
      <w:divBdr>
        <w:top w:val="none" w:sz="0" w:space="0" w:color="auto"/>
        <w:left w:val="none" w:sz="0" w:space="0" w:color="auto"/>
        <w:bottom w:val="none" w:sz="0" w:space="0" w:color="auto"/>
        <w:right w:val="none" w:sz="0" w:space="0" w:color="auto"/>
      </w:divBdr>
    </w:div>
    <w:div w:id="74977769">
      <w:bodyDiv w:val="1"/>
      <w:marLeft w:val="0"/>
      <w:marRight w:val="0"/>
      <w:marTop w:val="0"/>
      <w:marBottom w:val="0"/>
      <w:divBdr>
        <w:top w:val="none" w:sz="0" w:space="0" w:color="auto"/>
        <w:left w:val="none" w:sz="0" w:space="0" w:color="auto"/>
        <w:bottom w:val="none" w:sz="0" w:space="0" w:color="auto"/>
        <w:right w:val="none" w:sz="0" w:space="0" w:color="auto"/>
      </w:divBdr>
    </w:div>
    <w:div w:id="113259698">
      <w:bodyDiv w:val="1"/>
      <w:marLeft w:val="0"/>
      <w:marRight w:val="0"/>
      <w:marTop w:val="0"/>
      <w:marBottom w:val="0"/>
      <w:divBdr>
        <w:top w:val="none" w:sz="0" w:space="0" w:color="auto"/>
        <w:left w:val="none" w:sz="0" w:space="0" w:color="auto"/>
        <w:bottom w:val="none" w:sz="0" w:space="0" w:color="auto"/>
        <w:right w:val="none" w:sz="0" w:space="0" w:color="auto"/>
      </w:divBdr>
    </w:div>
    <w:div w:id="130482535">
      <w:bodyDiv w:val="1"/>
      <w:marLeft w:val="0"/>
      <w:marRight w:val="0"/>
      <w:marTop w:val="0"/>
      <w:marBottom w:val="0"/>
      <w:divBdr>
        <w:top w:val="none" w:sz="0" w:space="0" w:color="auto"/>
        <w:left w:val="none" w:sz="0" w:space="0" w:color="auto"/>
        <w:bottom w:val="none" w:sz="0" w:space="0" w:color="auto"/>
        <w:right w:val="none" w:sz="0" w:space="0" w:color="auto"/>
      </w:divBdr>
    </w:div>
    <w:div w:id="149366017">
      <w:bodyDiv w:val="1"/>
      <w:marLeft w:val="0"/>
      <w:marRight w:val="0"/>
      <w:marTop w:val="0"/>
      <w:marBottom w:val="0"/>
      <w:divBdr>
        <w:top w:val="none" w:sz="0" w:space="0" w:color="auto"/>
        <w:left w:val="none" w:sz="0" w:space="0" w:color="auto"/>
        <w:bottom w:val="none" w:sz="0" w:space="0" w:color="auto"/>
        <w:right w:val="none" w:sz="0" w:space="0" w:color="auto"/>
      </w:divBdr>
    </w:div>
    <w:div w:id="158624019">
      <w:bodyDiv w:val="1"/>
      <w:marLeft w:val="0"/>
      <w:marRight w:val="0"/>
      <w:marTop w:val="0"/>
      <w:marBottom w:val="0"/>
      <w:divBdr>
        <w:top w:val="none" w:sz="0" w:space="0" w:color="auto"/>
        <w:left w:val="none" w:sz="0" w:space="0" w:color="auto"/>
        <w:bottom w:val="none" w:sz="0" w:space="0" w:color="auto"/>
        <w:right w:val="none" w:sz="0" w:space="0" w:color="auto"/>
      </w:divBdr>
    </w:div>
    <w:div w:id="165705363">
      <w:bodyDiv w:val="1"/>
      <w:marLeft w:val="0"/>
      <w:marRight w:val="0"/>
      <w:marTop w:val="0"/>
      <w:marBottom w:val="0"/>
      <w:divBdr>
        <w:top w:val="none" w:sz="0" w:space="0" w:color="auto"/>
        <w:left w:val="none" w:sz="0" w:space="0" w:color="auto"/>
        <w:bottom w:val="none" w:sz="0" w:space="0" w:color="auto"/>
        <w:right w:val="none" w:sz="0" w:space="0" w:color="auto"/>
      </w:divBdr>
    </w:div>
    <w:div w:id="184171787">
      <w:bodyDiv w:val="1"/>
      <w:marLeft w:val="0"/>
      <w:marRight w:val="0"/>
      <w:marTop w:val="0"/>
      <w:marBottom w:val="0"/>
      <w:divBdr>
        <w:top w:val="none" w:sz="0" w:space="0" w:color="auto"/>
        <w:left w:val="none" w:sz="0" w:space="0" w:color="auto"/>
        <w:bottom w:val="none" w:sz="0" w:space="0" w:color="auto"/>
        <w:right w:val="none" w:sz="0" w:space="0" w:color="auto"/>
      </w:divBdr>
    </w:div>
    <w:div w:id="254242408">
      <w:bodyDiv w:val="1"/>
      <w:marLeft w:val="0"/>
      <w:marRight w:val="0"/>
      <w:marTop w:val="0"/>
      <w:marBottom w:val="0"/>
      <w:divBdr>
        <w:top w:val="none" w:sz="0" w:space="0" w:color="auto"/>
        <w:left w:val="none" w:sz="0" w:space="0" w:color="auto"/>
        <w:bottom w:val="none" w:sz="0" w:space="0" w:color="auto"/>
        <w:right w:val="none" w:sz="0" w:space="0" w:color="auto"/>
      </w:divBdr>
    </w:div>
    <w:div w:id="261837372">
      <w:bodyDiv w:val="1"/>
      <w:marLeft w:val="0"/>
      <w:marRight w:val="0"/>
      <w:marTop w:val="0"/>
      <w:marBottom w:val="0"/>
      <w:divBdr>
        <w:top w:val="none" w:sz="0" w:space="0" w:color="auto"/>
        <w:left w:val="none" w:sz="0" w:space="0" w:color="auto"/>
        <w:bottom w:val="none" w:sz="0" w:space="0" w:color="auto"/>
        <w:right w:val="none" w:sz="0" w:space="0" w:color="auto"/>
      </w:divBdr>
    </w:div>
    <w:div w:id="280381888">
      <w:bodyDiv w:val="1"/>
      <w:marLeft w:val="0"/>
      <w:marRight w:val="0"/>
      <w:marTop w:val="0"/>
      <w:marBottom w:val="0"/>
      <w:divBdr>
        <w:top w:val="none" w:sz="0" w:space="0" w:color="auto"/>
        <w:left w:val="none" w:sz="0" w:space="0" w:color="auto"/>
        <w:bottom w:val="none" w:sz="0" w:space="0" w:color="auto"/>
        <w:right w:val="none" w:sz="0" w:space="0" w:color="auto"/>
      </w:divBdr>
    </w:div>
    <w:div w:id="311376273">
      <w:bodyDiv w:val="1"/>
      <w:marLeft w:val="0"/>
      <w:marRight w:val="0"/>
      <w:marTop w:val="0"/>
      <w:marBottom w:val="0"/>
      <w:divBdr>
        <w:top w:val="none" w:sz="0" w:space="0" w:color="auto"/>
        <w:left w:val="none" w:sz="0" w:space="0" w:color="auto"/>
        <w:bottom w:val="none" w:sz="0" w:space="0" w:color="auto"/>
        <w:right w:val="none" w:sz="0" w:space="0" w:color="auto"/>
      </w:divBdr>
    </w:div>
    <w:div w:id="357123347">
      <w:bodyDiv w:val="1"/>
      <w:marLeft w:val="0"/>
      <w:marRight w:val="0"/>
      <w:marTop w:val="0"/>
      <w:marBottom w:val="0"/>
      <w:divBdr>
        <w:top w:val="none" w:sz="0" w:space="0" w:color="auto"/>
        <w:left w:val="none" w:sz="0" w:space="0" w:color="auto"/>
        <w:bottom w:val="none" w:sz="0" w:space="0" w:color="auto"/>
        <w:right w:val="none" w:sz="0" w:space="0" w:color="auto"/>
      </w:divBdr>
    </w:div>
    <w:div w:id="363140151">
      <w:bodyDiv w:val="1"/>
      <w:marLeft w:val="0"/>
      <w:marRight w:val="0"/>
      <w:marTop w:val="0"/>
      <w:marBottom w:val="0"/>
      <w:divBdr>
        <w:top w:val="none" w:sz="0" w:space="0" w:color="auto"/>
        <w:left w:val="none" w:sz="0" w:space="0" w:color="auto"/>
        <w:bottom w:val="none" w:sz="0" w:space="0" w:color="auto"/>
        <w:right w:val="none" w:sz="0" w:space="0" w:color="auto"/>
      </w:divBdr>
    </w:div>
    <w:div w:id="388848720">
      <w:bodyDiv w:val="1"/>
      <w:marLeft w:val="0"/>
      <w:marRight w:val="0"/>
      <w:marTop w:val="0"/>
      <w:marBottom w:val="0"/>
      <w:divBdr>
        <w:top w:val="none" w:sz="0" w:space="0" w:color="auto"/>
        <w:left w:val="none" w:sz="0" w:space="0" w:color="auto"/>
        <w:bottom w:val="none" w:sz="0" w:space="0" w:color="auto"/>
        <w:right w:val="none" w:sz="0" w:space="0" w:color="auto"/>
      </w:divBdr>
    </w:div>
    <w:div w:id="434329961">
      <w:bodyDiv w:val="1"/>
      <w:marLeft w:val="0"/>
      <w:marRight w:val="0"/>
      <w:marTop w:val="0"/>
      <w:marBottom w:val="0"/>
      <w:divBdr>
        <w:top w:val="none" w:sz="0" w:space="0" w:color="auto"/>
        <w:left w:val="none" w:sz="0" w:space="0" w:color="auto"/>
        <w:bottom w:val="none" w:sz="0" w:space="0" w:color="auto"/>
        <w:right w:val="none" w:sz="0" w:space="0" w:color="auto"/>
      </w:divBdr>
    </w:div>
    <w:div w:id="438573662">
      <w:bodyDiv w:val="1"/>
      <w:marLeft w:val="0"/>
      <w:marRight w:val="0"/>
      <w:marTop w:val="0"/>
      <w:marBottom w:val="0"/>
      <w:divBdr>
        <w:top w:val="none" w:sz="0" w:space="0" w:color="auto"/>
        <w:left w:val="none" w:sz="0" w:space="0" w:color="auto"/>
        <w:bottom w:val="none" w:sz="0" w:space="0" w:color="auto"/>
        <w:right w:val="none" w:sz="0" w:space="0" w:color="auto"/>
      </w:divBdr>
    </w:div>
    <w:div w:id="445580308">
      <w:bodyDiv w:val="1"/>
      <w:marLeft w:val="0"/>
      <w:marRight w:val="0"/>
      <w:marTop w:val="0"/>
      <w:marBottom w:val="0"/>
      <w:divBdr>
        <w:top w:val="none" w:sz="0" w:space="0" w:color="auto"/>
        <w:left w:val="none" w:sz="0" w:space="0" w:color="auto"/>
        <w:bottom w:val="none" w:sz="0" w:space="0" w:color="auto"/>
        <w:right w:val="none" w:sz="0" w:space="0" w:color="auto"/>
      </w:divBdr>
    </w:div>
    <w:div w:id="507477144">
      <w:bodyDiv w:val="1"/>
      <w:marLeft w:val="0"/>
      <w:marRight w:val="0"/>
      <w:marTop w:val="0"/>
      <w:marBottom w:val="0"/>
      <w:divBdr>
        <w:top w:val="none" w:sz="0" w:space="0" w:color="auto"/>
        <w:left w:val="none" w:sz="0" w:space="0" w:color="auto"/>
        <w:bottom w:val="none" w:sz="0" w:space="0" w:color="auto"/>
        <w:right w:val="none" w:sz="0" w:space="0" w:color="auto"/>
      </w:divBdr>
    </w:div>
    <w:div w:id="565074115">
      <w:bodyDiv w:val="1"/>
      <w:marLeft w:val="0"/>
      <w:marRight w:val="0"/>
      <w:marTop w:val="0"/>
      <w:marBottom w:val="0"/>
      <w:divBdr>
        <w:top w:val="none" w:sz="0" w:space="0" w:color="auto"/>
        <w:left w:val="none" w:sz="0" w:space="0" w:color="auto"/>
        <w:bottom w:val="none" w:sz="0" w:space="0" w:color="auto"/>
        <w:right w:val="none" w:sz="0" w:space="0" w:color="auto"/>
      </w:divBdr>
    </w:div>
    <w:div w:id="568150700">
      <w:bodyDiv w:val="1"/>
      <w:marLeft w:val="0"/>
      <w:marRight w:val="0"/>
      <w:marTop w:val="0"/>
      <w:marBottom w:val="0"/>
      <w:divBdr>
        <w:top w:val="none" w:sz="0" w:space="0" w:color="auto"/>
        <w:left w:val="none" w:sz="0" w:space="0" w:color="auto"/>
        <w:bottom w:val="none" w:sz="0" w:space="0" w:color="auto"/>
        <w:right w:val="none" w:sz="0" w:space="0" w:color="auto"/>
      </w:divBdr>
    </w:div>
    <w:div w:id="579951278">
      <w:bodyDiv w:val="1"/>
      <w:marLeft w:val="0"/>
      <w:marRight w:val="0"/>
      <w:marTop w:val="0"/>
      <w:marBottom w:val="0"/>
      <w:divBdr>
        <w:top w:val="none" w:sz="0" w:space="0" w:color="auto"/>
        <w:left w:val="none" w:sz="0" w:space="0" w:color="auto"/>
        <w:bottom w:val="none" w:sz="0" w:space="0" w:color="auto"/>
        <w:right w:val="none" w:sz="0" w:space="0" w:color="auto"/>
      </w:divBdr>
    </w:div>
    <w:div w:id="610093070">
      <w:bodyDiv w:val="1"/>
      <w:marLeft w:val="0"/>
      <w:marRight w:val="0"/>
      <w:marTop w:val="0"/>
      <w:marBottom w:val="0"/>
      <w:divBdr>
        <w:top w:val="none" w:sz="0" w:space="0" w:color="auto"/>
        <w:left w:val="none" w:sz="0" w:space="0" w:color="auto"/>
        <w:bottom w:val="none" w:sz="0" w:space="0" w:color="auto"/>
        <w:right w:val="none" w:sz="0" w:space="0" w:color="auto"/>
      </w:divBdr>
    </w:div>
    <w:div w:id="625239907">
      <w:bodyDiv w:val="1"/>
      <w:marLeft w:val="0"/>
      <w:marRight w:val="0"/>
      <w:marTop w:val="0"/>
      <w:marBottom w:val="0"/>
      <w:divBdr>
        <w:top w:val="none" w:sz="0" w:space="0" w:color="auto"/>
        <w:left w:val="none" w:sz="0" w:space="0" w:color="auto"/>
        <w:bottom w:val="none" w:sz="0" w:space="0" w:color="auto"/>
        <w:right w:val="none" w:sz="0" w:space="0" w:color="auto"/>
      </w:divBdr>
    </w:div>
    <w:div w:id="663052063">
      <w:bodyDiv w:val="1"/>
      <w:marLeft w:val="0"/>
      <w:marRight w:val="0"/>
      <w:marTop w:val="0"/>
      <w:marBottom w:val="0"/>
      <w:divBdr>
        <w:top w:val="none" w:sz="0" w:space="0" w:color="auto"/>
        <w:left w:val="none" w:sz="0" w:space="0" w:color="auto"/>
        <w:bottom w:val="none" w:sz="0" w:space="0" w:color="auto"/>
        <w:right w:val="none" w:sz="0" w:space="0" w:color="auto"/>
      </w:divBdr>
    </w:div>
    <w:div w:id="702563023">
      <w:bodyDiv w:val="1"/>
      <w:marLeft w:val="0"/>
      <w:marRight w:val="0"/>
      <w:marTop w:val="0"/>
      <w:marBottom w:val="0"/>
      <w:divBdr>
        <w:top w:val="none" w:sz="0" w:space="0" w:color="auto"/>
        <w:left w:val="none" w:sz="0" w:space="0" w:color="auto"/>
        <w:bottom w:val="none" w:sz="0" w:space="0" w:color="auto"/>
        <w:right w:val="none" w:sz="0" w:space="0" w:color="auto"/>
      </w:divBdr>
    </w:div>
    <w:div w:id="714739043">
      <w:bodyDiv w:val="1"/>
      <w:marLeft w:val="0"/>
      <w:marRight w:val="0"/>
      <w:marTop w:val="0"/>
      <w:marBottom w:val="0"/>
      <w:divBdr>
        <w:top w:val="none" w:sz="0" w:space="0" w:color="auto"/>
        <w:left w:val="none" w:sz="0" w:space="0" w:color="auto"/>
        <w:bottom w:val="none" w:sz="0" w:space="0" w:color="auto"/>
        <w:right w:val="none" w:sz="0" w:space="0" w:color="auto"/>
      </w:divBdr>
    </w:div>
    <w:div w:id="731738091">
      <w:bodyDiv w:val="1"/>
      <w:marLeft w:val="0"/>
      <w:marRight w:val="0"/>
      <w:marTop w:val="0"/>
      <w:marBottom w:val="0"/>
      <w:divBdr>
        <w:top w:val="none" w:sz="0" w:space="0" w:color="auto"/>
        <w:left w:val="none" w:sz="0" w:space="0" w:color="auto"/>
        <w:bottom w:val="none" w:sz="0" w:space="0" w:color="auto"/>
        <w:right w:val="none" w:sz="0" w:space="0" w:color="auto"/>
      </w:divBdr>
    </w:div>
    <w:div w:id="769469783">
      <w:bodyDiv w:val="1"/>
      <w:marLeft w:val="0"/>
      <w:marRight w:val="0"/>
      <w:marTop w:val="0"/>
      <w:marBottom w:val="0"/>
      <w:divBdr>
        <w:top w:val="none" w:sz="0" w:space="0" w:color="auto"/>
        <w:left w:val="none" w:sz="0" w:space="0" w:color="auto"/>
        <w:bottom w:val="none" w:sz="0" w:space="0" w:color="auto"/>
        <w:right w:val="none" w:sz="0" w:space="0" w:color="auto"/>
      </w:divBdr>
    </w:div>
    <w:div w:id="785077238">
      <w:bodyDiv w:val="1"/>
      <w:marLeft w:val="0"/>
      <w:marRight w:val="0"/>
      <w:marTop w:val="0"/>
      <w:marBottom w:val="0"/>
      <w:divBdr>
        <w:top w:val="none" w:sz="0" w:space="0" w:color="auto"/>
        <w:left w:val="none" w:sz="0" w:space="0" w:color="auto"/>
        <w:bottom w:val="none" w:sz="0" w:space="0" w:color="auto"/>
        <w:right w:val="none" w:sz="0" w:space="0" w:color="auto"/>
      </w:divBdr>
    </w:div>
    <w:div w:id="789779815">
      <w:bodyDiv w:val="1"/>
      <w:marLeft w:val="0"/>
      <w:marRight w:val="0"/>
      <w:marTop w:val="0"/>
      <w:marBottom w:val="0"/>
      <w:divBdr>
        <w:top w:val="none" w:sz="0" w:space="0" w:color="auto"/>
        <w:left w:val="none" w:sz="0" w:space="0" w:color="auto"/>
        <w:bottom w:val="none" w:sz="0" w:space="0" w:color="auto"/>
        <w:right w:val="none" w:sz="0" w:space="0" w:color="auto"/>
      </w:divBdr>
    </w:div>
    <w:div w:id="810902848">
      <w:bodyDiv w:val="1"/>
      <w:marLeft w:val="0"/>
      <w:marRight w:val="0"/>
      <w:marTop w:val="0"/>
      <w:marBottom w:val="0"/>
      <w:divBdr>
        <w:top w:val="none" w:sz="0" w:space="0" w:color="auto"/>
        <w:left w:val="none" w:sz="0" w:space="0" w:color="auto"/>
        <w:bottom w:val="none" w:sz="0" w:space="0" w:color="auto"/>
        <w:right w:val="none" w:sz="0" w:space="0" w:color="auto"/>
      </w:divBdr>
      <w:divsChild>
        <w:div w:id="1992785013">
          <w:marLeft w:val="0"/>
          <w:marRight w:val="0"/>
          <w:marTop w:val="0"/>
          <w:marBottom w:val="0"/>
          <w:divBdr>
            <w:top w:val="none" w:sz="0" w:space="0" w:color="auto"/>
            <w:left w:val="none" w:sz="0" w:space="0" w:color="auto"/>
            <w:bottom w:val="none" w:sz="0" w:space="0" w:color="auto"/>
            <w:right w:val="none" w:sz="0" w:space="0" w:color="auto"/>
          </w:divBdr>
          <w:divsChild>
            <w:div w:id="1980063036">
              <w:marLeft w:val="0"/>
              <w:marRight w:val="0"/>
              <w:marTop w:val="0"/>
              <w:marBottom w:val="0"/>
              <w:divBdr>
                <w:top w:val="none" w:sz="0" w:space="0" w:color="auto"/>
                <w:left w:val="none" w:sz="0" w:space="0" w:color="auto"/>
                <w:bottom w:val="none" w:sz="0" w:space="0" w:color="auto"/>
                <w:right w:val="none" w:sz="0" w:space="0" w:color="auto"/>
              </w:divBdr>
              <w:divsChild>
                <w:div w:id="804932009">
                  <w:marLeft w:val="0"/>
                  <w:marRight w:val="0"/>
                  <w:marTop w:val="0"/>
                  <w:marBottom w:val="0"/>
                  <w:divBdr>
                    <w:top w:val="single" w:sz="2" w:space="0" w:color="auto"/>
                    <w:left w:val="single" w:sz="2" w:space="0" w:color="auto"/>
                    <w:bottom w:val="single" w:sz="2" w:space="0" w:color="auto"/>
                    <w:right w:val="single" w:sz="2" w:space="0" w:color="auto"/>
                  </w:divBdr>
                  <w:divsChild>
                    <w:div w:id="1240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999511">
      <w:bodyDiv w:val="1"/>
      <w:marLeft w:val="0"/>
      <w:marRight w:val="0"/>
      <w:marTop w:val="0"/>
      <w:marBottom w:val="0"/>
      <w:divBdr>
        <w:top w:val="none" w:sz="0" w:space="0" w:color="auto"/>
        <w:left w:val="none" w:sz="0" w:space="0" w:color="auto"/>
        <w:bottom w:val="none" w:sz="0" w:space="0" w:color="auto"/>
        <w:right w:val="none" w:sz="0" w:space="0" w:color="auto"/>
      </w:divBdr>
    </w:div>
    <w:div w:id="842823493">
      <w:bodyDiv w:val="1"/>
      <w:marLeft w:val="0"/>
      <w:marRight w:val="0"/>
      <w:marTop w:val="0"/>
      <w:marBottom w:val="0"/>
      <w:divBdr>
        <w:top w:val="none" w:sz="0" w:space="0" w:color="auto"/>
        <w:left w:val="none" w:sz="0" w:space="0" w:color="auto"/>
        <w:bottom w:val="none" w:sz="0" w:space="0" w:color="auto"/>
        <w:right w:val="none" w:sz="0" w:space="0" w:color="auto"/>
      </w:divBdr>
    </w:div>
    <w:div w:id="868377090">
      <w:bodyDiv w:val="1"/>
      <w:marLeft w:val="0"/>
      <w:marRight w:val="0"/>
      <w:marTop w:val="0"/>
      <w:marBottom w:val="0"/>
      <w:divBdr>
        <w:top w:val="none" w:sz="0" w:space="0" w:color="auto"/>
        <w:left w:val="none" w:sz="0" w:space="0" w:color="auto"/>
        <w:bottom w:val="none" w:sz="0" w:space="0" w:color="auto"/>
        <w:right w:val="none" w:sz="0" w:space="0" w:color="auto"/>
      </w:divBdr>
    </w:div>
    <w:div w:id="883634334">
      <w:bodyDiv w:val="1"/>
      <w:marLeft w:val="0"/>
      <w:marRight w:val="0"/>
      <w:marTop w:val="0"/>
      <w:marBottom w:val="0"/>
      <w:divBdr>
        <w:top w:val="none" w:sz="0" w:space="0" w:color="auto"/>
        <w:left w:val="none" w:sz="0" w:space="0" w:color="auto"/>
        <w:bottom w:val="none" w:sz="0" w:space="0" w:color="auto"/>
        <w:right w:val="none" w:sz="0" w:space="0" w:color="auto"/>
      </w:divBdr>
    </w:div>
    <w:div w:id="905453812">
      <w:bodyDiv w:val="1"/>
      <w:marLeft w:val="0"/>
      <w:marRight w:val="0"/>
      <w:marTop w:val="0"/>
      <w:marBottom w:val="0"/>
      <w:divBdr>
        <w:top w:val="none" w:sz="0" w:space="0" w:color="auto"/>
        <w:left w:val="none" w:sz="0" w:space="0" w:color="auto"/>
        <w:bottom w:val="none" w:sz="0" w:space="0" w:color="auto"/>
        <w:right w:val="none" w:sz="0" w:space="0" w:color="auto"/>
      </w:divBdr>
    </w:div>
    <w:div w:id="905839975">
      <w:bodyDiv w:val="1"/>
      <w:marLeft w:val="0"/>
      <w:marRight w:val="0"/>
      <w:marTop w:val="0"/>
      <w:marBottom w:val="0"/>
      <w:divBdr>
        <w:top w:val="none" w:sz="0" w:space="0" w:color="auto"/>
        <w:left w:val="none" w:sz="0" w:space="0" w:color="auto"/>
        <w:bottom w:val="none" w:sz="0" w:space="0" w:color="auto"/>
        <w:right w:val="none" w:sz="0" w:space="0" w:color="auto"/>
      </w:divBdr>
    </w:div>
    <w:div w:id="908736422">
      <w:bodyDiv w:val="1"/>
      <w:marLeft w:val="0"/>
      <w:marRight w:val="0"/>
      <w:marTop w:val="0"/>
      <w:marBottom w:val="0"/>
      <w:divBdr>
        <w:top w:val="none" w:sz="0" w:space="0" w:color="auto"/>
        <w:left w:val="none" w:sz="0" w:space="0" w:color="auto"/>
        <w:bottom w:val="none" w:sz="0" w:space="0" w:color="auto"/>
        <w:right w:val="none" w:sz="0" w:space="0" w:color="auto"/>
      </w:divBdr>
    </w:div>
    <w:div w:id="914053410">
      <w:bodyDiv w:val="1"/>
      <w:marLeft w:val="0"/>
      <w:marRight w:val="0"/>
      <w:marTop w:val="0"/>
      <w:marBottom w:val="0"/>
      <w:divBdr>
        <w:top w:val="none" w:sz="0" w:space="0" w:color="auto"/>
        <w:left w:val="none" w:sz="0" w:space="0" w:color="auto"/>
        <w:bottom w:val="none" w:sz="0" w:space="0" w:color="auto"/>
        <w:right w:val="none" w:sz="0" w:space="0" w:color="auto"/>
      </w:divBdr>
    </w:div>
    <w:div w:id="941691772">
      <w:bodyDiv w:val="1"/>
      <w:marLeft w:val="0"/>
      <w:marRight w:val="0"/>
      <w:marTop w:val="0"/>
      <w:marBottom w:val="0"/>
      <w:divBdr>
        <w:top w:val="none" w:sz="0" w:space="0" w:color="auto"/>
        <w:left w:val="none" w:sz="0" w:space="0" w:color="auto"/>
        <w:bottom w:val="none" w:sz="0" w:space="0" w:color="auto"/>
        <w:right w:val="none" w:sz="0" w:space="0" w:color="auto"/>
      </w:divBdr>
    </w:div>
    <w:div w:id="1042249715">
      <w:bodyDiv w:val="1"/>
      <w:marLeft w:val="0"/>
      <w:marRight w:val="0"/>
      <w:marTop w:val="0"/>
      <w:marBottom w:val="0"/>
      <w:divBdr>
        <w:top w:val="none" w:sz="0" w:space="0" w:color="auto"/>
        <w:left w:val="none" w:sz="0" w:space="0" w:color="auto"/>
        <w:bottom w:val="none" w:sz="0" w:space="0" w:color="auto"/>
        <w:right w:val="none" w:sz="0" w:space="0" w:color="auto"/>
      </w:divBdr>
    </w:div>
    <w:div w:id="1080718826">
      <w:bodyDiv w:val="1"/>
      <w:marLeft w:val="0"/>
      <w:marRight w:val="0"/>
      <w:marTop w:val="0"/>
      <w:marBottom w:val="0"/>
      <w:divBdr>
        <w:top w:val="none" w:sz="0" w:space="0" w:color="auto"/>
        <w:left w:val="none" w:sz="0" w:space="0" w:color="auto"/>
        <w:bottom w:val="none" w:sz="0" w:space="0" w:color="auto"/>
        <w:right w:val="none" w:sz="0" w:space="0" w:color="auto"/>
      </w:divBdr>
    </w:div>
    <w:div w:id="1110394733">
      <w:bodyDiv w:val="1"/>
      <w:marLeft w:val="0"/>
      <w:marRight w:val="0"/>
      <w:marTop w:val="0"/>
      <w:marBottom w:val="0"/>
      <w:divBdr>
        <w:top w:val="none" w:sz="0" w:space="0" w:color="auto"/>
        <w:left w:val="none" w:sz="0" w:space="0" w:color="auto"/>
        <w:bottom w:val="none" w:sz="0" w:space="0" w:color="auto"/>
        <w:right w:val="none" w:sz="0" w:space="0" w:color="auto"/>
      </w:divBdr>
    </w:div>
    <w:div w:id="1134063722">
      <w:bodyDiv w:val="1"/>
      <w:marLeft w:val="0"/>
      <w:marRight w:val="0"/>
      <w:marTop w:val="0"/>
      <w:marBottom w:val="0"/>
      <w:divBdr>
        <w:top w:val="none" w:sz="0" w:space="0" w:color="auto"/>
        <w:left w:val="none" w:sz="0" w:space="0" w:color="auto"/>
        <w:bottom w:val="none" w:sz="0" w:space="0" w:color="auto"/>
        <w:right w:val="none" w:sz="0" w:space="0" w:color="auto"/>
      </w:divBdr>
    </w:div>
    <w:div w:id="1141922632">
      <w:bodyDiv w:val="1"/>
      <w:marLeft w:val="0"/>
      <w:marRight w:val="0"/>
      <w:marTop w:val="0"/>
      <w:marBottom w:val="0"/>
      <w:divBdr>
        <w:top w:val="none" w:sz="0" w:space="0" w:color="auto"/>
        <w:left w:val="none" w:sz="0" w:space="0" w:color="auto"/>
        <w:bottom w:val="none" w:sz="0" w:space="0" w:color="auto"/>
        <w:right w:val="none" w:sz="0" w:space="0" w:color="auto"/>
      </w:divBdr>
    </w:div>
    <w:div w:id="1154681555">
      <w:bodyDiv w:val="1"/>
      <w:marLeft w:val="0"/>
      <w:marRight w:val="0"/>
      <w:marTop w:val="0"/>
      <w:marBottom w:val="0"/>
      <w:divBdr>
        <w:top w:val="none" w:sz="0" w:space="0" w:color="auto"/>
        <w:left w:val="none" w:sz="0" w:space="0" w:color="auto"/>
        <w:bottom w:val="none" w:sz="0" w:space="0" w:color="auto"/>
        <w:right w:val="none" w:sz="0" w:space="0" w:color="auto"/>
      </w:divBdr>
    </w:div>
    <w:div w:id="1158762072">
      <w:bodyDiv w:val="1"/>
      <w:marLeft w:val="0"/>
      <w:marRight w:val="0"/>
      <w:marTop w:val="0"/>
      <w:marBottom w:val="0"/>
      <w:divBdr>
        <w:top w:val="none" w:sz="0" w:space="0" w:color="auto"/>
        <w:left w:val="none" w:sz="0" w:space="0" w:color="auto"/>
        <w:bottom w:val="none" w:sz="0" w:space="0" w:color="auto"/>
        <w:right w:val="none" w:sz="0" w:space="0" w:color="auto"/>
      </w:divBdr>
    </w:div>
    <w:div w:id="1161311802">
      <w:bodyDiv w:val="1"/>
      <w:marLeft w:val="0"/>
      <w:marRight w:val="0"/>
      <w:marTop w:val="0"/>
      <w:marBottom w:val="0"/>
      <w:divBdr>
        <w:top w:val="none" w:sz="0" w:space="0" w:color="auto"/>
        <w:left w:val="none" w:sz="0" w:space="0" w:color="auto"/>
        <w:bottom w:val="none" w:sz="0" w:space="0" w:color="auto"/>
        <w:right w:val="none" w:sz="0" w:space="0" w:color="auto"/>
      </w:divBdr>
    </w:div>
    <w:div w:id="1170833323">
      <w:bodyDiv w:val="1"/>
      <w:marLeft w:val="0"/>
      <w:marRight w:val="0"/>
      <w:marTop w:val="0"/>
      <w:marBottom w:val="0"/>
      <w:divBdr>
        <w:top w:val="none" w:sz="0" w:space="0" w:color="auto"/>
        <w:left w:val="none" w:sz="0" w:space="0" w:color="auto"/>
        <w:bottom w:val="none" w:sz="0" w:space="0" w:color="auto"/>
        <w:right w:val="none" w:sz="0" w:space="0" w:color="auto"/>
      </w:divBdr>
    </w:div>
    <w:div w:id="1173569871">
      <w:bodyDiv w:val="1"/>
      <w:marLeft w:val="0"/>
      <w:marRight w:val="0"/>
      <w:marTop w:val="0"/>
      <w:marBottom w:val="0"/>
      <w:divBdr>
        <w:top w:val="none" w:sz="0" w:space="0" w:color="auto"/>
        <w:left w:val="none" w:sz="0" w:space="0" w:color="auto"/>
        <w:bottom w:val="none" w:sz="0" w:space="0" w:color="auto"/>
        <w:right w:val="none" w:sz="0" w:space="0" w:color="auto"/>
      </w:divBdr>
    </w:div>
    <w:div w:id="1206603198">
      <w:bodyDiv w:val="1"/>
      <w:marLeft w:val="0"/>
      <w:marRight w:val="0"/>
      <w:marTop w:val="0"/>
      <w:marBottom w:val="0"/>
      <w:divBdr>
        <w:top w:val="none" w:sz="0" w:space="0" w:color="auto"/>
        <w:left w:val="none" w:sz="0" w:space="0" w:color="auto"/>
        <w:bottom w:val="none" w:sz="0" w:space="0" w:color="auto"/>
        <w:right w:val="none" w:sz="0" w:space="0" w:color="auto"/>
      </w:divBdr>
    </w:div>
    <w:div w:id="1247224612">
      <w:bodyDiv w:val="1"/>
      <w:marLeft w:val="0"/>
      <w:marRight w:val="0"/>
      <w:marTop w:val="0"/>
      <w:marBottom w:val="0"/>
      <w:divBdr>
        <w:top w:val="none" w:sz="0" w:space="0" w:color="auto"/>
        <w:left w:val="none" w:sz="0" w:space="0" w:color="auto"/>
        <w:bottom w:val="none" w:sz="0" w:space="0" w:color="auto"/>
        <w:right w:val="none" w:sz="0" w:space="0" w:color="auto"/>
      </w:divBdr>
    </w:div>
    <w:div w:id="1344555808">
      <w:bodyDiv w:val="1"/>
      <w:marLeft w:val="0"/>
      <w:marRight w:val="0"/>
      <w:marTop w:val="0"/>
      <w:marBottom w:val="0"/>
      <w:divBdr>
        <w:top w:val="none" w:sz="0" w:space="0" w:color="auto"/>
        <w:left w:val="none" w:sz="0" w:space="0" w:color="auto"/>
        <w:bottom w:val="none" w:sz="0" w:space="0" w:color="auto"/>
        <w:right w:val="none" w:sz="0" w:space="0" w:color="auto"/>
      </w:divBdr>
    </w:div>
    <w:div w:id="1364400701">
      <w:bodyDiv w:val="1"/>
      <w:marLeft w:val="0"/>
      <w:marRight w:val="0"/>
      <w:marTop w:val="0"/>
      <w:marBottom w:val="0"/>
      <w:divBdr>
        <w:top w:val="none" w:sz="0" w:space="0" w:color="auto"/>
        <w:left w:val="none" w:sz="0" w:space="0" w:color="auto"/>
        <w:bottom w:val="none" w:sz="0" w:space="0" w:color="auto"/>
        <w:right w:val="none" w:sz="0" w:space="0" w:color="auto"/>
      </w:divBdr>
    </w:div>
    <w:div w:id="1374236817">
      <w:bodyDiv w:val="1"/>
      <w:marLeft w:val="0"/>
      <w:marRight w:val="0"/>
      <w:marTop w:val="0"/>
      <w:marBottom w:val="0"/>
      <w:divBdr>
        <w:top w:val="none" w:sz="0" w:space="0" w:color="auto"/>
        <w:left w:val="none" w:sz="0" w:space="0" w:color="auto"/>
        <w:bottom w:val="none" w:sz="0" w:space="0" w:color="auto"/>
        <w:right w:val="none" w:sz="0" w:space="0" w:color="auto"/>
      </w:divBdr>
      <w:divsChild>
        <w:div w:id="1591936369">
          <w:marLeft w:val="0"/>
          <w:marRight w:val="0"/>
          <w:marTop w:val="0"/>
          <w:marBottom w:val="0"/>
          <w:divBdr>
            <w:top w:val="none" w:sz="0" w:space="0" w:color="auto"/>
            <w:left w:val="none" w:sz="0" w:space="0" w:color="auto"/>
            <w:bottom w:val="none" w:sz="0" w:space="0" w:color="auto"/>
            <w:right w:val="none" w:sz="0" w:space="0" w:color="auto"/>
          </w:divBdr>
          <w:divsChild>
            <w:div w:id="348606372">
              <w:marLeft w:val="0"/>
              <w:marRight w:val="0"/>
              <w:marTop w:val="0"/>
              <w:marBottom w:val="0"/>
              <w:divBdr>
                <w:top w:val="none" w:sz="0" w:space="0" w:color="auto"/>
                <w:left w:val="none" w:sz="0" w:space="0" w:color="auto"/>
                <w:bottom w:val="none" w:sz="0" w:space="0" w:color="auto"/>
                <w:right w:val="none" w:sz="0" w:space="0" w:color="auto"/>
              </w:divBdr>
              <w:divsChild>
                <w:div w:id="101001890">
                  <w:marLeft w:val="0"/>
                  <w:marRight w:val="0"/>
                  <w:marTop w:val="0"/>
                  <w:marBottom w:val="0"/>
                  <w:divBdr>
                    <w:top w:val="single" w:sz="2" w:space="0" w:color="auto"/>
                    <w:left w:val="single" w:sz="2" w:space="0" w:color="auto"/>
                    <w:bottom w:val="single" w:sz="2" w:space="0" w:color="auto"/>
                    <w:right w:val="single" w:sz="2" w:space="0" w:color="auto"/>
                  </w:divBdr>
                  <w:divsChild>
                    <w:div w:id="131093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018552">
      <w:bodyDiv w:val="1"/>
      <w:marLeft w:val="0"/>
      <w:marRight w:val="0"/>
      <w:marTop w:val="0"/>
      <w:marBottom w:val="0"/>
      <w:divBdr>
        <w:top w:val="none" w:sz="0" w:space="0" w:color="auto"/>
        <w:left w:val="none" w:sz="0" w:space="0" w:color="auto"/>
        <w:bottom w:val="none" w:sz="0" w:space="0" w:color="auto"/>
        <w:right w:val="none" w:sz="0" w:space="0" w:color="auto"/>
      </w:divBdr>
    </w:div>
    <w:div w:id="1421869894">
      <w:bodyDiv w:val="1"/>
      <w:marLeft w:val="0"/>
      <w:marRight w:val="0"/>
      <w:marTop w:val="0"/>
      <w:marBottom w:val="0"/>
      <w:divBdr>
        <w:top w:val="none" w:sz="0" w:space="0" w:color="auto"/>
        <w:left w:val="none" w:sz="0" w:space="0" w:color="auto"/>
        <w:bottom w:val="none" w:sz="0" w:space="0" w:color="auto"/>
        <w:right w:val="none" w:sz="0" w:space="0" w:color="auto"/>
      </w:divBdr>
    </w:div>
    <w:div w:id="1492717419">
      <w:bodyDiv w:val="1"/>
      <w:marLeft w:val="0"/>
      <w:marRight w:val="0"/>
      <w:marTop w:val="0"/>
      <w:marBottom w:val="0"/>
      <w:divBdr>
        <w:top w:val="none" w:sz="0" w:space="0" w:color="auto"/>
        <w:left w:val="none" w:sz="0" w:space="0" w:color="auto"/>
        <w:bottom w:val="none" w:sz="0" w:space="0" w:color="auto"/>
        <w:right w:val="none" w:sz="0" w:space="0" w:color="auto"/>
      </w:divBdr>
    </w:div>
    <w:div w:id="1497501914">
      <w:bodyDiv w:val="1"/>
      <w:marLeft w:val="0"/>
      <w:marRight w:val="0"/>
      <w:marTop w:val="0"/>
      <w:marBottom w:val="0"/>
      <w:divBdr>
        <w:top w:val="none" w:sz="0" w:space="0" w:color="auto"/>
        <w:left w:val="none" w:sz="0" w:space="0" w:color="auto"/>
        <w:bottom w:val="none" w:sz="0" w:space="0" w:color="auto"/>
        <w:right w:val="none" w:sz="0" w:space="0" w:color="auto"/>
      </w:divBdr>
    </w:div>
    <w:div w:id="1527714016">
      <w:bodyDiv w:val="1"/>
      <w:marLeft w:val="0"/>
      <w:marRight w:val="0"/>
      <w:marTop w:val="0"/>
      <w:marBottom w:val="0"/>
      <w:divBdr>
        <w:top w:val="none" w:sz="0" w:space="0" w:color="auto"/>
        <w:left w:val="none" w:sz="0" w:space="0" w:color="auto"/>
        <w:bottom w:val="none" w:sz="0" w:space="0" w:color="auto"/>
        <w:right w:val="none" w:sz="0" w:space="0" w:color="auto"/>
      </w:divBdr>
    </w:div>
    <w:div w:id="1551577199">
      <w:bodyDiv w:val="1"/>
      <w:marLeft w:val="0"/>
      <w:marRight w:val="0"/>
      <w:marTop w:val="0"/>
      <w:marBottom w:val="0"/>
      <w:divBdr>
        <w:top w:val="none" w:sz="0" w:space="0" w:color="auto"/>
        <w:left w:val="none" w:sz="0" w:space="0" w:color="auto"/>
        <w:bottom w:val="none" w:sz="0" w:space="0" w:color="auto"/>
        <w:right w:val="none" w:sz="0" w:space="0" w:color="auto"/>
      </w:divBdr>
    </w:div>
    <w:div w:id="1561936613">
      <w:bodyDiv w:val="1"/>
      <w:marLeft w:val="0"/>
      <w:marRight w:val="0"/>
      <w:marTop w:val="0"/>
      <w:marBottom w:val="0"/>
      <w:divBdr>
        <w:top w:val="none" w:sz="0" w:space="0" w:color="auto"/>
        <w:left w:val="none" w:sz="0" w:space="0" w:color="auto"/>
        <w:bottom w:val="none" w:sz="0" w:space="0" w:color="auto"/>
        <w:right w:val="none" w:sz="0" w:space="0" w:color="auto"/>
      </w:divBdr>
    </w:div>
    <w:div w:id="1644235175">
      <w:bodyDiv w:val="1"/>
      <w:marLeft w:val="0"/>
      <w:marRight w:val="0"/>
      <w:marTop w:val="0"/>
      <w:marBottom w:val="0"/>
      <w:divBdr>
        <w:top w:val="none" w:sz="0" w:space="0" w:color="auto"/>
        <w:left w:val="none" w:sz="0" w:space="0" w:color="auto"/>
        <w:bottom w:val="none" w:sz="0" w:space="0" w:color="auto"/>
        <w:right w:val="none" w:sz="0" w:space="0" w:color="auto"/>
      </w:divBdr>
    </w:div>
    <w:div w:id="1675643482">
      <w:bodyDiv w:val="1"/>
      <w:marLeft w:val="0"/>
      <w:marRight w:val="0"/>
      <w:marTop w:val="0"/>
      <w:marBottom w:val="0"/>
      <w:divBdr>
        <w:top w:val="none" w:sz="0" w:space="0" w:color="auto"/>
        <w:left w:val="none" w:sz="0" w:space="0" w:color="auto"/>
        <w:bottom w:val="none" w:sz="0" w:space="0" w:color="auto"/>
        <w:right w:val="none" w:sz="0" w:space="0" w:color="auto"/>
      </w:divBdr>
    </w:div>
    <w:div w:id="1695225271">
      <w:bodyDiv w:val="1"/>
      <w:marLeft w:val="0"/>
      <w:marRight w:val="0"/>
      <w:marTop w:val="0"/>
      <w:marBottom w:val="0"/>
      <w:divBdr>
        <w:top w:val="none" w:sz="0" w:space="0" w:color="auto"/>
        <w:left w:val="none" w:sz="0" w:space="0" w:color="auto"/>
        <w:bottom w:val="none" w:sz="0" w:space="0" w:color="auto"/>
        <w:right w:val="none" w:sz="0" w:space="0" w:color="auto"/>
      </w:divBdr>
    </w:div>
    <w:div w:id="1759908463">
      <w:bodyDiv w:val="1"/>
      <w:marLeft w:val="0"/>
      <w:marRight w:val="0"/>
      <w:marTop w:val="0"/>
      <w:marBottom w:val="0"/>
      <w:divBdr>
        <w:top w:val="none" w:sz="0" w:space="0" w:color="auto"/>
        <w:left w:val="none" w:sz="0" w:space="0" w:color="auto"/>
        <w:bottom w:val="none" w:sz="0" w:space="0" w:color="auto"/>
        <w:right w:val="none" w:sz="0" w:space="0" w:color="auto"/>
      </w:divBdr>
    </w:div>
    <w:div w:id="1764033211">
      <w:bodyDiv w:val="1"/>
      <w:marLeft w:val="0"/>
      <w:marRight w:val="0"/>
      <w:marTop w:val="0"/>
      <w:marBottom w:val="0"/>
      <w:divBdr>
        <w:top w:val="none" w:sz="0" w:space="0" w:color="auto"/>
        <w:left w:val="none" w:sz="0" w:space="0" w:color="auto"/>
        <w:bottom w:val="none" w:sz="0" w:space="0" w:color="auto"/>
        <w:right w:val="none" w:sz="0" w:space="0" w:color="auto"/>
      </w:divBdr>
    </w:div>
    <w:div w:id="1767074178">
      <w:bodyDiv w:val="1"/>
      <w:marLeft w:val="0"/>
      <w:marRight w:val="0"/>
      <w:marTop w:val="0"/>
      <w:marBottom w:val="0"/>
      <w:divBdr>
        <w:top w:val="none" w:sz="0" w:space="0" w:color="auto"/>
        <w:left w:val="none" w:sz="0" w:space="0" w:color="auto"/>
        <w:bottom w:val="none" w:sz="0" w:space="0" w:color="auto"/>
        <w:right w:val="none" w:sz="0" w:space="0" w:color="auto"/>
      </w:divBdr>
    </w:div>
    <w:div w:id="1772125377">
      <w:bodyDiv w:val="1"/>
      <w:marLeft w:val="0"/>
      <w:marRight w:val="0"/>
      <w:marTop w:val="0"/>
      <w:marBottom w:val="0"/>
      <w:divBdr>
        <w:top w:val="none" w:sz="0" w:space="0" w:color="auto"/>
        <w:left w:val="none" w:sz="0" w:space="0" w:color="auto"/>
        <w:bottom w:val="none" w:sz="0" w:space="0" w:color="auto"/>
        <w:right w:val="none" w:sz="0" w:space="0" w:color="auto"/>
      </w:divBdr>
    </w:div>
    <w:div w:id="1779061361">
      <w:bodyDiv w:val="1"/>
      <w:marLeft w:val="0"/>
      <w:marRight w:val="0"/>
      <w:marTop w:val="0"/>
      <w:marBottom w:val="0"/>
      <w:divBdr>
        <w:top w:val="none" w:sz="0" w:space="0" w:color="auto"/>
        <w:left w:val="none" w:sz="0" w:space="0" w:color="auto"/>
        <w:bottom w:val="none" w:sz="0" w:space="0" w:color="auto"/>
        <w:right w:val="none" w:sz="0" w:space="0" w:color="auto"/>
      </w:divBdr>
    </w:div>
    <w:div w:id="1781609860">
      <w:bodyDiv w:val="1"/>
      <w:marLeft w:val="0"/>
      <w:marRight w:val="0"/>
      <w:marTop w:val="0"/>
      <w:marBottom w:val="0"/>
      <w:divBdr>
        <w:top w:val="none" w:sz="0" w:space="0" w:color="auto"/>
        <w:left w:val="none" w:sz="0" w:space="0" w:color="auto"/>
        <w:bottom w:val="none" w:sz="0" w:space="0" w:color="auto"/>
        <w:right w:val="none" w:sz="0" w:space="0" w:color="auto"/>
      </w:divBdr>
    </w:div>
    <w:div w:id="1786002027">
      <w:bodyDiv w:val="1"/>
      <w:marLeft w:val="0"/>
      <w:marRight w:val="0"/>
      <w:marTop w:val="0"/>
      <w:marBottom w:val="0"/>
      <w:divBdr>
        <w:top w:val="none" w:sz="0" w:space="0" w:color="auto"/>
        <w:left w:val="none" w:sz="0" w:space="0" w:color="auto"/>
        <w:bottom w:val="none" w:sz="0" w:space="0" w:color="auto"/>
        <w:right w:val="none" w:sz="0" w:space="0" w:color="auto"/>
      </w:divBdr>
    </w:div>
    <w:div w:id="1802728640">
      <w:bodyDiv w:val="1"/>
      <w:marLeft w:val="0"/>
      <w:marRight w:val="0"/>
      <w:marTop w:val="0"/>
      <w:marBottom w:val="0"/>
      <w:divBdr>
        <w:top w:val="none" w:sz="0" w:space="0" w:color="auto"/>
        <w:left w:val="none" w:sz="0" w:space="0" w:color="auto"/>
        <w:bottom w:val="none" w:sz="0" w:space="0" w:color="auto"/>
        <w:right w:val="none" w:sz="0" w:space="0" w:color="auto"/>
      </w:divBdr>
    </w:div>
    <w:div w:id="1803762981">
      <w:bodyDiv w:val="1"/>
      <w:marLeft w:val="0"/>
      <w:marRight w:val="0"/>
      <w:marTop w:val="0"/>
      <w:marBottom w:val="0"/>
      <w:divBdr>
        <w:top w:val="none" w:sz="0" w:space="0" w:color="auto"/>
        <w:left w:val="none" w:sz="0" w:space="0" w:color="auto"/>
        <w:bottom w:val="none" w:sz="0" w:space="0" w:color="auto"/>
        <w:right w:val="none" w:sz="0" w:space="0" w:color="auto"/>
      </w:divBdr>
    </w:div>
    <w:div w:id="1817532739">
      <w:bodyDiv w:val="1"/>
      <w:marLeft w:val="0"/>
      <w:marRight w:val="0"/>
      <w:marTop w:val="0"/>
      <w:marBottom w:val="0"/>
      <w:divBdr>
        <w:top w:val="none" w:sz="0" w:space="0" w:color="auto"/>
        <w:left w:val="none" w:sz="0" w:space="0" w:color="auto"/>
        <w:bottom w:val="none" w:sz="0" w:space="0" w:color="auto"/>
        <w:right w:val="none" w:sz="0" w:space="0" w:color="auto"/>
      </w:divBdr>
    </w:div>
    <w:div w:id="1850943517">
      <w:bodyDiv w:val="1"/>
      <w:marLeft w:val="0"/>
      <w:marRight w:val="0"/>
      <w:marTop w:val="0"/>
      <w:marBottom w:val="0"/>
      <w:divBdr>
        <w:top w:val="none" w:sz="0" w:space="0" w:color="auto"/>
        <w:left w:val="none" w:sz="0" w:space="0" w:color="auto"/>
        <w:bottom w:val="none" w:sz="0" w:space="0" w:color="auto"/>
        <w:right w:val="none" w:sz="0" w:space="0" w:color="auto"/>
      </w:divBdr>
    </w:div>
    <w:div w:id="1852530367">
      <w:bodyDiv w:val="1"/>
      <w:marLeft w:val="0"/>
      <w:marRight w:val="0"/>
      <w:marTop w:val="0"/>
      <w:marBottom w:val="0"/>
      <w:divBdr>
        <w:top w:val="none" w:sz="0" w:space="0" w:color="auto"/>
        <w:left w:val="none" w:sz="0" w:space="0" w:color="auto"/>
        <w:bottom w:val="none" w:sz="0" w:space="0" w:color="auto"/>
        <w:right w:val="none" w:sz="0" w:space="0" w:color="auto"/>
      </w:divBdr>
    </w:div>
    <w:div w:id="1867675182">
      <w:bodyDiv w:val="1"/>
      <w:marLeft w:val="0"/>
      <w:marRight w:val="0"/>
      <w:marTop w:val="0"/>
      <w:marBottom w:val="0"/>
      <w:divBdr>
        <w:top w:val="none" w:sz="0" w:space="0" w:color="auto"/>
        <w:left w:val="none" w:sz="0" w:space="0" w:color="auto"/>
        <w:bottom w:val="none" w:sz="0" w:space="0" w:color="auto"/>
        <w:right w:val="none" w:sz="0" w:space="0" w:color="auto"/>
      </w:divBdr>
    </w:div>
    <w:div w:id="1867939218">
      <w:bodyDiv w:val="1"/>
      <w:marLeft w:val="0"/>
      <w:marRight w:val="0"/>
      <w:marTop w:val="0"/>
      <w:marBottom w:val="0"/>
      <w:divBdr>
        <w:top w:val="none" w:sz="0" w:space="0" w:color="auto"/>
        <w:left w:val="none" w:sz="0" w:space="0" w:color="auto"/>
        <w:bottom w:val="none" w:sz="0" w:space="0" w:color="auto"/>
        <w:right w:val="none" w:sz="0" w:space="0" w:color="auto"/>
      </w:divBdr>
    </w:div>
    <w:div w:id="1872524720">
      <w:bodyDiv w:val="1"/>
      <w:marLeft w:val="0"/>
      <w:marRight w:val="0"/>
      <w:marTop w:val="0"/>
      <w:marBottom w:val="0"/>
      <w:divBdr>
        <w:top w:val="none" w:sz="0" w:space="0" w:color="auto"/>
        <w:left w:val="none" w:sz="0" w:space="0" w:color="auto"/>
        <w:bottom w:val="none" w:sz="0" w:space="0" w:color="auto"/>
        <w:right w:val="none" w:sz="0" w:space="0" w:color="auto"/>
      </w:divBdr>
    </w:div>
    <w:div w:id="1915309723">
      <w:bodyDiv w:val="1"/>
      <w:marLeft w:val="0"/>
      <w:marRight w:val="0"/>
      <w:marTop w:val="0"/>
      <w:marBottom w:val="0"/>
      <w:divBdr>
        <w:top w:val="none" w:sz="0" w:space="0" w:color="auto"/>
        <w:left w:val="none" w:sz="0" w:space="0" w:color="auto"/>
        <w:bottom w:val="none" w:sz="0" w:space="0" w:color="auto"/>
        <w:right w:val="none" w:sz="0" w:space="0" w:color="auto"/>
      </w:divBdr>
    </w:div>
    <w:div w:id="1930891422">
      <w:bodyDiv w:val="1"/>
      <w:marLeft w:val="0"/>
      <w:marRight w:val="0"/>
      <w:marTop w:val="0"/>
      <w:marBottom w:val="0"/>
      <w:divBdr>
        <w:top w:val="none" w:sz="0" w:space="0" w:color="auto"/>
        <w:left w:val="none" w:sz="0" w:space="0" w:color="auto"/>
        <w:bottom w:val="none" w:sz="0" w:space="0" w:color="auto"/>
        <w:right w:val="none" w:sz="0" w:space="0" w:color="auto"/>
      </w:divBdr>
    </w:div>
    <w:div w:id="1934126630">
      <w:bodyDiv w:val="1"/>
      <w:marLeft w:val="0"/>
      <w:marRight w:val="0"/>
      <w:marTop w:val="0"/>
      <w:marBottom w:val="0"/>
      <w:divBdr>
        <w:top w:val="none" w:sz="0" w:space="0" w:color="auto"/>
        <w:left w:val="none" w:sz="0" w:space="0" w:color="auto"/>
        <w:bottom w:val="none" w:sz="0" w:space="0" w:color="auto"/>
        <w:right w:val="none" w:sz="0" w:space="0" w:color="auto"/>
      </w:divBdr>
    </w:div>
    <w:div w:id="1934586748">
      <w:bodyDiv w:val="1"/>
      <w:marLeft w:val="0"/>
      <w:marRight w:val="0"/>
      <w:marTop w:val="0"/>
      <w:marBottom w:val="0"/>
      <w:divBdr>
        <w:top w:val="none" w:sz="0" w:space="0" w:color="auto"/>
        <w:left w:val="none" w:sz="0" w:space="0" w:color="auto"/>
        <w:bottom w:val="none" w:sz="0" w:space="0" w:color="auto"/>
        <w:right w:val="none" w:sz="0" w:space="0" w:color="auto"/>
      </w:divBdr>
    </w:div>
    <w:div w:id="1982807137">
      <w:bodyDiv w:val="1"/>
      <w:marLeft w:val="0"/>
      <w:marRight w:val="0"/>
      <w:marTop w:val="0"/>
      <w:marBottom w:val="0"/>
      <w:divBdr>
        <w:top w:val="none" w:sz="0" w:space="0" w:color="auto"/>
        <w:left w:val="none" w:sz="0" w:space="0" w:color="auto"/>
        <w:bottom w:val="none" w:sz="0" w:space="0" w:color="auto"/>
        <w:right w:val="none" w:sz="0" w:space="0" w:color="auto"/>
      </w:divBdr>
    </w:div>
    <w:div w:id="1984852073">
      <w:bodyDiv w:val="1"/>
      <w:marLeft w:val="0"/>
      <w:marRight w:val="0"/>
      <w:marTop w:val="0"/>
      <w:marBottom w:val="0"/>
      <w:divBdr>
        <w:top w:val="none" w:sz="0" w:space="0" w:color="auto"/>
        <w:left w:val="none" w:sz="0" w:space="0" w:color="auto"/>
        <w:bottom w:val="none" w:sz="0" w:space="0" w:color="auto"/>
        <w:right w:val="none" w:sz="0" w:space="0" w:color="auto"/>
      </w:divBdr>
    </w:div>
    <w:div w:id="2041279084">
      <w:bodyDiv w:val="1"/>
      <w:marLeft w:val="0"/>
      <w:marRight w:val="0"/>
      <w:marTop w:val="0"/>
      <w:marBottom w:val="0"/>
      <w:divBdr>
        <w:top w:val="none" w:sz="0" w:space="0" w:color="auto"/>
        <w:left w:val="none" w:sz="0" w:space="0" w:color="auto"/>
        <w:bottom w:val="none" w:sz="0" w:space="0" w:color="auto"/>
        <w:right w:val="none" w:sz="0" w:space="0" w:color="auto"/>
      </w:divBdr>
    </w:div>
    <w:div w:id="2044089607">
      <w:bodyDiv w:val="1"/>
      <w:marLeft w:val="0"/>
      <w:marRight w:val="0"/>
      <w:marTop w:val="0"/>
      <w:marBottom w:val="0"/>
      <w:divBdr>
        <w:top w:val="none" w:sz="0" w:space="0" w:color="auto"/>
        <w:left w:val="none" w:sz="0" w:space="0" w:color="auto"/>
        <w:bottom w:val="none" w:sz="0" w:space="0" w:color="auto"/>
        <w:right w:val="none" w:sz="0" w:space="0" w:color="auto"/>
      </w:divBdr>
    </w:div>
    <w:div w:id="2060978000">
      <w:bodyDiv w:val="1"/>
      <w:marLeft w:val="0"/>
      <w:marRight w:val="0"/>
      <w:marTop w:val="0"/>
      <w:marBottom w:val="0"/>
      <w:divBdr>
        <w:top w:val="none" w:sz="0" w:space="0" w:color="auto"/>
        <w:left w:val="none" w:sz="0" w:space="0" w:color="auto"/>
        <w:bottom w:val="none" w:sz="0" w:space="0" w:color="auto"/>
        <w:right w:val="none" w:sz="0" w:space="0" w:color="auto"/>
      </w:divBdr>
    </w:div>
    <w:div w:id="2087533318">
      <w:bodyDiv w:val="1"/>
      <w:marLeft w:val="0"/>
      <w:marRight w:val="0"/>
      <w:marTop w:val="0"/>
      <w:marBottom w:val="0"/>
      <w:divBdr>
        <w:top w:val="none" w:sz="0" w:space="0" w:color="auto"/>
        <w:left w:val="none" w:sz="0" w:space="0" w:color="auto"/>
        <w:bottom w:val="none" w:sz="0" w:space="0" w:color="auto"/>
        <w:right w:val="none" w:sz="0" w:space="0" w:color="auto"/>
      </w:divBdr>
    </w:div>
    <w:div w:id="2116553815">
      <w:bodyDiv w:val="1"/>
      <w:marLeft w:val="0"/>
      <w:marRight w:val="0"/>
      <w:marTop w:val="0"/>
      <w:marBottom w:val="0"/>
      <w:divBdr>
        <w:top w:val="none" w:sz="0" w:space="0" w:color="auto"/>
        <w:left w:val="none" w:sz="0" w:space="0" w:color="auto"/>
        <w:bottom w:val="none" w:sz="0" w:space="0" w:color="auto"/>
        <w:right w:val="none" w:sz="0" w:space="0" w:color="auto"/>
      </w:divBdr>
      <w:divsChild>
        <w:div w:id="278343993">
          <w:marLeft w:val="0"/>
          <w:marRight w:val="0"/>
          <w:marTop w:val="0"/>
          <w:marBottom w:val="0"/>
          <w:divBdr>
            <w:top w:val="none" w:sz="0" w:space="0" w:color="auto"/>
            <w:left w:val="none" w:sz="0" w:space="0" w:color="auto"/>
            <w:bottom w:val="none" w:sz="0" w:space="0" w:color="auto"/>
            <w:right w:val="none" w:sz="0" w:space="0" w:color="auto"/>
          </w:divBdr>
          <w:divsChild>
            <w:div w:id="267977905">
              <w:marLeft w:val="0"/>
              <w:marRight w:val="0"/>
              <w:marTop w:val="0"/>
              <w:marBottom w:val="0"/>
              <w:divBdr>
                <w:top w:val="none" w:sz="0" w:space="0" w:color="auto"/>
                <w:left w:val="none" w:sz="0" w:space="0" w:color="auto"/>
                <w:bottom w:val="none" w:sz="0" w:space="0" w:color="auto"/>
                <w:right w:val="none" w:sz="0" w:space="0" w:color="auto"/>
              </w:divBdr>
              <w:divsChild>
                <w:div w:id="726296140">
                  <w:marLeft w:val="0"/>
                  <w:marRight w:val="0"/>
                  <w:marTop w:val="0"/>
                  <w:marBottom w:val="0"/>
                  <w:divBdr>
                    <w:top w:val="single" w:sz="2" w:space="0" w:color="auto"/>
                    <w:left w:val="single" w:sz="2" w:space="0" w:color="auto"/>
                    <w:bottom w:val="single" w:sz="2" w:space="0" w:color="auto"/>
                    <w:right w:val="single" w:sz="2" w:space="0" w:color="auto"/>
                  </w:divBdr>
                  <w:divsChild>
                    <w:div w:id="127186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744974">
      <w:bodyDiv w:val="1"/>
      <w:marLeft w:val="0"/>
      <w:marRight w:val="0"/>
      <w:marTop w:val="0"/>
      <w:marBottom w:val="0"/>
      <w:divBdr>
        <w:top w:val="none" w:sz="0" w:space="0" w:color="auto"/>
        <w:left w:val="none" w:sz="0" w:space="0" w:color="auto"/>
        <w:bottom w:val="none" w:sz="0" w:space="0" w:color="auto"/>
        <w:right w:val="none" w:sz="0" w:space="0" w:color="auto"/>
      </w:divBdr>
    </w:div>
    <w:div w:id="2136363193">
      <w:bodyDiv w:val="1"/>
      <w:marLeft w:val="0"/>
      <w:marRight w:val="0"/>
      <w:marTop w:val="0"/>
      <w:marBottom w:val="0"/>
      <w:divBdr>
        <w:top w:val="none" w:sz="0" w:space="0" w:color="auto"/>
        <w:left w:val="none" w:sz="0" w:space="0" w:color="auto"/>
        <w:bottom w:val="none" w:sz="0" w:space="0" w:color="auto"/>
        <w:right w:val="none" w:sz="0" w:space="0" w:color="auto"/>
      </w:divBdr>
    </w:div>
    <w:div w:id="2141142458">
      <w:bodyDiv w:val="1"/>
      <w:marLeft w:val="0"/>
      <w:marRight w:val="0"/>
      <w:marTop w:val="0"/>
      <w:marBottom w:val="0"/>
      <w:divBdr>
        <w:top w:val="none" w:sz="0" w:space="0" w:color="auto"/>
        <w:left w:val="none" w:sz="0" w:space="0" w:color="auto"/>
        <w:bottom w:val="none" w:sz="0" w:space="0" w:color="auto"/>
        <w:right w:val="none" w:sz="0" w:space="0" w:color="auto"/>
      </w:divBdr>
    </w:div>
    <w:div w:id="214480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aike.baidu.com/view/692499.htm" TargetMode="External"/><Relationship Id="rId18" Type="http://schemas.openxmlformats.org/officeDocument/2006/relationships/hyperlink" Target="http://baike.baidu.com/view/692499.htm" TargetMode="External"/><Relationship Id="rId26" Type="http://schemas.openxmlformats.org/officeDocument/2006/relationships/hyperlink" Target="http://baike.baidu.com/view/100474.htm" TargetMode="External"/><Relationship Id="rId3" Type="http://schemas.openxmlformats.org/officeDocument/2006/relationships/styles" Target="styles.xml"/><Relationship Id="rId21" Type="http://schemas.openxmlformats.org/officeDocument/2006/relationships/hyperlink" Target="http://baike.baidu.com/view/692499.htm" TargetMode="External"/><Relationship Id="rId7" Type="http://schemas.openxmlformats.org/officeDocument/2006/relationships/endnotes" Target="endnotes.xml"/><Relationship Id="rId12" Type="http://schemas.openxmlformats.org/officeDocument/2006/relationships/hyperlink" Target="http://baike.baidu.com/view/692499.htm" TargetMode="External"/><Relationship Id="rId17" Type="http://schemas.openxmlformats.org/officeDocument/2006/relationships/hyperlink" Target="http://baike.baidu.com/view/100474.htm" TargetMode="External"/><Relationship Id="rId25" Type="http://schemas.openxmlformats.org/officeDocument/2006/relationships/hyperlink" Target="http://baike.baidu.com/view/692499.htm" TargetMode="External"/><Relationship Id="rId2" Type="http://schemas.openxmlformats.org/officeDocument/2006/relationships/numbering" Target="numbering.xml"/><Relationship Id="rId16" Type="http://schemas.openxmlformats.org/officeDocument/2006/relationships/hyperlink" Target="http://baike.baidu.com/view/692499.htm" TargetMode="External"/><Relationship Id="rId20" Type="http://schemas.openxmlformats.org/officeDocument/2006/relationships/hyperlink" Target="http://baike.baidu.com/view/100474.htm" TargetMode="External"/><Relationship Id="rId29" Type="http://schemas.openxmlformats.org/officeDocument/2006/relationships/hyperlink" Target="http://baike.baidu.com/view/10047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ki.mbalib.com/wiki/%E4%BF%9D%E5%8D%95" TargetMode="External"/><Relationship Id="rId24" Type="http://schemas.openxmlformats.org/officeDocument/2006/relationships/hyperlink" Target="http://baike.baidu.com/view/692499.htm" TargetMode="External"/><Relationship Id="rId5" Type="http://schemas.openxmlformats.org/officeDocument/2006/relationships/webSettings" Target="webSettings.xml"/><Relationship Id="rId15" Type="http://schemas.openxmlformats.org/officeDocument/2006/relationships/hyperlink" Target="http://baike.baidu.com/view/692499.htm" TargetMode="External"/><Relationship Id="rId23" Type="http://schemas.openxmlformats.org/officeDocument/2006/relationships/hyperlink" Target="http://baike.baidu.com/view/100474.htm" TargetMode="External"/><Relationship Id="rId28" Type="http://schemas.openxmlformats.org/officeDocument/2006/relationships/hyperlink" Target="http://baike.baidu.com/view/692499.htm" TargetMode="External"/><Relationship Id="rId10" Type="http://schemas.openxmlformats.org/officeDocument/2006/relationships/footer" Target="footer3.xml"/><Relationship Id="rId19" Type="http://schemas.openxmlformats.org/officeDocument/2006/relationships/hyperlink" Target="http://baike.baidu.com/view/692499.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aike.baidu.com/view/100474.htm" TargetMode="External"/><Relationship Id="rId22" Type="http://schemas.openxmlformats.org/officeDocument/2006/relationships/hyperlink" Target="http://baike.baidu.com/view/692499.htm" TargetMode="External"/><Relationship Id="rId27" Type="http://schemas.openxmlformats.org/officeDocument/2006/relationships/hyperlink" Target="http://baike.baidu.com/view/692499.htm"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579BF-4FE1-4D0C-989A-874B6E69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5820</TotalTime>
  <Pages>180</Pages>
  <Words>26174</Words>
  <Characters>149198</Characters>
  <Application>Microsoft Office Word</Application>
  <DocSecurity>0</DocSecurity>
  <Lines>1243</Lines>
  <Paragraphs>350</Paragraphs>
  <ScaleCrop>false</ScaleCrop>
  <Company/>
  <LinksUpToDate>false</LinksUpToDate>
  <CharactersWithSpaces>175022</CharactersWithSpaces>
  <SharedDoc>false</SharedDoc>
  <HLinks>
    <vt:vector size="402" baseType="variant">
      <vt:variant>
        <vt:i4>3932212</vt:i4>
      </vt:variant>
      <vt:variant>
        <vt:i4>360</vt:i4>
      </vt:variant>
      <vt:variant>
        <vt:i4>0</vt:i4>
      </vt:variant>
      <vt:variant>
        <vt:i4>5</vt:i4>
      </vt:variant>
      <vt:variant>
        <vt:lpwstr>http://baike.baidu.com/view/100474.htm</vt:lpwstr>
      </vt:variant>
      <vt:variant>
        <vt:lpwstr/>
      </vt:variant>
      <vt:variant>
        <vt:i4>3670079</vt:i4>
      </vt:variant>
      <vt:variant>
        <vt:i4>357</vt:i4>
      </vt:variant>
      <vt:variant>
        <vt:i4>0</vt:i4>
      </vt:variant>
      <vt:variant>
        <vt:i4>5</vt:i4>
      </vt:variant>
      <vt:variant>
        <vt:lpwstr>http://baike.baidu.com/view/692499.htm</vt:lpwstr>
      </vt:variant>
      <vt:variant>
        <vt:lpwstr/>
      </vt:variant>
      <vt:variant>
        <vt:i4>3670079</vt:i4>
      </vt:variant>
      <vt:variant>
        <vt:i4>354</vt:i4>
      </vt:variant>
      <vt:variant>
        <vt:i4>0</vt:i4>
      </vt:variant>
      <vt:variant>
        <vt:i4>5</vt:i4>
      </vt:variant>
      <vt:variant>
        <vt:lpwstr>http://baike.baidu.com/view/692499.htm</vt:lpwstr>
      </vt:variant>
      <vt:variant>
        <vt:lpwstr/>
      </vt:variant>
      <vt:variant>
        <vt:i4>3932212</vt:i4>
      </vt:variant>
      <vt:variant>
        <vt:i4>351</vt:i4>
      </vt:variant>
      <vt:variant>
        <vt:i4>0</vt:i4>
      </vt:variant>
      <vt:variant>
        <vt:i4>5</vt:i4>
      </vt:variant>
      <vt:variant>
        <vt:lpwstr>http://baike.baidu.com/view/100474.htm</vt:lpwstr>
      </vt:variant>
      <vt:variant>
        <vt:lpwstr/>
      </vt:variant>
      <vt:variant>
        <vt:i4>3670079</vt:i4>
      </vt:variant>
      <vt:variant>
        <vt:i4>348</vt:i4>
      </vt:variant>
      <vt:variant>
        <vt:i4>0</vt:i4>
      </vt:variant>
      <vt:variant>
        <vt:i4>5</vt:i4>
      </vt:variant>
      <vt:variant>
        <vt:lpwstr>http://baike.baidu.com/view/692499.htm</vt:lpwstr>
      </vt:variant>
      <vt:variant>
        <vt:lpwstr/>
      </vt:variant>
      <vt:variant>
        <vt:i4>3670079</vt:i4>
      </vt:variant>
      <vt:variant>
        <vt:i4>345</vt:i4>
      </vt:variant>
      <vt:variant>
        <vt:i4>0</vt:i4>
      </vt:variant>
      <vt:variant>
        <vt:i4>5</vt:i4>
      </vt:variant>
      <vt:variant>
        <vt:lpwstr>http://baike.baidu.com/view/692499.htm</vt:lpwstr>
      </vt:variant>
      <vt:variant>
        <vt:lpwstr/>
      </vt:variant>
      <vt:variant>
        <vt:i4>3932212</vt:i4>
      </vt:variant>
      <vt:variant>
        <vt:i4>342</vt:i4>
      </vt:variant>
      <vt:variant>
        <vt:i4>0</vt:i4>
      </vt:variant>
      <vt:variant>
        <vt:i4>5</vt:i4>
      </vt:variant>
      <vt:variant>
        <vt:lpwstr>http://baike.baidu.com/view/100474.htm</vt:lpwstr>
      </vt:variant>
      <vt:variant>
        <vt:lpwstr/>
      </vt:variant>
      <vt:variant>
        <vt:i4>3670079</vt:i4>
      </vt:variant>
      <vt:variant>
        <vt:i4>339</vt:i4>
      </vt:variant>
      <vt:variant>
        <vt:i4>0</vt:i4>
      </vt:variant>
      <vt:variant>
        <vt:i4>5</vt:i4>
      </vt:variant>
      <vt:variant>
        <vt:lpwstr>http://baike.baidu.com/view/692499.htm</vt:lpwstr>
      </vt:variant>
      <vt:variant>
        <vt:lpwstr/>
      </vt:variant>
      <vt:variant>
        <vt:i4>3670079</vt:i4>
      </vt:variant>
      <vt:variant>
        <vt:i4>336</vt:i4>
      </vt:variant>
      <vt:variant>
        <vt:i4>0</vt:i4>
      </vt:variant>
      <vt:variant>
        <vt:i4>5</vt:i4>
      </vt:variant>
      <vt:variant>
        <vt:lpwstr>http://baike.baidu.com/view/692499.htm</vt:lpwstr>
      </vt:variant>
      <vt:variant>
        <vt:lpwstr/>
      </vt:variant>
      <vt:variant>
        <vt:i4>3932212</vt:i4>
      </vt:variant>
      <vt:variant>
        <vt:i4>333</vt:i4>
      </vt:variant>
      <vt:variant>
        <vt:i4>0</vt:i4>
      </vt:variant>
      <vt:variant>
        <vt:i4>5</vt:i4>
      </vt:variant>
      <vt:variant>
        <vt:lpwstr>http://baike.baidu.com/view/100474.htm</vt:lpwstr>
      </vt:variant>
      <vt:variant>
        <vt:lpwstr/>
      </vt:variant>
      <vt:variant>
        <vt:i4>3670079</vt:i4>
      </vt:variant>
      <vt:variant>
        <vt:i4>330</vt:i4>
      </vt:variant>
      <vt:variant>
        <vt:i4>0</vt:i4>
      </vt:variant>
      <vt:variant>
        <vt:i4>5</vt:i4>
      </vt:variant>
      <vt:variant>
        <vt:lpwstr>http://baike.baidu.com/view/692499.htm</vt:lpwstr>
      </vt:variant>
      <vt:variant>
        <vt:lpwstr/>
      </vt:variant>
      <vt:variant>
        <vt:i4>3670079</vt:i4>
      </vt:variant>
      <vt:variant>
        <vt:i4>327</vt:i4>
      </vt:variant>
      <vt:variant>
        <vt:i4>0</vt:i4>
      </vt:variant>
      <vt:variant>
        <vt:i4>5</vt:i4>
      </vt:variant>
      <vt:variant>
        <vt:lpwstr>http://baike.baidu.com/view/692499.htm</vt:lpwstr>
      </vt:variant>
      <vt:variant>
        <vt:lpwstr/>
      </vt:variant>
      <vt:variant>
        <vt:i4>3932212</vt:i4>
      </vt:variant>
      <vt:variant>
        <vt:i4>324</vt:i4>
      </vt:variant>
      <vt:variant>
        <vt:i4>0</vt:i4>
      </vt:variant>
      <vt:variant>
        <vt:i4>5</vt:i4>
      </vt:variant>
      <vt:variant>
        <vt:lpwstr>http://baike.baidu.com/view/100474.htm</vt:lpwstr>
      </vt:variant>
      <vt:variant>
        <vt:lpwstr/>
      </vt:variant>
      <vt:variant>
        <vt:i4>3670079</vt:i4>
      </vt:variant>
      <vt:variant>
        <vt:i4>321</vt:i4>
      </vt:variant>
      <vt:variant>
        <vt:i4>0</vt:i4>
      </vt:variant>
      <vt:variant>
        <vt:i4>5</vt:i4>
      </vt:variant>
      <vt:variant>
        <vt:lpwstr>http://baike.baidu.com/view/692499.htm</vt:lpwstr>
      </vt:variant>
      <vt:variant>
        <vt:lpwstr/>
      </vt:variant>
      <vt:variant>
        <vt:i4>3670079</vt:i4>
      </vt:variant>
      <vt:variant>
        <vt:i4>318</vt:i4>
      </vt:variant>
      <vt:variant>
        <vt:i4>0</vt:i4>
      </vt:variant>
      <vt:variant>
        <vt:i4>5</vt:i4>
      </vt:variant>
      <vt:variant>
        <vt:lpwstr>http://baike.baidu.com/view/692499.htm</vt:lpwstr>
      </vt:variant>
      <vt:variant>
        <vt:lpwstr/>
      </vt:variant>
      <vt:variant>
        <vt:i4>3932212</vt:i4>
      </vt:variant>
      <vt:variant>
        <vt:i4>315</vt:i4>
      </vt:variant>
      <vt:variant>
        <vt:i4>0</vt:i4>
      </vt:variant>
      <vt:variant>
        <vt:i4>5</vt:i4>
      </vt:variant>
      <vt:variant>
        <vt:lpwstr>http://baike.baidu.com/view/100474.htm</vt:lpwstr>
      </vt:variant>
      <vt:variant>
        <vt:lpwstr/>
      </vt:variant>
      <vt:variant>
        <vt:i4>3670079</vt:i4>
      </vt:variant>
      <vt:variant>
        <vt:i4>312</vt:i4>
      </vt:variant>
      <vt:variant>
        <vt:i4>0</vt:i4>
      </vt:variant>
      <vt:variant>
        <vt:i4>5</vt:i4>
      </vt:variant>
      <vt:variant>
        <vt:lpwstr>http://baike.baidu.com/view/692499.htm</vt:lpwstr>
      </vt:variant>
      <vt:variant>
        <vt:lpwstr/>
      </vt:variant>
      <vt:variant>
        <vt:i4>3670079</vt:i4>
      </vt:variant>
      <vt:variant>
        <vt:i4>309</vt:i4>
      </vt:variant>
      <vt:variant>
        <vt:i4>0</vt:i4>
      </vt:variant>
      <vt:variant>
        <vt:i4>5</vt:i4>
      </vt:variant>
      <vt:variant>
        <vt:lpwstr>http://baike.baidu.com/view/692499.htm</vt:lpwstr>
      </vt:variant>
      <vt:variant>
        <vt:lpwstr/>
      </vt:variant>
      <vt:variant>
        <vt:i4>7274541</vt:i4>
      </vt:variant>
      <vt:variant>
        <vt:i4>306</vt:i4>
      </vt:variant>
      <vt:variant>
        <vt:i4>0</vt:i4>
      </vt:variant>
      <vt:variant>
        <vt:i4>5</vt:i4>
      </vt:variant>
      <vt:variant>
        <vt:lpwstr>http://wiki.mbalib.com/wiki/%E4%BF%9D%E5%8D%95</vt:lpwstr>
      </vt:variant>
      <vt:variant>
        <vt:lpwstr/>
      </vt:variant>
      <vt:variant>
        <vt:i4>1507379</vt:i4>
      </vt:variant>
      <vt:variant>
        <vt:i4>287</vt:i4>
      </vt:variant>
      <vt:variant>
        <vt:i4>0</vt:i4>
      </vt:variant>
      <vt:variant>
        <vt:i4>5</vt:i4>
      </vt:variant>
      <vt:variant>
        <vt:lpwstr/>
      </vt:variant>
      <vt:variant>
        <vt:lpwstr>_Toc436147552</vt:lpwstr>
      </vt:variant>
      <vt:variant>
        <vt:i4>1507379</vt:i4>
      </vt:variant>
      <vt:variant>
        <vt:i4>281</vt:i4>
      </vt:variant>
      <vt:variant>
        <vt:i4>0</vt:i4>
      </vt:variant>
      <vt:variant>
        <vt:i4>5</vt:i4>
      </vt:variant>
      <vt:variant>
        <vt:lpwstr/>
      </vt:variant>
      <vt:variant>
        <vt:lpwstr>_Toc436147551</vt:lpwstr>
      </vt:variant>
      <vt:variant>
        <vt:i4>1507379</vt:i4>
      </vt:variant>
      <vt:variant>
        <vt:i4>275</vt:i4>
      </vt:variant>
      <vt:variant>
        <vt:i4>0</vt:i4>
      </vt:variant>
      <vt:variant>
        <vt:i4>5</vt:i4>
      </vt:variant>
      <vt:variant>
        <vt:lpwstr/>
      </vt:variant>
      <vt:variant>
        <vt:lpwstr>_Toc436147550</vt:lpwstr>
      </vt:variant>
      <vt:variant>
        <vt:i4>1441843</vt:i4>
      </vt:variant>
      <vt:variant>
        <vt:i4>269</vt:i4>
      </vt:variant>
      <vt:variant>
        <vt:i4>0</vt:i4>
      </vt:variant>
      <vt:variant>
        <vt:i4>5</vt:i4>
      </vt:variant>
      <vt:variant>
        <vt:lpwstr/>
      </vt:variant>
      <vt:variant>
        <vt:lpwstr>_Toc436147549</vt:lpwstr>
      </vt:variant>
      <vt:variant>
        <vt:i4>1441843</vt:i4>
      </vt:variant>
      <vt:variant>
        <vt:i4>263</vt:i4>
      </vt:variant>
      <vt:variant>
        <vt:i4>0</vt:i4>
      </vt:variant>
      <vt:variant>
        <vt:i4>5</vt:i4>
      </vt:variant>
      <vt:variant>
        <vt:lpwstr/>
      </vt:variant>
      <vt:variant>
        <vt:lpwstr>_Toc436147548</vt:lpwstr>
      </vt:variant>
      <vt:variant>
        <vt:i4>1441843</vt:i4>
      </vt:variant>
      <vt:variant>
        <vt:i4>257</vt:i4>
      </vt:variant>
      <vt:variant>
        <vt:i4>0</vt:i4>
      </vt:variant>
      <vt:variant>
        <vt:i4>5</vt:i4>
      </vt:variant>
      <vt:variant>
        <vt:lpwstr/>
      </vt:variant>
      <vt:variant>
        <vt:lpwstr>_Toc436147547</vt:lpwstr>
      </vt:variant>
      <vt:variant>
        <vt:i4>1441843</vt:i4>
      </vt:variant>
      <vt:variant>
        <vt:i4>251</vt:i4>
      </vt:variant>
      <vt:variant>
        <vt:i4>0</vt:i4>
      </vt:variant>
      <vt:variant>
        <vt:i4>5</vt:i4>
      </vt:variant>
      <vt:variant>
        <vt:lpwstr/>
      </vt:variant>
      <vt:variant>
        <vt:lpwstr>_Toc436147546</vt:lpwstr>
      </vt:variant>
      <vt:variant>
        <vt:i4>1441843</vt:i4>
      </vt:variant>
      <vt:variant>
        <vt:i4>245</vt:i4>
      </vt:variant>
      <vt:variant>
        <vt:i4>0</vt:i4>
      </vt:variant>
      <vt:variant>
        <vt:i4>5</vt:i4>
      </vt:variant>
      <vt:variant>
        <vt:lpwstr/>
      </vt:variant>
      <vt:variant>
        <vt:lpwstr>_Toc436147545</vt:lpwstr>
      </vt:variant>
      <vt:variant>
        <vt:i4>1441843</vt:i4>
      </vt:variant>
      <vt:variant>
        <vt:i4>239</vt:i4>
      </vt:variant>
      <vt:variant>
        <vt:i4>0</vt:i4>
      </vt:variant>
      <vt:variant>
        <vt:i4>5</vt:i4>
      </vt:variant>
      <vt:variant>
        <vt:lpwstr/>
      </vt:variant>
      <vt:variant>
        <vt:lpwstr>_Toc436147544</vt:lpwstr>
      </vt:variant>
      <vt:variant>
        <vt:i4>1441843</vt:i4>
      </vt:variant>
      <vt:variant>
        <vt:i4>233</vt:i4>
      </vt:variant>
      <vt:variant>
        <vt:i4>0</vt:i4>
      </vt:variant>
      <vt:variant>
        <vt:i4>5</vt:i4>
      </vt:variant>
      <vt:variant>
        <vt:lpwstr/>
      </vt:variant>
      <vt:variant>
        <vt:lpwstr>_Toc436147543</vt:lpwstr>
      </vt:variant>
      <vt:variant>
        <vt:i4>1441843</vt:i4>
      </vt:variant>
      <vt:variant>
        <vt:i4>227</vt:i4>
      </vt:variant>
      <vt:variant>
        <vt:i4>0</vt:i4>
      </vt:variant>
      <vt:variant>
        <vt:i4>5</vt:i4>
      </vt:variant>
      <vt:variant>
        <vt:lpwstr/>
      </vt:variant>
      <vt:variant>
        <vt:lpwstr>_Toc436147542</vt:lpwstr>
      </vt:variant>
      <vt:variant>
        <vt:i4>1441843</vt:i4>
      </vt:variant>
      <vt:variant>
        <vt:i4>221</vt:i4>
      </vt:variant>
      <vt:variant>
        <vt:i4>0</vt:i4>
      </vt:variant>
      <vt:variant>
        <vt:i4>5</vt:i4>
      </vt:variant>
      <vt:variant>
        <vt:lpwstr/>
      </vt:variant>
      <vt:variant>
        <vt:lpwstr>_Toc436147541</vt:lpwstr>
      </vt:variant>
      <vt:variant>
        <vt:i4>1441843</vt:i4>
      </vt:variant>
      <vt:variant>
        <vt:i4>215</vt:i4>
      </vt:variant>
      <vt:variant>
        <vt:i4>0</vt:i4>
      </vt:variant>
      <vt:variant>
        <vt:i4>5</vt:i4>
      </vt:variant>
      <vt:variant>
        <vt:lpwstr/>
      </vt:variant>
      <vt:variant>
        <vt:lpwstr>_Toc436147540</vt:lpwstr>
      </vt:variant>
      <vt:variant>
        <vt:i4>1114163</vt:i4>
      </vt:variant>
      <vt:variant>
        <vt:i4>209</vt:i4>
      </vt:variant>
      <vt:variant>
        <vt:i4>0</vt:i4>
      </vt:variant>
      <vt:variant>
        <vt:i4>5</vt:i4>
      </vt:variant>
      <vt:variant>
        <vt:lpwstr/>
      </vt:variant>
      <vt:variant>
        <vt:lpwstr>_Toc436147539</vt:lpwstr>
      </vt:variant>
      <vt:variant>
        <vt:i4>1114163</vt:i4>
      </vt:variant>
      <vt:variant>
        <vt:i4>203</vt:i4>
      </vt:variant>
      <vt:variant>
        <vt:i4>0</vt:i4>
      </vt:variant>
      <vt:variant>
        <vt:i4>5</vt:i4>
      </vt:variant>
      <vt:variant>
        <vt:lpwstr/>
      </vt:variant>
      <vt:variant>
        <vt:lpwstr>_Toc436147538</vt:lpwstr>
      </vt:variant>
      <vt:variant>
        <vt:i4>1114163</vt:i4>
      </vt:variant>
      <vt:variant>
        <vt:i4>197</vt:i4>
      </vt:variant>
      <vt:variant>
        <vt:i4>0</vt:i4>
      </vt:variant>
      <vt:variant>
        <vt:i4>5</vt:i4>
      </vt:variant>
      <vt:variant>
        <vt:lpwstr/>
      </vt:variant>
      <vt:variant>
        <vt:lpwstr>_Toc436147537</vt:lpwstr>
      </vt:variant>
      <vt:variant>
        <vt:i4>1114163</vt:i4>
      </vt:variant>
      <vt:variant>
        <vt:i4>191</vt:i4>
      </vt:variant>
      <vt:variant>
        <vt:i4>0</vt:i4>
      </vt:variant>
      <vt:variant>
        <vt:i4>5</vt:i4>
      </vt:variant>
      <vt:variant>
        <vt:lpwstr/>
      </vt:variant>
      <vt:variant>
        <vt:lpwstr>_Toc436147536</vt:lpwstr>
      </vt:variant>
      <vt:variant>
        <vt:i4>1114163</vt:i4>
      </vt:variant>
      <vt:variant>
        <vt:i4>185</vt:i4>
      </vt:variant>
      <vt:variant>
        <vt:i4>0</vt:i4>
      </vt:variant>
      <vt:variant>
        <vt:i4>5</vt:i4>
      </vt:variant>
      <vt:variant>
        <vt:lpwstr/>
      </vt:variant>
      <vt:variant>
        <vt:lpwstr>_Toc436147535</vt:lpwstr>
      </vt:variant>
      <vt:variant>
        <vt:i4>1114163</vt:i4>
      </vt:variant>
      <vt:variant>
        <vt:i4>179</vt:i4>
      </vt:variant>
      <vt:variant>
        <vt:i4>0</vt:i4>
      </vt:variant>
      <vt:variant>
        <vt:i4>5</vt:i4>
      </vt:variant>
      <vt:variant>
        <vt:lpwstr/>
      </vt:variant>
      <vt:variant>
        <vt:lpwstr>_Toc436147534</vt:lpwstr>
      </vt:variant>
      <vt:variant>
        <vt:i4>1114163</vt:i4>
      </vt:variant>
      <vt:variant>
        <vt:i4>173</vt:i4>
      </vt:variant>
      <vt:variant>
        <vt:i4>0</vt:i4>
      </vt:variant>
      <vt:variant>
        <vt:i4>5</vt:i4>
      </vt:variant>
      <vt:variant>
        <vt:lpwstr/>
      </vt:variant>
      <vt:variant>
        <vt:lpwstr>_Toc436147533</vt:lpwstr>
      </vt:variant>
      <vt:variant>
        <vt:i4>1114163</vt:i4>
      </vt:variant>
      <vt:variant>
        <vt:i4>167</vt:i4>
      </vt:variant>
      <vt:variant>
        <vt:i4>0</vt:i4>
      </vt:variant>
      <vt:variant>
        <vt:i4>5</vt:i4>
      </vt:variant>
      <vt:variant>
        <vt:lpwstr/>
      </vt:variant>
      <vt:variant>
        <vt:lpwstr>_Toc436147532</vt:lpwstr>
      </vt:variant>
      <vt:variant>
        <vt:i4>1114163</vt:i4>
      </vt:variant>
      <vt:variant>
        <vt:i4>161</vt:i4>
      </vt:variant>
      <vt:variant>
        <vt:i4>0</vt:i4>
      </vt:variant>
      <vt:variant>
        <vt:i4>5</vt:i4>
      </vt:variant>
      <vt:variant>
        <vt:lpwstr/>
      </vt:variant>
      <vt:variant>
        <vt:lpwstr>_Toc436147531</vt:lpwstr>
      </vt:variant>
      <vt:variant>
        <vt:i4>1114163</vt:i4>
      </vt:variant>
      <vt:variant>
        <vt:i4>155</vt:i4>
      </vt:variant>
      <vt:variant>
        <vt:i4>0</vt:i4>
      </vt:variant>
      <vt:variant>
        <vt:i4>5</vt:i4>
      </vt:variant>
      <vt:variant>
        <vt:lpwstr/>
      </vt:variant>
      <vt:variant>
        <vt:lpwstr>_Toc436147530</vt:lpwstr>
      </vt:variant>
      <vt:variant>
        <vt:i4>1048627</vt:i4>
      </vt:variant>
      <vt:variant>
        <vt:i4>149</vt:i4>
      </vt:variant>
      <vt:variant>
        <vt:i4>0</vt:i4>
      </vt:variant>
      <vt:variant>
        <vt:i4>5</vt:i4>
      </vt:variant>
      <vt:variant>
        <vt:lpwstr/>
      </vt:variant>
      <vt:variant>
        <vt:lpwstr>_Toc436147529</vt:lpwstr>
      </vt:variant>
      <vt:variant>
        <vt:i4>1048627</vt:i4>
      </vt:variant>
      <vt:variant>
        <vt:i4>143</vt:i4>
      </vt:variant>
      <vt:variant>
        <vt:i4>0</vt:i4>
      </vt:variant>
      <vt:variant>
        <vt:i4>5</vt:i4>
      </vt:variant>
      <vt:variant>
        <vt:lpwstr/>
      </vt:variant>
      <vt:variant>
        <vt:lpwstr>_Toc436147528</vt:lpwstr>
      </vt:variant>
      <vt:variant>
        <vt:i4>1048627</vt:i4>
      </vt:variant>
      <vt:variant>
        <vt:i4>137</vt:i4>
      </vt:variant>
      <vt:variant>
        <vt:i4>0</vt:i4>
      </vt:variant>
      <vt:variant>
        <vt:i4>5</vt:i4>
      </vt:variant>
      <vt:variant>
        <vt:lpwstr/>
      </vt:variant>
      <vt:variant>
        <vt:lpwstr>_Toc436147527</vt:lpwstr>
      </vt:variant>
      <vt:variant>
        <vt:i4>1048627</vt:i4>
      </vt:variant>
      <vt:variant>
        <vt:i4>131</vt:i4>
      </vt:variant>
      <vt:variant>
        <vt:i4>0</vt:i4>
      </vt:variant>
      <vt:variant>
        <vt:i4>5</vt:i4>
      </vt:variant>
      <vt:variant>
        <vt:lpwstr/>
      </vt:variant>
      <vt:variant>
        <vt:lpwstr>_Toc436147526</vt:lpwstr>
      </vt:variant>
      <vt:variant>
        <vt:i4>1048627</vt:i4>
      </vt:variant>
      <vt:variant>
        <vt:i4>125</vt:i4>
      </vt:variant>
      <vt:variant>
        <vt:i4>0</vt:i4>
      </vt:variant>
      <vt:variant>
        <vt:i4>5</vt:i4>
      </vt:variant>
      <vt:variant>
        <vt:lpwstr/>
      </vt:variant>
      <vt:variant>
        <vt:lpwstr>_Toc436147525</vt:lpwstr>
      </vt:variant>
      <vt:variant>
        <vt:i4>1048627</vt:i4>
      </vt:variant>
      <vt:variant>
        <vt:i4>119</vt:i4>
      </vt:variant>
      <vt:variant>
        <vt:i4>0</vt:i4>
      </vt:variant>
      <vt:variant>
        <vt:i4>5</vt:i4>
      </vt:variant>
      <vt:variant>
        <vt:lpwstr/>
      </vt:variant>
      <vt:variant>
        <vt:lpwstr>_Toc436147524</vt:lpwstr>
      </vt:variant>
      <vt:variant>
        <vt:i4>1048627</vt:i4>
      </vt:variant>
      <vt:variant>
        <vt:i4>113</vt:i4>
      </vt:variant>
      <vt:variant>
        <vt:i4>0</vt:i4>
      </vt:variant>
      <vt:variant>
        <vt:i4>5</vt:i4>
      </vt:variant>
      <vt:variant>
        <vt:lpwstr/>
      </vt:variant>
      <vt:variant>
        <vt:lpwstr>_Toc436147523</vt:lpwstr>
      </vt:variant>
      <vt:variant>
        <vt:i4>1048627</vt:i4>
      </vt:variant>
      <vt:variant>
        <vt:i4>107</vt:i4>
      </vt:variant>
      <vt:variant>
        <vt:i4>0</vt:i4>
      </vt:variant>
      <vt:variant>
        <vt:i4>5</vt:i4>
      </vt:variant>
      <vt:variant>
        <vt:lpwstr/>
      </vt:variant>
      <vt:variant>
        <vt:lpwstr>_Toc436147522</vt:lpwstr>
      </vt:variant>
      <vt:variant>
        <vt:i4>1048627</vt:i4>
      </vt:variant>
      <vt:variant>
        <vt:i4>101</vt:i4>
      </vt:variant>
      <vt:variant>
        <vt:i4>0</vt:i4>
      </vt:variant>
      <vt:variant>
        <vt:i4>5</vt:i4>
      </vt:variant>
      <vt:variant>
        <vt:lpwstr/>
      </vt:variant>
      <vt:variant>
        <vt:lpwstr>_Toc436147521</vt:lpwstr>
      </vt:variant>
      <vt:variant>
        <vt:i4>1048627</vt:i4>
      </vt:variant>
      <vt:variant>
        <vt:i4>95</vt:i4>
      </vt:variant>
      <vt:variant>
        <vt:i4>0</vt:i4>
      </vt:variant>
      <vt:variant>
        <vt:i4>5</vt:i4>
      </vt:variant>
      <vt:variant>
        <vt:lpwstr/>
      </vt:variant>
      <vt:variant>
        <vt:lpwstr>_Toc436147520</vt:lpwstr>
      </vt:variant>
      <vt:variant>
        <vt:i4>1245235</vt:i4>
      </vt:variant>
      <vt:variant>
        <vt:i4>89</vt:i4>
      </vt:variant>
      <vt:variant>
        <vt:i4>0</vt:i4>
      </vt:variant>
      <vt:variant>
        <vt:i4>5</vt:i4>
      </vt:variant>
      <vt:variant>
        <vt:lpwstr/>
      </vt:variant>
      <vt:variant>
        <vt:lpwstr>_Toc436147519</vt:lpwstr>
      </vt:variant>
      <vt:variant>
        <vt:i4>1245235</vt:i4>
      </vt:variant>
      <vt:variant>
        <vt:i4>83</vt:i4>
      </vt:variant>
      <vt:variant>
        <vt:i4>0</vt:i4>
      </vt:variant>
      <vt:variant>
        <vt:i4>5</vt:i4>
      </vt:variant>
      <vt:variant>
        <vt:lpwstr/>
      </vt:variant>
      <vt:variant>
        <vt:lpwstr>_Toc436147518</vt:lpwstr>
      </vt:variant>
      <vt:variant>
        <vt:i4>1245235</vt:i4>
      </vt:variant>
      <vt:variant>
        <vt:i4>77</vt:i4>
      </vt:variant>
      <vt:variant>
        <vt:i4>0</vt:i4>
      </vt:variant>
      <vt:variant>
        <vt:i4>5</vt:i4>
      </vt:variant>
      <vt:variant>
        <vt:lpwstr/>
      </vt:variant>
      <vt:variant>
        <vt:lpwstr>_Toc436147517</vt:lpwstr>
      </vt:variant>
      <vt:variant>
        <vt:i4>1245235</vt:i4>
      </vt:variant>
      <vt:variant>
        <vt:i4>71</vt:i4>
      </vt:variant>
      <vt:variant>
        <vt:i4>0</vt:i4>
      </vt:variant>
      <vt:variant>
        <vt:i4>5</vt:i4>
      </vt:variant>
      <vt:variant>
        <vt:lpwstr/>
      </vt:variant>
      <vt:variant>
        <vt:lpwstr>_Toc436147516</vt:lpwstr>
      </vt:variant>
      <vt:variant>
        <vt:i4>1245235</vt:i4>
      </vt:variant>
      <vt:variant>
        <vt:i4>65</vt:i4>
      </vt:variant>
      <vt:variant>
        <vt:i4>0</vt:i4>
      </vt:variant>
      <vt:variant>
        <vt:i4>5</vt:i4>
      </vt:variant>
      <vt:variant>
        <vt:lpwstr/>
      </vt:variant>
      <vt:variant>
        <vt:lpwstr>_Toc436147515</vt:lpwstr>
      </vt:variant>
      <vt:variant>
        <vt:i4>1245235</vt:i4>
      </vt:variant>
      <vt:variant>
        <vt:i4>59</vt:i4>
      </vt:variant>
      <vt:variant>
        <vt:i4>0</vt:i4>
      </vt:variant>
      <vt:variant>
        <vt:i4>5</vt:i4>
      </vt:variant>
      <vt:variant>
        <vt:lpwstr/>
      </vt:variant>
      <vt:variant>
        <vt:lpwstr>_Toc436147514</vt:lpwstr>
      </vt:variant>
      <vt:variant>
        <vt:i4>1245235</vt:i4>
      </vt:variant>
      <vt:variant>
        <vt:i4>53</vt:i4>
      </vt:variant>
      <vt:variant>
        <vt:i4>0</vt:i4>
      </vt:variant>
      <vt:variant>
        <vt:i4>5</vt:i4>
      </vt:variant>
      <vt:variant>
        <vt:lpwstr/>
      </vt:variant>
      <vt:variant>
        <vt:lpwstr>_Toc436147513</vt:lpwstr>
      </vt:variant>
      <vt:variant>
        <vt:i4>1245235</vt:i4>
      </vt:variant>
      <vt:variant>
        <vt:i4>47</vt:i4>
      </vt:variant>
      <vt:variant>
        <vt:i4>0</vt:i4>
      </vt:variant>
      <vt:variant>
        <vt:i4>5</vt:i4>
      </vt:variant>
      <vt:variant>
        <vt:lpwstr/>
      </vt:variant>
      <vt:variant>
        <vt:lpwstr>_Toc436147512</vt:lpwstr>
      </vt:variant>
      <vt:variant>
        <vt:i4>1245235</vt:i4>
      </vt:variant>
      <vt:variant>
        <vt:i4>41</vt:i4>
      </vt:variant>
      <vt:variant>
        <vt:i4>0</vt:i4>
      </vt:variant>
      <vt:variant>
        <vt:i4>5</vt:i4>
      </vt:variant>
      <vt:variant>
        <vt:lpwstr/>
      </vt:variant>
      <vt:variant>
        <vt:lpwstr>_Toc436147511</vt:lpwstr>
      </vt:variant>
      <vt:variant>
        <vt:i4>1245235</vt:i4>
      </vt:variant>
      <vt:variant>
        <vt:i4>35</vt:i4>
      </vt:variant>
      <vt:variant>
        <vt:i4>0</vt:i4>
      </vt:variant>
      <vt:variant>
        <vt:i4>5</vt:i4>
      </vt:variant>
      <vt:variant>
        <vt:lpwstr/>
      </vt:variant>
      <vt:variant>
        <vt:lpwstr>_Toc436147510</vt:lpwstr>
      </vt:variant>
      <vt:variant>
        <vt:i4>1179699</vt:i4>
      </vt:variant>
      <vt:variant>
        <vt:i4>29</vt:i4>
      </vt:variant>
      <vt:variant>
        <vt:i4>0</vt:i4>
      </vt:variant>
      <vt:variant>
        <vt:i4>5</vt:i4>
      </vt:variant>
      <vt:variant>
        <vt:lpwstr/>
      </vt:variant>
      <vt:variant>
        <vt:lpwstr>_Toc436147509</vt:lpwstr>
      </vt:variant>
      <vt:variant>
        <vt:i4>1179699</vt:i4>
      </vt:variant>
      <vt:variant>
        <vt:i4>23</vt:i4>
      </vt:variant>
      <vt:variant>
        <vt:i4>0</vt:i4>
      </vt:variant>
      <vt:variant>
        <vt:i4>5</vt:i4>
      </vt:variant>
      <vt:variant>
        <vt:lpwstr/>
      </vt:variant>
      <vt:variant>
        <vt:lpwstr>_Toc436147508</vt:lpwstr>
      </vt:variant>
      <vt:variant>
        <vt:i4>1179699</vt:i4>
      </vt:variant>
      <vt:variant>
        <vt:i4>17</vt:i4>
      </vt:variant>
      <vt:variant>
        <vt:i4>0</vt:i4>
      </vt:variant>
      <vt:variant>
        <vt:i4>5</vt:i4>
      </vt:variant>
      <vt:variant>
        <vt:lpwstr/>
      </vt:variant>
      <vt:variant>
        <vt:lpwstr>_Toc436147507</vt:lpwstr>
      </vt:variant>
      <vt:variant>
        <vt:i4>1179699</vt:i4>
      </vt:variant>
      <vt:variant>
        <vt:i4>11</vt:i4>
      </vt:variant>
      <vt:variant>
        <vt:i4>0</vt:i4>
      </vt:variant>
      <vt:variant>
        <vt:i4>5</vt:i4>
      </vt:variant>
      <vt:variant>
        <vt:lpwstr/>
      </vt:variant>
      <vt:variant>
        <vt:lpwstr>_Toc436147506</vt:lpwstr>
      </vt:variant>
      <vt:variant>
        <vt:i4>1179699</vt:i4>
      </vt:variant>
      <vt:variant>
        <vt:i4>5</vt:i4>
      </vt:variant>
      <vt:variant>
        <vt:i4>0</vt:i4>
      </vt:variant>
      <vt:variant>
        <vt:i4>5</vt:i4>
      </vt:variant>
      <vt:variant>
        <vt:lpwstr/>
      </vt:variant>
      <vt:variant>
        <vt:lpwstr>_Toc436147505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国家统计局办公室文件</dc:title>
  <dc:creator>系统管理员(退回后外部签发)</dc:creator>
  <cp:lastModifiedBy>lenovo</cp:lastModifiedBy>
  <cp:revision>128</cp:revision>
  <cp:lastPrinted>2016-06-07T08:02:00Z</cp:lastPrinted>
  <dcterms:created xsi:type="dcterms:W3CDTF">2016-04-28T01:46:00Z</dcterms:created>
  <dcterms:modified xsi:type="dcterms:W3CDTF">2016-06-13T06:57:00Z</dcterms:modified>
</cp:coreProperties>
</file>