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F2" w:rsidRPr="005F55F2" w:rsidRDefault="005F55F2" w:rsidP="005F55F2">
      <w:pPr>
        <w:widowControl/>
        <w:spacing w:line="603" w:lineRule="atLeast"/>
        <w:jc w:val="center"/>
        <w:rPr>
          <w:rFonts w:ascii="微软雅黑" w:eastAsia="微软雅黑" w:hAnsi="微软雅黑" w:cs="宋体"/>
          <w:b/>
          <w:bCs/>
          <w:color w:val="0578C4"/>
          <w:kern w:val="0"/>
          <w:sz w:val="30"/>
          <w:szCs w:val="30"/>
        </w:rPr>
      </w:pPr>
      <w:r w:rsidRPr="005F55F2">
        <w:rPr>
          <w:rFonts w:ascii="微软雅黑" w:eastAsia="微软雅黑" w:hAnsi="微软雅黑" w:cs="宋体" w:hint="eastAsia"/>
          <w:b/>
          <w:bCs/>
          <w:color w:val="0578C4"/>
          <w:kern w:val="0"/>
          <w:sz w:val="30"/>
          <w:szCs w:val="30"/>
        </w:rPr>
        <w:t>国家外汇管理局关于进一步促进外汇市场服务实体经济有关措施的通知</w:t>
      </w:r>
    </w:p>
    <w:p w:rsidR="005F55F2" w:rsidRPr="005F55F2" w:rsidRDefault="005F55F2" w:rsidP="005F55F2">
      <w:pPr>
        <w:widowControl/>
        <w:spacing w:line="502" w:lineRule="atLeast"/>
        <w:jc w:val="left"/>
        <w:rPr>
          <w:rFonts w:ascii="Times New Roman" w:eastAsia="宋体" w:hAnsi="Times New Roman" w:cs="Times New Roman" w:hint="eastAsia"/>
          <w:color w:val="000000"/>
          <w:kern w:val="0"/>
          <w:sz w:val="34"/>
          <w:szCs w:val="34"/>
        </w:rPr>
      </w:pPr>
    </w:p>
    <w:p w:rsidR="005F55F2" w:rsidRPr="005F55F2" w:rsidRDefault="005F55F2" w:rsidP="005F55F2">
      <w:pPr>
        <w:widowControl/>
        <w:spacing w:line="560" w:lineRule="atLeast"/>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国家外汇管理局各省、自治区、直辖市分局、外汇管理部，深圳、大连、青岛、厦门、宁波市分局，各全国性中资银行，中国外汇交易中心、银行间市场清算所股份有限公司：</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为进一步促进外汇市场发展，更好服务市场主体管理外汇风险，现就有关事项通知如下：</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一、金融机构应持续加强服务实体经济汇率风险管理的能力建设</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一）引导客户树立风险中性理念。支持企业管理好汇率风险，综合考虑产品类型、客户分类和套期保值需求特征，为客户办理与其风险承受能力相适应和套期保值需求相一致的外汇衍生品业务，降低生产经营不确定性。注意引导客户遵循</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保值</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而非</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增值</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为核心的汇率风险管理原则，聚焦主业、套保避险。</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（二）坚持实需原则，按照</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了解客户</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了解业务</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和</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尽职审查</w:t>
      </w:r>
      <w:r w:rsidRPr="005F55F2">
        <w:rPr>
          <w:rFonts w:ascii="宋体" w:eastAsia="宋体" w:hAnsi="宋体" w:cs="宋体"/>
          <w:color w:val="000000"/>
          <w:kern w:val="0"/>
          <w:sz w:val="30"/>
          <w:szCs w:val="30"/>
          <w:bdr w:val="none" w:sz="0" w:space="0" w:color="auto" w:frame="1"/>
        </w:rPr>
        <w:t>”</w:t>
      </w:r>
      <w:r w:rsidRPr="005F55F2">
        <w:rPr>
          <w:rFonts w:ascii="仿宋_GB2312" w:eastAsia="仿宋_GB2312" w:hAnsi="宋体" w:cs="宋体" w:hint="eastAsia"/>
          <w:color w:val="000000"/>
          <w:kern w:val="0"/>
          <w:sz w:val="30"/>
          <w:szCs w:val="30"/>
          <w:bdr w:val="none" w:sz="0" w:space="0" w:color="auto" w:frame="1"/>
        </w:rPr>
        <w:t>原则灵活展业。在与客户达成合约前，根据客户拟叙做人民币对外汇衍生品的基础交易实际情况，有针对性地灵活运用客户身份识别、客户适合度评估、交易背景调查、业务单据审核、客户声明或确认函等一种或多种方法确认所办业务是否符合实需原则。</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lastRenderedPageBreak/>
        <w:t>（三）持续提升基层机构外汇衍生品服务能力。强化对中小微企业的汇率风险管理服务，加强面向企业的外汇政策传导，提供精细化和专业化的套期保值服务，充分响应企业对基层外汇服务的需求。</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二、丰富对客户外汇市场产品</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（一）对客户外汇市场新增人民币对外汇普通美式期权、亚式期权及其组合产品。已具备对客户期权业务资格的金融机构，可自行开展上述新产品业务。</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本通知所称普通美式期权，是指期权买方可以在到期日或到期日之前任何一天或到期日前约定的时段行权的标准期权。亚式期权，是指期权结算价或行权价取决于有效期内某一段时间观察值的平均值，分为平均价格期权和平均执行价格期权。</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（二）金融机构为客户办理人民币对外汇衍生品业务，可根据客户外汇风险管理的实际需要，灵活选择反向平仓、全额或差额结算等交易机制。用于确定结算金额使用的参考价应是境内真实、有效的市场汇率。</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对于人民币对外汇衍生品项下的损益、期权费，境内客户应以人民币结算，境外客户可以选择人民币或外币结算，但不得将损益、期权费分别按本外币结算。</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4"/>
          <w:szCs w:val="34"/>
          <w:bdr w:val="none" w:sz="0" w:space="0" w:color="auto" w:frame="1"/>
        </w:rPr>
        <w:t>（三）</w:t>
      </w:r>
      <w:r w:rsidRPr="005F55F2">
        <w:rPr>
          <w:rFonts w:ascii="仿宋_GB2312" w:eastAsia="仿宋_GB2312" w:hAnsi="宋体" w:cs="宋体" w:hint="eastAsia"/>
          <w:color w:val="000000"/>
          <w:kern w:val="0"/>
          <w:sz w:val="30"/>
          <w:szCs w:val="30"/>
          <w:bdr w:val="none" w:sz="0" w:space="0" w:color="auto" w:frame="1"/>
        </w:rPr>
        <w:t>金融机构基于实需原则为客户办理外币对衍生品业务，反向平仓、差额结算产生的损益，可为客户办理相应的结售</w:t>
      </w:r>
      <w:r w:rsidRPr="005F55F2">
        <w:rPr>
          <w:rFonts w:ascii="仿宋_GB2312" w:eastAsia="仿宋_GB2312" w:hAnsi="宋体" w:cs="宋体" w:hint="eastAsia"/>
          <w:color w:val="000000"/>
          <w:kern w:val="0"/>
          <w:sz w:val="30"/>
          <w:szCs w:val="30"/>
          <w:bdr w:val="none" w:sz="0" w:space="0" w:color="auto" w:frame="1"/>
        </w:rPr>
        <w:lastRenderedPageBreak/>
        <w:t>汇。金融机构不得协助客户开展规避外汇管理规定的外币对衍生品业务。</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（四）金融机构与客户开展近远端人民币金额相同、外币金额不同的人民币外汇掉期产生的外汇敞口，可以纳入结售汇综合头寸统一管理。</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三、支持中国外汇交易中心和银行间市场清算所股份有限公司提升外汇市场服务水平</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（一）银行间外汇市场新增人民币对外汇普通美式期权、亚式期权及其组合产品，中国外汇交易中心和银行间市场清算所股份有限公司（以下简称上海清算所）应做好技术支持和市场服务。</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（二）中国外汇交易中心可根据市场需求扩大银行间人民币对外汇衍生品的币种覆盖范围，上海清算所可根据市场需求拓展人民币外汇中央对手清算业务的期限和币种覆盖范围。</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（三）支持中国外汇交易中心完善银企服务平台，实现企业电子化多银行询价、交易和全流程管理，降低企业交易成本，便利企业外汇交易和风险管理。</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四、扩大合作办理人民币对外汇衍生品业务范围</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具备资格银行可向合作银行提供相应产品资格的人民币对外汇合作衍生品业务服务，包括合作远期结售汇、合作外汇掉期、合作货币掉期。符合《银行合作办理人民币对外汇衍生品业务细则》（见附件）要求的合作银行可按规定开展合作人民币对外汇衍生品业务。</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lastRenderedPageBreak/>
        <w:t>前款所称具备资格银行指具备相应衍生产品资格的银行间外汇市场做市商（包括尝试做市机构）及其分支机构。合作银行指境内不具备经营人民币对外汇衍生品业务资格的银行及其分支机构。</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五、支持银行自身外汇风险管理</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（一）银行资本金（营运资金）本外币转换，符合下列情形的，银行可自行审核并留存有关真实性资料后办理，但应提前</w:t>
      </w:r>
      <w:r w:rsidRPr="005F55F2">
        <w:rPr>
          <w:rFonts w:ascii="宋体" w:eastAsia="宋体" w:hAnsi="宋体" w:cs="宋体"/>
          <w:color w:val="000000"/>
          <w:kern w:val="0"/>
          <w:sz w:val="30"/>
          <w:szCs w:val="30"/>
          <w:bdr w:val="none" w:sz="0" w:space="0" w:color="auto" w:frame="1"/>
        </w:rPr>
        <w:t>20</w:t>
      </w:r>
      <w:r w:rsidRPr="005F55F2">
        <w:rPr>
          <w:rFonts w:ascii="仿宋_GB2312" w:eastAsia="仿宋_GB2312" w:hAnsi="宋体" w:cs="宋体" w:hint="eastAsia"/>
          <w:color w:val="000000"/>
          <w:kern w:val="0"/>
          <w:sz w:val="30"/>
          <w:szCs w:val="30"/>
          <w:bdr w:val="none" w:sz="0" w:space="0" w:color="auto" w:frame="1"/>
        </w:rPr>
        <w:t>日书面告知所在地外汇局分局：</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宋体" w:eastAsia="宋体" w:hAnsi="宋体" w:cs="宋体"/>
          <w:color w:val="000000"/>
          <w:kern w:val="0"/>
          <w:sz w:val="30"/>
          <w:szCs w:val="30"/>
          <w:bdr w:val="none" w:sz="0" w:space="0" w:color="auto" w:frame="1"/>
        </w:rPr>
        <w:t>1.</w:t>
      </w:r>
      <w:r w:rsidRPr="005F55F2">
        <w:rPr>
          <w:rFonts w:ascii="仿宋_GB2312" w:eastAsia="仿宋_GB2312" w:hAnsi="宋体" w:cs="宋体" w:hint="eastAsia"/>
          <w:color w:val="000000"/>
          <w:kern w:val="0"/>
          <w:sz w:val="30"/>
          <w:szCs w:val="30"/>
          <w:bdr w:val="none" w:sz="0" w:space="0" w:color="auto" w:frame="1"/>
        </w:rPr>
        <w:t>符合《银行办理结售汇业务管理办法实施细则》（汇发〔</w:t>
      </w:r>
      <w:r w:rsidRPr="005F55F2">
        <w:rPr>
          <w:rFonts w:ascii="宋体" w:eastAsia="宋体" w:hAnsi="宋体" w:cs="宋体"/>
          <w:color w:val="000000"/>
          <w:kern w:val="0"/>
          <w:sz w:val="30"/>
          <w:szCs w:val="30"/>
          <w:bdr w:val="none" w:sz="0" w:space="0" w:color="auto" w:frame="1"/>
        </w:rPr>
        <w:t>2014</w:t>
      </w:r>
      <w:r w:rsidRPr="005F55F2">
        <w:rPr>
          <w:rFonts w:ascii="仿宋_GB2312" w:eastAsia="仿宋_GB2312" w:hAnsi="宋体" w:cs="宋体" w:hint="eastAsia"/>
          <w:color w:val="000000"/>
          <w:kern w:val="0"/>
          <w:sz w:val="30"/>
          <w:szCs w:val="30"/>
          <w:bdr w:val="none" w:sz="0" w:space="0" w:color="auto" w:frame="1"/>
        </w:rPr>
        <w:t>〕</w:t>
      </w:r>
      <w:r w:rsidRPr="005F55F2">
        <w:rPr>
          <w:rFonts w:ascii="宋体" w:eastAsia="宋体" w:hAnsi="宋体" w:cs="宋体"/>
          <w:color w:val="000000"/>
          <w:kern w:val="0"/>
          <w:sz w:val="30"/>
          <w:szCs w:val="30"/>
          <w:bdr w:val="none" w:sz="0" w:space="0" w:color="auto" w:frame="1"/>
        </w:rPr>
        <w:t>53</w:t>
      </w:r>
      <w:r w:rsidRPr="005F55F2">
        <w:rPr>
          <w:rFonts w:ascii="仿宋_GB2312" w:eastAsia="仿宋_GB2312" w:hAnsi="宋体" w:cs="宋体" w:hint="eastAsia"/>
          <w:color w:val="000000"/>
          <w:kern w:val="0"/>
          <w:sz w:val="30"/>
          <w:szCs w:val="30"/>
          <w:bdr w:val="none" w:sz="0" w:space="0" w:color="auto" w:frame="1"/>
        </w:rPr>
        <w:t>号）第二十五条第（一）款要求，本条第（二）款规定的政策性注资情形除外。</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宋体" w:eastAsia="宋体" w:hAnsi="宋体" w:cs="宋体"/>
          <w:color w:val="000000"/>
          <w:kern w:val="0"/>
          <w:sz w:val="30"/>
          <w:szCs w:val="30"/>
          <w:bdr w:val="none" w:sz="0" w:space="0" w:color="auto" w:frame="1"/>
        </w:rPr>
        <w:t>2.</w:t>
      </w:r>
      <w:r w:rsidRPr="005F55F2">
        <w:rPr>
          <w:rFonts w:ascii="仿宋_GB2312" w:eastAsia="仿宋_GB2312" w:hAnsi="宋体" w:cs="宋体" w:hint="eastAsia"/>
          <w:color w:val="000000"/>
          <w:kern w:val="0"/>
          <w:sz w:val="30"/>
          <w:szCs w:val="30"/>
          <w:bdr w:val="none" w:sz="0" w:space="0" w:color="auto" w:frame="1"/>
        </w:rPr>
        <w:t>外资银行因法人化改制或发展人民币业务需要将外汇资本金结汇。</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（二）银行因政策性注资背景产生的资本金（营运资金）本外币转换，仍按照《银行办理结售汇业务管理办法实施细则》（汇发〔</w:t>
      </w:r>
      <w:r w:rsidRPr="005F55F2">
        <w:rPr>
          <w:rFonts w:ascii="宋体" w:eastAsia="宋体" w:hAnsi="宋体" w:cs="宋体"/>
          <w:color w:val="000000"/>
          <w:kern w:val="0"/>
          <w:sz w:val="30"/>
          <w:szCs w:val="30"/>
          <w:bdr w:val="none" w:sz="0" w:space="0" w:color="auto" w:frame="1"/>
        </w:rPr>
        <w:t>2014</w:t>
      </w:r>
      <w:r w:rsidRPr="005F55F2">
        <w:rPr>
          <w:rFonts w:ascii="仿宋_GB2312" w:eastAsia="仿宋_GB2312" w:hAnsi="宋体" w:cs="宋体" w:hint="eastAsia"/>
          <w:color w:val="000000"/>
          <w:kern w:val="0"/>
          <w:sz w:val="30"/>
          <w:szCs w:val="30"/>
          <w:bdr w:val="none" w:sz="0" w:space="0" w:color="auto" w:frame="1"/>
        </w:rPr>
        <w:t>〕</w:t>
      </w:r>
      <w:r w:rsidRPr="005F55F2">
        <w:rPr>
          <w:rFonts w:ascii="宋体" w:eastAsia="宋体" w:hAnsi="宋体" w:cs="宋体"/>
          <w:color w:val="000000"/>
          <w:kern w:val="0"/>
          <w:sz w:val="30"/>
          <w:szCs w:val="30"/>
          <w:bdr w:val="none" w:sz="0" w:space="0" w:color="auto" w:frame="1"/>
        </w:rPr>
        <w:t>53</w:t>
      </w:r>
      <w:r w:rsidRPr="005F55F2">
        <w:rPr>
          <w:rFonts w:ascii="仿宋_GB2312" w:eastAsia="仿宋_GB2312" w:hAnsi="宋体" w:cs="宋体" w:hint="eastAsia"/>
          <w:color w:val="000000"/>
          <w:kern w:val="0"/>
          <w:sz w:val="30"/>
          <w:szCs w:val="30"/>
          <w:bdr w:val="none" w:sz="0" w:space="0" w:color="auto" w:frame="1"/>
        </w:rPr>
        <w:t>号）办理。</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三）银行在境内办理以人民币计价的即期贵金属（包括但不限于黄金、白银、铂金）买卖业务，以及在上海黄金交易所从事的黄金和白银现货延期交收业务，在境外市场平盘贵金属交易敞口而形成的外汇敞口，可自行办理自身结售汇交易平盘。</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（四）银行自身项下的黄金进口、利润、资本金（营运资金，不含政策性注资）、直接投资等形成的外汇敞口，可按照实需原</w:t>
      </w:r>
      <w:r w:rsidRPr="005F55F2">
        <w:rPr>
          <w:rFonts w:ascii="仿宋_GB2312" w:eastAsia="仿宋_GB2312" w:hAnsi="宋体" w:cs="宋体" w:hint="eastAsia"/>
          <w:color w:val="000000"/>
          <w:kern w:val="0"/>
          <w:sz w:val="30"/>
          <w:szCs w:val="30"/>
          <w:bdr w:val="none" w:sz="0" w:space="0" w:color="auto" w:frame="1"/>
        </w:rPr>
        <w:lastRenderedPageBreak/>
        <w:t>则办理人民币对外汇衍生品业务进行套期保值，并应自行留存有关真实性或支持性材料。银行自身项下衍生品交易视同对客衍生品交易纳入银行结售汇统计。</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六、本通知自发布之日起实施。《国家外汇管理局关于合作办理远期结售汇业务有关问题的通知》（汇发〔</w:t>
      </w:r>
      <w:r w:rsidRPr="005F55F2">
        <w:rPr>
          <w:rFonts w:ascii="宋体" w:eastAsia="宋体" w:hAnsi="宋体" w:cs="宋体"/>
          <w:color w:val="000000"/>
          <w:kern w:val="0"/>
          <w:sz w:val="30"/>
          <w:szCs w:val="30"/>
          <w:bdr w:val="none" w:sz="0" w:space="0" w:color="auto" w:frame="1"/>
        </w:rPr>
        <w:t>2010</w:t>
      </w:r>
      <w:r w:rsidRPr="005F55F2">
        <w:rPr>
          <w:rFonts w:ascii="仿宋_GB2312" w:eastAsia="仿宋_GB2312" w:hAnsi="宋体" w:cs="宋体" w:hint="eastAsia"/>
          <w:color w:val="000000"/>
          <w:kern w:val="0"/>
          <w:sz w:val="30"/>
          <w:szCs w:val="30"/>
          <w:bdr w:val="none" w:sz="0" w:space="0" w:color="auto" w:frame="1"/>
        </w:rPr>
        <w:t>〕</w:t>
      </w:r>
      <w:r w:rsidRPr="005F55F2">
        <w:rPr>
          <w:rFonts w:ascii="宋体" w:eastAsia="宋体" w:hAnsi="宋体" w:cs="宋体"/>
          <w:color w:val="000000"/>
          <w:kern w:val="0"/>
          <w:sz w:val="30"/>
          <w:szCs w:val="30"/>
          <w:bdr w:val="none" w:sz="0" w:space="0" w:color="auto" w:frame="1"/>
        </w:rPr>
        <w:t>62</w:t>
      </w:r>
      <w:r w:rsidRPr="005F55F2">
        <w:rPr>
          <w:rFonts w:ascii="仿宋_GB2312" w:eastAsia="仿宋_GB2312" w:hAnsi="宋体" w:cs="宋体" w:hint="eastAsia"/>
          <w:color w:val="000000"/>
          <w:kern w:val="0"/>
          <w:sz w:val="30"/>
          <w:szCs w:val="30"/>
          <w:bdr w:val="none" w:sz="0" w:space="0" w:color="auto" w:frame="1"/>
        </w:rPr>
        <w:t>号）、《国家外汇管理局关于银行贵金属业务汇率敞口外汇管理有关问题的通知》（汇发〔</w:t>
      </w:r>
      <w:r w:rsidRPr="005F55F2">
        <w:rPr>
          <w:rFonts w:ascii="宋体" w:eastAsia="宋体" w:hAnsi="宋体" w:cs="宋体"/>
          <w:color w:val="000000"/>
          <w:kern w:val="0"/>
          <w:sz w:val="30"/>
          <w:szCs w:val="30"/>
          <w:bdr w:val="none" w:sz="0" w:space="0" w:color="auto" w:frame="1"/>
        </w:rPr>
        <w:t>2012</w:t>
      </w:r>
      <w:r w:rsidRPr="005F55F2">
        <w:rPr>
          <w:rFonts w:ascii="仿宋_GB2312" w:eastAsia="仿宋_GB2312" w:hAnsi="宋体" w:cs="宋体" w:hint="eastAsia"/>
          <w:color w:val="000000"/>
          <w:kern w:val="0"/>
          <w:sz w:val="30"/>
          <w:szCs w:val="30"/>
          <w:bdr w:val="none" w:sz="0" w:space="0" w:color="auto" w:frame="1"/>
        </w:rPr>
        <w:t>〕</w:t>
      </w:r>
      <w:r w:rsidRPr="005F55F2">
        <w:rPr>
          <w:rFonts w:ascii="宋体" w:eastAsia="宋体" w:hAnsi="宋体" w:cs="宋体"/>
          <w:color w:val="000000"/>
          <w:kern w:val="0"/>
          <w:sz w:val="30"/>
          <w:szCs w:val="30"/>
          <w:bdr w:val="none" w:sz="0" w:space="0" w:color="auto" w:frame="1"/>
        </w:rPr>
        <w:t>8</w:t>
      </w:r>
      <w:r w:rsidRPr="005F55F2">
        <w:rPr>
          <w:rFonts w:ascii="仿宋_GB2312" w:eastAsia="仿宋_GB2312" w:hAnsi="宋体" w:cs="宋体" w:hint="eastAsia"/>
          <w:color w:val="000000"/>
          <w:kern w:val="0"/>
          <w:sz w:val="30"/>
          <w:szCs w:val="30"/>
          <w:bdr w:val="none" w:sz="0" w:space="0" w:color="auto" w:frame="1"/>
        </w:rPr>
        <w:t>号）和《国家外汇管理局关于完善远期结售汇业务有关外汇管理问题的通知》（汇发〔</w:t>
      </w:r>
      <w:r w:rsidRPr="005F55F2">
        <w:rPr>
          <w:rFonts w:ascii="宋体" w:eastAsia="宋体" w:hAnsi="宋体" w:cs="宋体"/>
          <w:color w:val="000000"/>
          <w:kern w:val="0"/>
          <w:sz w:val="30"/>
          <w:szCs w:val="30"/>
          <w:bdr w:val="none" w:sz="0" w:space="0" w:color="auto" w:frame="1"/>
        </w:rPr>
        <w:t>2018</w:t>
      </w:r>
      <w:r w:rsidRPr="005F55F2">
        <w:rPr>
          <w:rFonts w:ascii="仿宋_GB2312" w:eastAsia="仿宋_GB2312" w:hAnsi="宋体" w:cs="宋体" w:hint="eastAsia"/>
          <w:color w:val="000000"/>
          <w:kern w:val="0"/>
          <w:sz w:val="30"/>
          <w:szCs w:val="30"/>
          <w:bdr w:val="none" w:sz="0" w:space="0" w:color="auto" w:frame="1"/>
        </w:rPr>
        <w:t>〕</w:t>
      </w:r>
      <w:r w:rsidRPr="005F55F2">
        <w:rPr>
          <w:rFonts w:ascii="宋体" w:eastAsia="宋体" w:hAnsi="宋体" w:cs="宋体"/>
          <w:color w:val="000000"/>
          <w:kern w:val="0"/>
          <w:sz w:val="30"/>
          <w:szCs w:val="30"/>
          <w:bdr w:val="none" w:sz="0" w:space="0" w:color="auto" w:frame="1"/>
        </w:rPr>
        <w:t>3</w:t>
      </w:r>
      <w:r w:rsidRPr="005F55F2">
        <w:rPr>
          <w:rFonts w:ascii="仿宋_GB2312" w:eastAsia="仿宋_GB2312" w:hAnsi="宋体" w:cs="宋体" w:hint="eastAsia"/>
          <w:color w:val="000000"/>
          <w:kern w:val="0"/>
          <w:sz w:val="30"/>
          <w:szCs w:val="30"/>
          <w:bdr w:val="none" w:sz="0" w:space="0" w:color="auto" w:frame="1"/>
        </w:rPr>
        <w:t>号）同时废止。此前规定与本通知不一致的，以本通知为准。</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国家外汇管理局各分局、外汇管理部接到本通知后，应立即转发辖内中心支局、支局以及辖内有关金融机构。</w:t>
      </w:r>
    </w:p>
    <w:p w:rsidR="005F55F2" w:rsidRPr="005F55F2" w:rsidRDefault="005F55F2" w:rsidP="005F55F2">
      <w:pPr>
        <w:widowControl/>
        <w:spacing w:line="560" w:lineRule="atLeast"/>
        <w:ind w:firstLine="600"/>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特此通知。</w:t>
      </w:r>
    </w:p>
    <w:p w:rsidR="005F55F2" w:rsidRPr="005F55F2" w:rsidRDefault="005F55F2" w:rsidP="005F55F2">
      <w:pPr>
        <w:widowControl/>
        <w:spacing w:line="502" w:lineRule="atLeast"/>
        <w:jc w:val="left"/>
        <w:rPr>
          <w:rFonts w:ascii="宋体" w:eastAsia="宋体" w:hAnsi="宋体" w:cs="宋体"/>
          <w:color w:val="000000"/>
          <w:kern w:val="0"/>
          <w:sz w:val="24"/>
          <w:szCs w:val="24"/>
        </w:rPr>
      </w:pPr>
      <w:r w:rsidRPr="005F55F2">
        <w:rPr>
          <w:rFonts w:ascii="宋体" w:eastAsia="宋体" w:hAnsi="宋体" w:cs="宋体"/>
          <w:color w:val="000000"/>
          <w:kern w:val="0"/>
          <w:sz w:val="24"/>
          <w:szCs w:val="24"/>
          <w:bdr w:val="none" w:sz="0" w:space="0" w:color="auto" w:frame="1"/>
        </w:rPr>
        <w:t> </w:t>
      </w:r>
    </w:p>
    <w:p w:rsidR="005F55F2" w:rsidRPr="005F55F2" w:rsidRDefault="005F55F2" w:rsidP="005F55F2">
      <w:pPr>
        <w:widowControl/>
        <w:spacing w:line="560" w:lineRule="atLeast"/>
        <w:ind w:firstLine="600"/>
        <w:jc w:val="left"/>
        <w:rPr>
          <w:rFonts w:ascii="宋体" w:eastAsia="宋体" w:hAnsi="宋体" w:cs="宋体"/>
          <w:color w:val="000000"/>
          <w:kern w:val="0"/>
          <w:sz w:val="24"/>
          <w:szCs w:val="24"/>
        </w:rPr>
      </w:pPr>
      <w:r w:rsidRPr="005F55F2">
        <w:rPr>
          <w:rFonts w:ascii="宋体" w:eastAsia="宋体" w:hAnsi="宋体" w:cs="宋体"/>
          <w:color w:val="000000"/>
          <w:kern w:val="0"/>
          <w:sz w:val="30"/>
          <w:szCs w:val="30"/>
          <w:bdr w:val="none" w:sz="0" w:space="0" w:color="auto" w:frame="1"/>
        </w:rPr>
        <w:t> </w:t>
      </w:r>
    </w:p>
    <w:p w:rsidR="005F55F2" w:rsidRPr="005F55F2" w:rsidRDefault="005F55F2" w:rsidP="005F55F2">
      <w:pPr>
        <w:widowControl/>
        <w:spacing w:line="560" w:lineRule="atLeast"/>
        <w:ind w:firstLine="600"/>
        <w:jc w:val="right"/>
        <w:rPr>
          <w:rFonts w:ascii="宋体" w:eastAsia="宋体" w:hAnsi="宋体" w:cs="宋体"/>
          <w:color w:val="000000"/>
          <w:kern w:val="0"/>
          <w:sz w:val="24"/>
          <w:szCs w:val="24"/>
        </w:rPr>
      </w:pPr>
      <w:r w:rsidRPr="005F55F2">
        <w:rPr>
          <w:rFonts w:ascii="仿宋_GB2312" w:eastAsia="仿宋_GB2312" w:hAnsi="宋体" w:cs="宋体" w:hint="eastAsia"/>
          <w:color w:val="000000"/>
          <w:kern w:val="0"/>
          <w:sz w:val="30"/>
          <w:szCs w:val="30"/>
          <w:bdr w:val="none" w:sz="0" w:space="0" w:color="auto" w:frame="1"/>
        </w:rPr>
        <w:t>国家外汇管理局</w:t>
      </w:r>
    </w:p>
    <w:p w:rsidR="005F55F2" w:rsidRPr="005F55F2" w:rsidRDefault="005F55F2" w:rsidP="005F55F2">
      <w:pPr>
        <w:widowControl/>
        <w:spacing w:line="560" w:lineRule="atLeast"/>
        <w:ind w:firstLine="600"/>
        <w:jc w:val="right"/>
        <w:rPr>
          <w:rFonts w:ascii="宋体" w:eastAsia="宋体" w:hAnsi="宋体" w:cs="宋体"/>
          <w:color w:val="000000"/>
          <w:kern w:val="0"/>
          <w:sz w:val="24"/>
          <w:szCs w:val="24"/>
        </w:rPr>
      </w:pPr>
      <w:r w:rsidRPr="005F55F2">
        <w:rPr>
          <w:rFonts w:ascii="宋体" w:eastAsia="宋体" w:hAnsi="宋体" w:cs="宋体"/>
          <w:color w:val="000000"/>
          <w:kern w:val="0"/>
          <w:sz w:val="30"/>
          <w:szCs w:val="30"/>
          <w:bdr w:val="none" w:sz="0" w:space="0" w:color="auto" w:frame="1"/>
        </w:rPr>
        <w:t>2022</w:t>
      </w:r>
      <w:r w:rsidRPr="005F55F2">
        <w:rPr>
          <w:rFonts w:ascii="仿宋_GB2312" w:eastAsia="仿宋_GB2312" w:hAnsi="宋体" w:cs="宋体" w:hint="eastAsia"/>
          <w:color w:val="000000"/>
          <w:kern w:val="0"/>
          <w:sz w:val="30"/>
          <w:szCs w:val="30"/>
          <w:bdr w:val="none" w:sz="0" w:space="0" w:color="auto" w:frame="1"/>
        </w:rPr>
        <w:t>年</w:t>
      </w:r>
      <w:r w:rsidRPr="005F55F2">
        <w:rPr>
          <w:rFonts w:ascii="宋体" w:eastAsia="宋体" w:hAnsi="宋体" w:cs="宋体"/>
          <w:color w:val="000000"/>
          <w:kern w:val="0"/>
          <w:sz w:val="30"/>
          <w:szCs w:val="30"/>
          <w:bdr w:val="none" w:sz="0" w:space="0" w:color="auto" w:frame="1"/>
        </w:rPr>
        <w:t>5</w:t>
      </w:r>
      <w:r w:rsidRPr="005F55F2">
        <w:rPr>
          <w:rFonts w:ascii="仿宋_GB2312" w:eastAsia="仿宋_GB2312" w:hAnsi="宋体" w:cs="宋体" w:hint="eastAsia"/>
          <w:color w:val="000000"/>
          <w:kern w:val="0"/>
          <w:sz w:val="30"/>
          <w:szCs w:val="30"/>
          <w:bdr w:val="none" w:sz="0" w:space="0" w:color="auto" w:frame="1"/>
        </w:rPr>
        <w:t>月</w:t>
      </w:r>
      <w:r w:rsidRPr="005F55F2">
        <w:rPr>
          <w:rFonts w:ascii="宋体" w:eastAsia="宋体" w:hAnsi="宋体" w:cs="宋体"/>
          <w:color w:val="000000"/>
          <w:kern w:val="0"/>
          <w:sz w:val="30"/>
          <w:szCs w:val="30"/>
          <w:bdr w:val="none" w:sz="0" w:space="0" w:color="auto" w:frame="1"/>
        </w:rPr>
        <w:t>12</w:t>
      </w:r>
      <w:r w:rsidRPr="005F55F2">
        <w:rPr>
          <w:rFonts w:ascii="仿宋_GB2312" w:eastAsia="仿宋_GB2312" w:hAnsi="宋体" w:cs="宋体" w:hint="eastAsia"/>
          <w:color w:val="000000"/>
          <w:kern w:val="0"/>
          <w:sz w:val="30"/>
          <w:szCs w:val="30"/>
          <w:bdr w:val="none" w:sz="0" w:space="0" w:color="auto" w:frame="1"/>
        </w:rPr>
        <w:t>日</w:t>
      </w:r>
    </w:p>
    <w:p w:rsidR="00D12FC8" w:rsidRDefault="00D12FC8"/>
    <w:sectPr w:rsidR="00D12FC8" w:rsidSect="00D12F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55F2"/>
    <w:rsid w:val="002735B2"/>
    <w:rsid w:val="005F55F2"/>
    <w:rsid w:val="00D12FC8"/>
    <w:rsid w:val="00FF3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5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F55F2"/>
    <w:rPr>
      <w:color w:val="0000FF"/>
      <w:u w:val="single"/>
    </w:rPr>
  </w:style>
</w:styles>
</file>

<file path=word/webSettings.xml><?xml version="1.0" encoding="utf-8"?>
<w:webSettings xmlns:r="http://schemas.openxmlformats.org/officeDocument/2006/relationships" xmlns:w="http://schemas.openxmlformats.org/wordprocessingml/2006/main">
  <w:divs>
    <w:div w:id="2115519897">
      <w:bodyDiv w:val="1"/>
      <w:marLeft w:val="0"/>
      <w:marRight w:val="0"/>
      <w:marTop w:val="0"/>
      <w:marBottom w:val="0"/>
      <w:divBdr>
        <w:top w:val="none" w:sz="0" w:space="0" w:color="auto"/>
        <w:left w:val="none" w:sz="0" w:space="0" w:color="auto"/>
        <w:bottom w:val="none" w:sz="0" w:space="0" w:color="auto"/>
        <w:right w:val="none" w:sz="0" w:space="0" w:color="auto"/>
      </w:divBdr>
      <w:divsChild>
        <w:div w:id="1876655194">
          <w:marLeft w:val="0"/>
          <w:marRight w:val="0"/>
          <w:marTop w:val="486"/>
          <w:marBottom w:val="0"/>
          <w:divBdr>
            <w:top w:val="none" w:sz="0" w:space="0" w:color="auto"/>
            <w:left w:val="none" w:sz="0" w:space="0" w:color="auto"/>
            <w:bottom w:val="none" w:sz="0" w:space="0" w:color="auto"/>
            <w:right w:val="none" w:sz="0" w:space="0" w:color="auto"/>
          </w:divBdr>
        </w:div>
        <w:div w:id="945581981">
          <w:marLeft w:val="0"/>
          <w:marRight w:val="0"/>
          <w:marTop w:val="4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王炯/厦门/PBC</dc:creator>
  <cp:lastModifiedBy>王炯/厦门/PBC</cp:lastModifiedBy>
  <cp:revision>1</cp:revision>
  <dcterms:created xsi:type="dcterms:W3CDTF">2022-06-21T01:58:00Z</dcterms:created>
  <dcterms:modified xsi:type="dcterms:W3CDTF">2022-06-21T01:59:00Z</dcterms:modified>
</cp:coreProperties>
</file>