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Default="00223445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57014</w:t>
      </w:r>
      <w:r w:rsidR="00DB71A7" w:rsidRPr="00DB71A7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pt">
            <v:imagedata r:id="rId7" o:title=""/>
          </v:shape>
        </w:pict>
      </w:r>
    </w:p>
    <w:p w:rsidR="00AE63C7" w:rsidRDefault="00AE63C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AE63C7" w:rsidRDefault="00223445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保险、证券公司等非银行金融机构外汇业务市场准入、退出审批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AE63C7" w:rsidRDefault="00AE63C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E63C7" w:rsidRDefault="00AE63C7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AE63C7" w:rsidRDefault="00223445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发布日期：2021年</w:t>
      </w:r>
      <w:r w:rsidR="003E111F"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3E111F">
        <w:rPr>
          <w:rFonts w:ascii="仿宋_GB2312" w:eastAsia="仿宋_GB2312" w:hAnsi="Times New Roman" w:cs="Times New Roman" w:hint="eastAsia"/>
          <w:sz w:val="30"/>
          <w:szCs w:val="30"/>
        </w:rPr>
        <w:t>9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AE63C7" w:rsidRDefault="00223445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实施日期：2021年</w:t>
      </w:r>
      <w:r w:rsidR="003E111F"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3E111F">
        <w:rPr>
          <w:rFonts w:ascii="仿宋_GB2312" w:eastAsia="仿宋_GB2312" w:hAnsi="Times New Roman" w:cs="Times New Roman" w:hint="eastAsia"/>
          <w:sz w:val="30"/>
          <w:szCs w:val="30"/>
        </w:rPr>
        <w:t>9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AE63C7" w:rsidRDefault="0022344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</w:t>
      </w:r>
      <w:r w:rsidR="003E111F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AE63C7" w:rsidRDefault="00AE63C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AE63C7" w:rsidRDefault="00AE63C7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AE63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bookmarkStart w:id="0" w:name="_GoBack"/>
      <w:bookmarkEnd w:id="0"/>
    </w:p>
    <w:p w:rsidR="00AE63C7" w:rsidRDefault="00402495">
      <w:pPr>
        <w:adjustRightIn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 xml:space="preserve">    </w:t>
      </w:r>
      <w:r w:rsidR="00223445"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AE63C7" w:rsidRDefault="00223445">
      <w:pPr>
        <w:adjustRightIn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项目名称：保险、证券公司等非银行金融机构外汇业务市场准入、退出审批；</w:t>
      </w:r>
    </w:p>
    <w:p w:rsidR="00AE63C7" w:rsidRDefault="00223445">
      <w:pPr>
        <w:adjustRightIn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57014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AE63C7" w:rsidRDefault="00223445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AE63C7" w:rsidRDefault="00223445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AE63C7" w:rsidRDefault="00223445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保险、证券公司等非银行金融机构外汇业务市场准入、退出审批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AE63C7" w:rsidRDefault="00223445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AE63C7" w:rsidRDefault="00223445" w:rsidP="00BE70C4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E70C4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BE70C4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BE70C4">
        <w:rPr>
          <w:rFonts w:ascii="Times New Roman" w:eastAsia="仿宋_GB2312" w:hAnsi="Times New Roman" w:cs="Times New Roman"/>
          <w:sz w:val="30"/>
          <w:szCs w:val="30"/>
        </w:rPr>
        <w:t>号）第二十四条</w:t>
      </w:r>
      <w:r w:rsidR="0008642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E63C7" w:rsidRDefault="00223445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四、保险机构外汇业务市场准入审批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CC4D5F" w:rsidRPr="00086425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86425">
        <w:rPr>
          <w:rFonts w:ascii="Times New Roman" w:eastAsia="仿宋_GB2312" w:hAnsi="Times New Roman" w:cs="Times New Roman"/>
          <w:sz w:val="30"/>
          <w:szCs w:val="30"/>
        </w:rPr>
        <w:t>1.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《经常项目外汇业务指引（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2020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年版）》（汇发〔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2020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〕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14</w:t>
      </w:r>
      <w:r w:rsidR="00CC4D5F" w:rsidRPr="00CC4D5F">
        <w:rPr>
          <w:rFonts w:ascii="Times New Roman" w:eastAsia="仿宋_GB2312" w:hAnsi="Times New Roman" w:cs="Times New Roman"/>
          <w:sz w:val="30"/>
          <w:szCs w:val="30"/>
        </w:rPr>
        <w:t>号文印发）第九十六条</w:t>
      </w:r>
      <w:r w:rsidR="00086425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1D0B67" w:rsidRDefault="001D0B67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86425"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 w:rsidRPr="00086425">
        <w:rPr>
          <w:rFonts w:ascii="Times New Roman" w:eastAsia="仿宋_GB2312" w:hAnsi="Times New Roman" w:cs="Times New Roman" w:hint="eastAsia"/>
          <w:sz w:val="30"/>
          <w:szCs w:val="30"/>
        </w:rPr>
        <w:t>《国家外汇管理局行政许可实施办法》（国家外汇管理局公告</w:t>
      </w:r>
      <w:r w:rsidRPr="00086425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Pr="00086425">
        <w:rPr>
          <w:rFonts w:ascii="Times New Roman" w:eastAsia="仿宋_GB2312" w:hAnsi="Times New Roman" w:cs="Times New Roman" w:hint="eastAsia"/>
          <w:sz w:val="30"/>
          <w:szCs w:val="30"/>
        </w:rPr>
        <w:t>年第</w:t>
      </w:r>
      <w:r w:rsidRPr="00086425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086425">
        <w:rPr>
          <w:rFonts w:ascii="Times New Roman" w:eastAsia="仿宋_GB2312" w:hAnsi="Times New Roman" w:cs="Times New Roman" w:hint="eastAsia"/>
          <w:sz w:val="30"/>
          <w:szCs w:val="30"/>
        </w:rPr>
        <w:t>号）</w:t>
      </w:r>
      <w:r w:rsidR="0008642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</w:t>
      </w:r>
      <w:r w:rsidR="003E111F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分局。咨询电话：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</w:t>
      </w:r>
      <w:r w:rsidR="003E111F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="003E111F">
        <w:rPr>
          <w:rFonts w:ascii="Times New Roman" w:eastAsia="仿宋_GB2312" w:hAnsi="Times New Roman" w:cs="Times New Roman" w:hint="eastAsia"/>
          <w:sz w:val="30"/>
          <w:szCs w:val="30"/>
        </w:rPr>
        <w:t>2320139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3E111F">
        <w:rPr>
          <w:rFonts w:ascii="Times New Roman" w:eastAsia="仿宋_GB2312" w:hAnsi="Times New Roman" w:cs="Times New Roman" w:hint="eastAsia"/>
          <w:sz w:val="30"/>
          <w:szCs w:val="30"/>
        </w:rPr>
        <w:t>23209939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</w:t>
      </w:r>
      <w:r w:rsidR="003E111F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分局。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（四）审批数量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申请人为保险机构，应同时符合以下条件：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准在境内依法登记注册；</w:t>
      </w:r>
    </w:p>
    <w:p w:rsidR="00AE63C7" w:rsidRDefault="00223445">
      <w:pPr>
        <w:pStyle w:val="Default"/>
        <w:spacing w:line="360" w:lineRule="auto"/>
        <w:ind w:firstLineChars="200" w:firstLine="6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具有完备的与外汇保险业务相应的内部管理制度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近三年未发生情节严重的违法违规行为、未受到保险行业主管部门或国家外汇管理局等部门行政处罚。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禁止性要求：申请材料不齐全，不符合法规规定。</w:t>
      </w:r>
    </w:p>
    <w:p w:rsidR="00AE63C7" w:rsidRDefault="00223445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AE63C7" w:rsidRDefault="0022344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保险机构外汇业务市场审批</w:t>
      </w:r>
      <w:r>
        <w:rPr>
          <w:rFonts w:ascii="Times New Roman" w:eastAsia="仿宋_GB2312" w:hAnsi="Times New Roman" w:cs="Times New Roman"/>
          <w:sz w:val="30"/>
          <w:szCs w:val="30"/>
        </w:rPr>
        <w:t>新办申请材料清单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AE63C7" w:rsidRDefault="0022344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AE63C7" w:rsidRDefault="00223445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自由贸易试验区内保险公司免于提供</w:t>
            </w: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E63C7" w:rsidRDefault="0022344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保险机构外汇业务市场审批</w:t>
      </w:r>
      <w:r>
        <w:rPr>
          <w:rFonts w:ascii="Times New Roman" w:eastAsia="仿宋_GB2312" w:hAnsi="Times New Roman" w:cs="Times New Roman"/>
          <w:sz w:val="30"/>
          <w:szCs w:val="30"/>
        </w:rPr>
        <w:t>变更申请材料清单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号</w:t>
            </w:r>
          </w:p>
        </w:tc>
        <w:tc>
          <w:tcPr>
            <w:tcW w:w="262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提交材料名称</w:t>
            </w:r>
          </w:p>
        </w:tc>
        <w:tc>
          <w:tcPr>
            <w:tcW w:w="1235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复印件</w:t>
            </w:r>
          </w:p>
        </w:tc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份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数</w:t>
            </w:r>
          </w:p>
        </w:tc>
        <w:tc>
          <w:tcPr>
            <w:tcW w:w="86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2519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要求</w:t>
            </w:r>
          </w:p>
        </w:tc>
        <w:tc>
          <w:tcPr>
            <w:tcW w:w="457" w:type="dxa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注</w:t>
            </w: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E63C7"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准其名称变更的文件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、保险行业主管部门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AE63C7" w:rsidRDefault="002234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 w:rsidR="00AE63C7" w:rsidRDefault="0022344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自营业执照变更之日起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个工作日内提交</w:t>
            </w:r>
          </w:p>
        </w:tc>
        <w:tc>
          <w:tcPr>
            <w:tcW w:w="457" w:type="dxa"/>
          </w:tcPr>
          <w:p w:rsidR="00AE63C7" w:rsidRDefault="00AE63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申请人可向国家外汇管理局</w:t>
      </w:r>
      <w:r w:rsidR="003E111F">
        <w:rPr>
          <w:rFonts w:ascii="仿宋_GB2312" w:eastAsia="仿宋_GB2312" w:hAnsi="Times New Roman" w:hint="eastAsia"/>
          <w:sz w:val="30"/>
          <w:szCs w:val="30"/>
        </w:rPr>
        <w:t>天津市</w:t>
      </w:r>
      <w:r>
        <w:rPr>
          <w:rFonts w:ascii="仿宋_GB2312" w:eastAsia="仿宋_GB2312" w:hAnsi="Times New Roman" w:hint="eastAsia"/>
          <w:sz w:val="30"/>
          <w:szCs w:val="30"/>
        </w:rPr>
        <w:t>分局经常项目管理处提交材料。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AE63C7" w:rsidRDefault="00223445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AE63C7" w:rsidRDefault="00223445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AE63C7" w:rsidRDefault="00223445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予以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AE63C7" w:rsidRDefault="00223445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AE63C7" w:rsidRDefault="00223445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AE63C7" w:rsidRDefault="00223445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AE63C7" w:rsidRDefault="00223445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AE63C7" w:rsidRDefault="00223445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AE63C7" w:rsidRDefault="00223445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针对新办、变更申请，出具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E63C7" w:rsidRDefault="00223445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AE63C7" w:rsidRDefault="00223445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AE63C7" w:rsidRDefault="00223445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AE63C7" w:rsidRDefault="00223445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AE63C7" w:rsidRDefault="00223445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</w:t>
      </w:r>
      <w:r>
        <w:rPr>
          <w:rFonts w:ascii="Times New Roman" w:eastAsia="黑体" w:hAnsi="Times New Roman" w:cs="Times New Roman" w:hint="eastAsia"/>
          <w:sz w:val="30"/>
          <w:szCs w:val="30"/>
        </w:rPr>
        <w:t>咨询途径、监督和投诉、公开查询方式等</w:t>
      </w:r>
    </w:p>
    <w:p w:rsidR="00AE63C7" w:rsidRDefault="00223445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向注册所在地外汇局进行咨询、办理进程查询、监督和投诉等，可通过国家外汇管理局官方互联网站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链接至</w:t>
      </w:r>
      <w:r w:rsidR="001A13F4" w:rsidRPr="00AA784D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 w:rsidR="001A13F4" w:rsidRPr="00AA784D">
        <w:rPr>
          <w:rFonts w:ascii="Times New Roman" w:eastAsia="仿宋_GB2312" w:hAnsi="Times New Roman" w:cs="Times New Roman"/>
          <w:sz w:val="30"/>
          <w:szCs w:val="30"/>
        </w:rPr>
        <w:t>分局</w:t>
      </w:r>
      <w:r w:rsidR="001A13F4" w:rsidRPr="00AA784D">
        <w:rPr>
          <w:rFonts w:ascii="Times New Roman" w:eastAsia="仿宋_GB2312" w:hAnsi="Times New Roman" w:cs="Times New Roman"/>
          <w:sz w:val="30"/>
          <w:szCs w:val="30"/>
        </w:rPr>
        <w:t>“</w:t>
      </w:r>
      <w:r w:rsidR="001A13F4" w:rsidRPr="00AA784D">
        <w:rPr>
          <w:rFonts w:ascii="Times New Roman" w:eastAsia="仿宋_GB2312" w:hAnsi="Times New Roman" w:cs="Times New Roman" w:hint="eastAsia"/>
          <w:sz w:val="30"/>
          <w:szCs w:val="30"/>
        </w:rPr>
        <w:t>咨询反馈——联系我们</w:t>
      </w:r>
      <w:r w:rsidR="001A13F4" w:rsidRPr="00AA784D">
        <w:rPr>
          <w:rFonts w:ascii="Times New Roman" w:eastAsia="仿宋_GB2312" w:hAnsi="Times New Roman" w:cs="Times New Roman"/>
          <w:sz w:val="30"/>
          <w:szCs w:val="30"/>
        </w:rPr>
        <w:t>”</w:t>
      </w:r>
      <w:r w:rsidR="001A13F4" w:rsidRPr="00AA784D">
        <w:rPr>
          <w:rFonts w:ascii="Times New Roman" w:eastAsia="仿宋_GB2312" w:hAnsi="Times New Roman" w:cs="Times New Roman"/>
          <w:sz w:val="30"/>
          <w:szCs w:val="30"/>
        </w:rPr>
        <w:t>栏目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公布的电话进行。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（十六）事项审查类型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402495" w:rsidRPr="001F7752" w:rsidRDefault="00223445" w:rsidP="00402495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（十七）</w:t>
      </w:r>
      <w:r w:rsidR="00402495" w:rsidRPr="001F7752">
        <w:rPr>
          <w:rFonts w:ascii="Times New Roman" w:eastAsia="黑体" w:hAnsi="Times New Roman" w:cs="Times New Roman"/>
          <w:sz w:val="30"/>
          <w:szCs w:val="30"/>
        </w:rPr>
        <w:t>办公地址和时间</w:t>
      </w:r>
    </w:p>
    <w:p w:rsidR="00402495" w:rsidRPr="001F7752" w:rsidRDefault="00402495" w:rsidP="00402495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F7752">
        <w:rPr>
          <w:rFonts w:ascii="仿宋_GB2312" w:eastAsia="仿宋_GB2312" w:hint="eastAsia"/>
          <w:sz w:val="30"/>
          <w:szCs w:val="30"/>
        </w:rPr>
        <w:t>国家外汇管理局天津市分局办公地址：天津市和平区解放北路117号；办公时间：周一至周五上午</w:t>
      </w:r>
      <w:r w:rsidRPr="001F7752">
        <w:rPr>
          <w:rFonts w:ascii="仿宋_GB2312" w:eastAsia="仿宋_GB2312"/>
          <w:sz w:val="30"/>
          <w:szCs w:val="30"/>
        </w:rPr>
        <w:t>8:30-12:00</w:t>
      </w:r>
      <w:r w:rsidRPr="001F7752">
        <w:rPr>
          <w:rFonts w:ascii="仿宋_GB2312" w:eastAsia="仿宋_GB2312" w:hint="eastAsia"/>
          <w:sz w:val="30"/>
          <w:szCs w:val="30"/>
        </w:rPr>
        <w:t>、下午</w:t>
      </w:r>
      <w:r w:rsidRPr="001F7752">
        <w:rPr>
          <w:rFonts w:ascii="仿宋_GB2312" w:eastAsia="仿宋_GB2312"/>
          <w:sz w:val="30"/>
          <w:szCs w:val="30"/>
        </w:rPr>
        <w:t>14:00-</w:t>
      </w:r>
      <w:r w:rsidRPr="001F7752">
        <w:rPr>
          <w:rFonts w:ascii="仿宋_GB2312" w:eastAsia="仿宋_GB2312" w:hint="eastAsia"/>
          <w:sz w:val="30"/>
          <w:szCs w:val="30"/>
        </w:rPr>
        <w:t>17</w:t>
      </w:r>
      <w:r w:rsidRPr="001F7752">
        <w:rPr>
          <w:rFonts w:ascii="仿宋_GB2312" w:eastAsia="仿宋_GB2312"/>
          <w:sz w:val="30"/>
          <w:szCs w:val="30"/>
        </w:rPr>
        <w:t>:</w:t>
      </w:r>
      <w:r w:rsidRPr="001F7752">
        <w:rPr>
          <w:rFonts w:ascii="仿宋_GB2312" w:eastAsia="仿宋_GB2312" w:hint="eastAsia"/>
          <w:sz w:val="30"/>
          <w:szCs w:val="30"/>
        </w:rPr>
        <w:t>00(法定节假日除外)。</w:t>
      </w:r>
    </w:p>
    <w:p w:rsidR="00AE63C7" w:rsidRDefault="003E111F" w:rsidP="0040249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（十八）</w:t>
      </w:r>
      <w:r w:rsidR="00223445">
        <w:rPr>
          <w:rFonts w:ascii="Times New Roman" w:eastAsia="黑体" w:hAnsi="Times New Roman" w:cs="Times New Roman" w:hint="eastAsia"/>
          <w:sz w:val="30"/>
          <w:szCs w:val="30"/>
        </w:rPr>
        <w:t>申请材料示范文本</w:t>
      </w:r>
    </w:p>
    <w:p w:rsidR="00AE63C7" w:rsidRDefault="00223445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XX</w:t>
      </w:r>
      <w:r>
        <w:rPr>
          <w:rFonts w:ascii="Times New Roman" w:eastAsia="黑体" w:hAnsi="Times New Roman" w:cs="Times New Roman" w:hint="eastAsia"/>
          <w:sz w:val="30"/>
          <w:szCs w:val="30"/>
        </w:rPr>
        <w:t>保险公司关于经营外汇保险业务的申请</w:t>
      </w:r>
    </w:p>
    <w:p w:rsidR="00AE63C7" w:rsidRDefault="00AE63C7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E63C7" w:rsidRDefault="0022344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国家外汇管理局XX分局：</w:t>
      </w:r>
    </w:p>
    <w:p w:rsidR="00AE63C7" w:rsidRDefault="00223445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 w:rsidR="00AE63C7" w:rsidRDefault="00AE63C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AE63C7" w:rsidRDefault="00223445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具体情况介绍（如拟申请经营外汇保险业务的范围、公司经营情况、相关内部管理制度等）</w:t>
      </w:r>
    </w:p>
    <w:p w:rsidR="00AE63C7" w:rsidRDefault="00AE63C7">
      <w:pPr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AE63C7" w:rsidRDefault="00AE63C7">
      <w:pPr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AE63C7" w:rsidRDefault="00AE63C7">
      <w:pPr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AE63C7" w:rsidRDefault="00223445">
      <w:pPr>
        <w:ind w:right="300" w:firstLineChars="200" w:firstLine="600"/>
        <w:jc w:val="right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XX保险公司</w:t>
      </w:r>
    </w:p>
    <w:p w:rsidR="00AE63C7" w:rsidRDefault="00223445">
      <w:pPr>
        <w:ind w:firstLineChars="200" w:firstLine="600"/>
        <w:jc w:val="righ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XXXX年X月X日</w:t>
      </w:r>
    </w:p>
    <w:p w:rsidR="00140820" w:rsidRDefault="00140820" w:rsidP="00140820">
      <w:pPr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XX</w:t>
      </w:r>
      <w:r>
        <w:rPr>
          <w:rFonts w:ascii="Times New Roman" w:eastAsia="黑体" w:hAnsi="Times New Roman" w:cs="Times New Roman" w:hint="eastAsia"/>
          <w:sz w:val="30"/>
          <w:szCs w:val="30"/>
        </w:rPr>
        <w:t>保险公司关于变更外汇保险业务范围（或机构名称）的申请</w:t>
      </w:r>
    </w:p>
    <w:p w:rsidR="00140820" w:rsidRDefault="00140820" w:rsidP="00140820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国家外汇管理局XX分局：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具体情况说明（如目前经营外汇保险业务的范围、公司经营</w:t>
      </w:r>
      <w:r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情况、变更外汇保险业务范围（或机构名称）的原因及具体情况等）</w:t>
      </w:r>
    </w:p>
    <w:p w:rsidR="00140820" w:rsidRDefault="00140820" w:rsidP="00140820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right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XX保险公司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XXXX年X月X日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（十八）常见问题解答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申请材料对内部管理制度有何要求？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与申请外汇保险业务相应的内部管理制度，包括但不限于业务操作流程、资金管理和数据报送等内容。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个工作日内可以批复。</w:t>
      </w:r>
    </w:p>
    <w:p w:rsidR="00140820" w:rsidRDefault="00140820" w:rsidP="0014082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（十九）常见错误示例</w:t>
      </w:r>
    </w:p>
    <w:p w:rsidR="003E111F" w:rsidRDefault="00140820" w:rsidP="00140820">
      <w:pPr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申请材料未明确业务范围，</w:t>
      </w:r>
      <w:r>
        <w:rPr>
          <w:rFonts w:ascii="仿宋_GB2312" w:eastAsia="仿宋_GB2312" w:hint="eastAsia"/>
          <w:sz w:val="30"/>
          <w:szCs w:val="30"/>
        </w:rPr>
        <w:t>内部管理制度缺少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操作流程、资金管理和数据报送等内容。</w:t>
      </w:r>
    </w:p>
    <w:p w:rsidR="00AE63C7" w:rsidRDefault="00223445" w:rsidP="00140820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AE63C7" w:rsidRDefault="00223445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E63C7" w:rsidRDefault="00AE63C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E63C7" w:rsidRDefault="00DB71A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307" o:spid="_x0000_s1027" type="#_x0000_t116" style="position:absolute;left:0;text-align:left;margin-left:-17.75pt;margin-top:9.4pt;width:123.35pt;height:58.6pt;z-index:19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 w:rsidR="00AE63C7" w:rsidRDefault="00AE63C7"/>
              </w:txbxContent>
            </v:textbox>
          </v:shape>
        </w:pict>
      </w:r>
    </w:p>
    <w:p w:rsidR="00AE63C7" w:rsidRDefault="00AE63C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E63C7" w:rsidRDefault="00DB71A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.6pt;margin-top:7.7pt;width:.05pt;height:69.55pt;z-index:20" o:preferrelative="t" filled="t">
            <v:stroke miterlimit="2"/>
          </v:shape>
        </w:pict>
      </w:r>
      <w:r w:rsidRPr="00DB71A7">
        <w:rPr>
          <w:rFonts w:ascii="Times New Roman" w:eastAsia="黑体" w:hAnsi="Times New Roman" w:cs="Times New Roman"/>
          <w:sz w:val="30"/>
          <w:szCs w:val="30"/>
        </w:rPr>
        <w:pict>
          <v:rect id="Rectangle 299" o:spid="_x0000_s1029" style="position:absolute;left:0;text-align:left;margin-left:273.6pt;margin-top:.65pt;width:146.45pt;height:36pt;z-index:11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申请人补全材料</w:t>
                  </w:r>
                </w:p>
                <w:p w:rsidR="00AE63C7" w:rsidRDefault="00AE63C7"/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291" o:spid="_x0000_s1030" type="#_x0000_t32" style="position:absolute;left:0;text-align:left;margin-left:41.45pt;margin-top:22.25pt;width:232.15pt;height:.05pt;flip:x;z-index:4" o:preferrelative="t" filled="t">
            <v:stroke endarrow="block" miterlimit="2"/>
          </v:shape>
        </w:pict>
      </w:r>
    </w:p>
    <w:p w:rsidR="00AE63C7" w:rsidRDefault="00DB71A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290" o:spid="_x0000_s1031" type="#_x0000_t32" style="position:absolute;left:0;text-align:left;margin-left:345.35pt;margin-top:6.8pt;width:.05pt;height:44.75pt;flip:y;z-index:3" o:preferrelative="t" filled="t">
            <v:stroke endarrow="block" miterlimit="2"/>
          </v:shape>
        </w:pict>
      </w:r>
    </w:p>
    <w:p w:rsidR="00AE63C7" w:rsidRDefault="00AE63C7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AE63C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E63C7" w:rsidRDefault="00DB71A7">
      <w:pPr>
        <w:ind w:right="300"/>
      </w:pPr>
      <w:r w:rsidRPr="00DB71A7">
        <w:rPr>
          <w:sz w:val="30"/>
        </w:rPr>
        <w:lastRenderedPageBreak/>
        <w:pict>
          <v:line id="直线 26" o:spid="_x0000_s1032" style="position:absolute;left:0;text-align:left;z-index:21" from="144.3pt,36.85pt" to="145.05pt,89.35pt" o:preferrelative="t" strokeweight=".5pt">
            <v:stroke miterlimit="2"/>
          </v:lin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96" o:spid="_x0000_s1033" type="#_x0000_t110" style="position:absolute;left:0;text-align:left;margin-left:-39.9pt;margin-top:14.35pt;width:157.5pt;height:105.75pt;z-index:9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9" o:spid="_x0000_s1034" type="#_x0000_t34" style="position:absolute;left:0;text-align:left;margin-left:2in;margin-top:89pt;width:25.95pt;height:.05pt;z-index:2" o:preferrelative="t" adj="10779" filled="t">
            <v:stroke endarrow="block"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288" o:spid="_x0000_s1035" type="#_x0000_t32" style="position:absolute;left:0;text-align:left;margin-left:144.75pt;margin-top:37.45pt;width:25.2pt;height:.05pt;z-index:1" o:preferrelative="t" filled="t">
            <v:stroke endarrow="block"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298" o:spid="_x0000_s1036" type="#_x0000_t32" style="position:absolute;left:0;text-align:left;margin-left:118.35pt;margin-top:67.4pt;width:25.65pt;height:.05pt;z-index:10" o:preferrelative="t" filled="t">
            <v:stroke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rect id="Rectangle 301" o:spid="_x0000_s1037" style="position:absolute;left:0;text-align:left;margin-left:170.7pt;margin-top:67.4pt;width:272pt;height:40.55pt;z-index:13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00" o:spid="_x0000_s1038" type="#_x0000_t109" style="position:absolute;left:0;text-align:left;margin-left:169.95pt;margin-top:20.35pt;width:272pt;height:29.35pt;z-index:12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295" o:spid="_x0000_s1039" type="#_x0000_t32" style="position:absolute;left:0;text-align:left;margin-left:41.35pt;margin-top:181.35pt;width:41.1pt;height:.05pt;z-index:8" o:preferrelative="t" filled="t">
            <v:stroke endarrow="block"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306" o:spid="_x0000_s1040" type="#_x0000_t32" style="position:absolute;left:0;text-align:left;margin-left:236pt;margin-top:261.9pt;width:63.3pt;height:.75pt;flip:y;z-index:18" o:preferrelative="t" filled="t">
            <v:stroke endarrow="block"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305" o:spid="_x0000_s1041" type="#_x0000_t109" style="position:absolute;left:0;text-align:left;margin-left:299.3pt;margin-top:242.85pt;width:114.9pt;height:38.3pt;z-index:17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依法作出不予许可决定</w:t>
                  </w:r>
                </w:p>
                <w:p w:rsidR="00AE63C7" w:rsidRDefault="00AE63C7"/>
              </w:txbxContent>
            </v:textbox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302" o:spid="_x0000_s1042" type="#_x0000_t109" style="position:absolute;left:0;text-align:left;margin-left:82.6pt;margin-top:163.85pt;width:161.35pt;height:40.75pt;z-index:14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依法应予受理的，出具受理单</w:t>
                  </w:r>
                </w:p>
                <w:p w:rsidR="00AE63C7" w:rsidRDefault="00AE63C7"/>
              </w:txbxContent>
            </v:textbox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304" o:spid="_x0000_s1043" type="#_x0000_t109" style="position:absolute;left:0;text-align:left;margin-left:82.6pt;margin-top:345.8pt;width:149.35pt;height:37.85pt;z-index:16" o:preferrelative="t">
            <v:stroke miterlimit="2"/>
            <v:textbox>
              <w:txbxContent>
                <w:p w:rsidR="00AE63C7" w:rsidRDefault="00223445"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 w:rsidR="00AE63C7" w:rsidRDefault="00AE63C7"/>
              </w:txbxContent>
            </v:textbox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293" o:spid="_x0000_s1044" type="#_x0000_t32" style="position:absolute;left:0;text-align:left;margin-left:159.3pt;margin-top:300.55pt;width:.05pt;height:45.25pt;z-index:6" o:preferrelative="t" filled="t">
            <v:stroke endarrow="block"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303" o:spid="_x0000_s1045" type="#_x0000_t110" style="position:absolute;left:0;text-align:left;margin-left:82.8pt;margin-top:226.45pt;width:153.2pt;height:72.2pt;z-index:15" o:preferrelative="t">
            <v:stroke miterlimit="2"/>
            <v:textbox>
              <w:txbxContent>
                <w:p w:rsidR="00AE63C7" w:rsidRDefault="00223445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292" o:spid="_x0000_s1046" type="#_x0000_t32" style="position:absolute;left:0;text-align:left;margin-left:160.1pt;margin-top:204.6pt;width:.05pt;height:21.85pt;z-index:5" o:preferrelative="t" filled="t">
            <v:stroke endarrow="block" miterlimit="2"/>
          </v:shape>
        </w:pict>
      </w:r>
      <w:r w:rsidRPr="00DB71A7">
        <w:rPr>
          <w:rFonts w:ascii="Times New Roman" w:eastAsia="仿宋_GB2312" w:hAnsi="Times New Roman" w:cs="Times New Roman"/>
          <w:sz w:val="30"/>
          <w:szCs w:val="30"/>
        </w:rPr>
        <w:pict>
          <v:shape id="AutoShape 294" o:spid="_x0000_s1047" type="#_x0000_t32" style="position:absolute;left:0;text-align:left;margin-left:41.35pt;margin-top:111.05pt;width:.05pt;height:69.55pt;z-index:7" o:preferrelative="t" filled="t">
            <v:stroke miterlimit="2"/>
          </v:shape>
        </w:pict>
      </w:r>
    </w:p>
    <w:sectPr w:rsidR="00AE63C7" w:rsidSect="00AE63C7">
      <w:footerReference w:type="default" r:id="rId14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8E" w:rsidRDefault="00543E8E" w:rsidP="00AE63C7">
      <w:r>
        <w:separator/>
      </w:r>
    </w:p>
  </w:endnote>
  <w:endnote w:type="continuationSeparator" w:id="1">
    <w:p w:rsidR="00543E8E" w:rsidRDefault="00543E8E" w:rsidP="00AE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A2" w:rsidRDefault="00326F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7" w:rsidRDefault="00DB71A7">
    <w:pPr>
      <w:pStyle w:val="a6"/>
      <w:jc w:val="center"/>
    </w:pPr>
    <w:r w:rsidRPr="00DB71A7">
      <w:fldChar w:fldCharType="begin"/>
    </w:r>
    <w:r w:rsidR="00223445">
      <w:instrText xml:space="preserve"> PAGE   \* MERGEFORMAT </w:instrText>
    </w:r>
    <w:r w:rsidRPr="00DB71A7">
      <w:fldChar w:fldCharType="separate"/>
    </w:r>
    <w:r w:rsidR="00BE70C4" w:rsidRPr="00BE70C4">
      <w:rPr>
        <w:noProof/>
        <w:lang w:val="zh-CN"/>
      </w:rPr>
      <w:t>2</w:t>
    </w:r>
    <w:r>
      <w:rPr>
        <w:lang w:val="zh-CN"/>
      </w:rPr>
      <w:fldChar w:fldCharType="end"/>
    </w:r>
  </w:p>
  <w:p w:rsidR="00AE63C7" w:rsidRDefault="00AE63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A2" w:rsidRDefault="00326FA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C7" w:rsidRDefault="00DB71A7">
    <w:pPr>
      <w:pStyle w:val="a6"/>
      <w:jc w:val="center"/>
    </w:pPr>
    <w:r w:rsidRPr="00DB71A7">
      <w:fldChar w:fldCharType="begin"/>
    </w:r>
    <w:r w:rsidR="00223445">
      <w:instrText xml:space="preserve"> PAGE   \* MERGEFORMAT </w:instrText>
    </w:r>
    <w:r w:rsidRPr="00DB71A7">
      <w:fldChar w:fldCharType="separate"/>
    </w:r>
    <w:r w:rsidR="00223445">
      <w:rPr>
        <w:lang w:val="zh-CN"/>
      </w:rPr>
      <w:t>75</w:t>
    </w:r>
    <w:r>
      <w:rPr>
        <w:lang w:val="zh-CN"/>
      </w:rPr>
      <w:fldChar w:fldCharType="end"/>
    </w:r>
  </w:p>
  <w:p w:rsidR="00AE63C7" w:rsidRDefault="00AE6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8E" w:rsidRDefault="00543E8E" w:rsidP="00AE63C7">
      <w:r>
        <w:separator/>
      </w:r>
    </w:p>
  </w:footnote>
  <w:footnote w:type="continuationSeparator" w:id="1">
    <w:p w:rsidR="00543E8E" w:rsidRDefault="00543E8E" w:rsidP="00AE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A2" w:rsidRDefault="00326F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A2" w:rsidRDefault="00326F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A2" w:rsidRDefault="00326F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242C"/>
    <w:rsid w:val="00086425"/>
    <w:rsid w:val="00140820"/>
    <w:rsid w:val="00172A27"/>
    <w:rsid w:val="001A13F4"/>
    <w:rsid w:val="001D0B67"/>
    <w:rsid w:val="00223445"/>
    <w:rsid w:val="00326FA2"/>
    <w:rsid w:val="003E111F"/>
    <w:rsid w:val="00402495"/>
    <w:rsid w:val="004F5537"/>
    <w:rsid w:val="00543E8E"/>
    <w:rsid w:val="006833AB"/>
    <w:rsid w:val="007905C1"/>
    <w:rsid w:val="00984225"/>
    <w:rsid w:val="00AB3947"/>
    <w:rsid w:val="00AE63C7"/>
    <w:rsid w:val="00BE70C4"/>
    <w:rsid w:val="00CC4D5F"/>
    <w:rsid w:val="00DB6B00"/>
    <w:rsid w:val="00DB71A7"/>
    <w:rsid w:val="00EE57F0"/>
    <w:rsid w:val="00F53DA5"/>
    <w:rsid w:val="00F85EDC"/>
    <w:rsid w:val="0A113593"/>
    <w:rsid w:val="29322E73"/>
    <w:rsid w:val="62E96CD5"/>
    <w:rsid w:val="655A3D56"/>
    <w:rsid w:val="75D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2" type="connector" idref="#_x0000_s1028"/>
        <o:r id="V:Rule13" type="connector" idref="#AutoShape 292"/>
        <o:r id="V:Rule14" type="connector" idref="#AutoShape 291"/>
        <o:r id="V:Rule15" type="connector" idref="#AutoShape 295"/>
        <o:r id="V:Rule16" type="connector" idref="#AutoShape 298"/>
        <o:r id="V:Rule17" type="connector" idref="#AutoShape 290"/>
        <o:r id="V:Rule18" type="connector" idref="#AutoShape 288"/>
        <o:r id="V:Rule19" type="connector" idref="#AutoShape 289"/>
        <o:r id="V:Rule20" type="connector" idref="#AutoShape 294"/>
        <o:r id="V:Rule21" type="connector" idref="#AutoShape 306"/>
        <o:r id="V:Rule22" type="connector" idref="#AutoShape 2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3C7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AE63C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E63C7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AE63C7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AE63C7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AE63C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E6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AE6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AE63C7"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E6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AE6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E63C7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rsid w:val="00AE63C7"/>
    <w:rPr>
      <w:sz w:val="21"/>
      <w:szCs w:val="21"/>
    </w:rPr>
  </w:style>
  <w:style w:type="character" w:styleId="ac">
    <w:name w:val="footnote reference"/>
    <w:unhideWhenUsed/>
    <w:qFormat/>
    <w:rsid w:val="00AE63C7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AE63C7"/>
    <w:pPr>
      <w:ind w:firstLineChars="200" w:firstLine="420"/>
    </w:pPr>
  </w:style>
  <w:style w:type="paragraph" w:customStyle="1" w:styleId="Default">
    <w:name w:val="Default"/>
    <w:uiPriority w:val="99"/>
    <w:rsid w:val="00AE63C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AE6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AE63C7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AE63C7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AE63C7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AE63C7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AE63C7"/>
    <w:pPr>
      <w:widowControl/>
    </w:pPr>
    <w:rPr>
      <w:rFonts w:cs="宋体"/>
      <w:kern w:val="0"/>
      <w:szCs w:val="21"/>
    </w:rPr>
  </w:style>
  <w:style w:type="character" w:customStyle="1" w:styleId="Char4">
    <w:name w:val="脚注文本 Char"/>
    <w:basedOn w:val="a0"/>
    <w:uiPriority w:val="99"/>
    <w:semiHidden/>
    <w:rsid w:val="00AE63C7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AE63C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E63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AE63C7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AE63C7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AE63C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AE63C7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AE63C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63C7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AE63C7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AE63C7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AE63C7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AE63C7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AE63C7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AE63C7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AE63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361</Words>
  <Characters>2064</Characters>
  <Application>Microsoft Office Word</Application>
  <DocSecurity>0</DocSecurity>
  <Lines>17</Lines>
  <Paragraphs>4</Paragraphs>
  <ScaleCrop>false</ScaleCrop>
  <Company>Lenovo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编号：57014               _x0001_</dc:title>
  <dc:creator>裴建君2</dc:creator>
  <cp:lastModifiedBy>陈瑶</cp:lastModifiedBy>
  <cp:revision>9</cp:revision>
  <cp:lastPrinted>2017-12-26T09:10:00Z</cp:lastPrinted>
  <dcterms:created xsi:type="dcterms:W3CDTF">2020-02-26T11:29:00Z</dcterms:created>
  <dcterms:modified xsi:type="dcterms:W3CDTF">2024-03-06T02:50:00Z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