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rPr>
          <w:rFonts w:ascii="Times New Roman" w:hAnsi="Times New Roman" w:eastAsia="黑体" w:cs="Times New Roman"/>
          <w:sz w:val="48"/>
          <w:szCs w:val="48"/>
        </w:rPr>
      </w:pPr>
      <w:r>
        <w:rPr>
          <w:rFonts w:ascii="Times New Roman" w:hAnsi="Times New Roman" w:eastAsia="黑体" w:cs="Times New Roman"/>
          <w:sz w:val="48"/>
          <w:szCs w:val="48"/>
        </w:rPr>
        <w:t>编号：57006</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 1" o:spid="_x0000_s1026" type="#_x0000_t75" style="height:69.75pt;width:87.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“境内机构外债、对外或有负债</w:t>
      </w:r>
      <w:r>
        <w:rPr>
          <w:rFonts w:hint="eastAsia" w:ascii="Times New Roman" w:hAnsi="Times New Roman" w:eastAsia="黑体" w:cs="Times New Roman"/>
          <w:sz w:val="52"/>
          <w:szCs w:val="52"/>
        </w:rPr>
        <w:t>、外债转贷款</w:t>
      </w:r>
      <w:r>
        <w:rPr>
          <w:rFonts w:ascii="Times New Roman" w:hAnsi="Times New Roman" w:eastAsia="黑体" w:cs="Times New Roman"/>
          <w:sz w:val="52"/>
          <w:szCs w:val="52"/>
        </w:rPr>
        <w:t xml:space="preserve">审批、登记及履约核准” </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行政审批服务指南</w:t>
      </w:r>
    </w:p>
    <w:p>
      <w:pPr>
        <w:ind w:right="300"/>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widowControl w:val="0"/>
        <w:wordWrap/>
        <w:adjustRightInd/>
        <w:snapToGrid/>
        <w:spacing w:line="240" w:lineRule="auto"/>
        <w:ind w:left="0" w:leftChars="0" w:right="300" w:firstLine="0" w:firstLineChars="0"/>
        <w:jc w:val="center"/>
        <w:textAlignment w:val="auto"/>
        <w:outlineLvl w:val="9"/>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深圳市分局</w: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pPr>
    </w:p>
    <w:p>
      <w:pPr>
        <w:pStyle w:val="20"/>
        <w:adjustRightInd w:val="0"/>
        <w:snapToGrid w:val="0"/>
        <w:spacing w:line="360" w:lineRule="auto"/>
        <w:ind w:firstLine="0" w:firstLineChars="0"/>
        <w:outlineLvl w:val="0"/>
        <w:rPr>
          <w:rFonts w:ascii="Times New Roman" w:hAnsi="Times New Roman" w:eastAsia="黑体"/>
          <w:sz w:val="30"/>
          <w:szCs w:val="30"/>
        </w:rPr>
      </w:pPr>
      <w:r>
        <w:rPr>
          <w:rFonts w:ascii="Times New Roman" w:hAnsi="Times New Roman" w:eastAsia="黑体"/>
          <w:sz w:val="30"/>
          <w:szCs w:val="30"/>
        </w:rPr>
        <w:t xml:space="preserve">    一、项目信息</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项目名称：境内机构外债、对外或有负债</w:t>
      </w:r>
      <w:r>
        <w:rPr>
          <w:rFonts w:hint="eastAsia" w:ascii="Times New Roman" w:hAnsi="Times New Roman" w:eastAsia="仿宋_GB2312"/>
          <w:sz w:val="30"/>
          <w:szCs w:val="30"/>
        </w:rPr>
        <w:t>、外债转贷款</w:t>
      </w:r>
      <w:r>
        <w:rPr>
          <w:rFonts w:ascii="Times New Roman" w:hAnsi="Times New Roman" w:eastAsia="仿宋_GB2312"/>
          <w:sz w:val="30"/>
          <w:szCs w:val="30"/>
        </w:rPr>
        <w:t>审批、登记及履约核准；</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项目编号：57006；</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审批类别：行政许可；</w:t>
      </w:r>
    </w:p>
    <w:p>
      <w:pPr>
        <w:pStyle w:val="20"/>
        <w:adjustRightInd w:val="0"/>
        <w:snapToGrid w:val="0"/>
        <w:spacing w:line="360" w:lineRule="auto"/>
        <w:ind w:firstLine="600"/>
        <w:rPr>
          <w:rFonts w:ascii="Times New Roman" w:hAnsi="Times New Roman" w:eastAsia="仿宋_GB2312"/>
          <w:sz w:val="30"/>
          <w:szCs w:val="30"/>
        </w:rPr>
      </w:pPr>
      <w:r>
        <w:rPr>
          <w:rFonts w:ascii="Times New Roman" w:hAnsi="Times New Roman" w:eastAsia="仿宋_GB2312"/>
          <w:sz w:val="30"/>
          <w:szCs w:val="30"/>
        </w:rPr>
        <w:t>审查类型：前审后批。</w:t>
      </w:r>
    </w:p>
    <w:p>
      <w:pPr>
        <w:numPr>
          <w:ilvl w:val="0"/>
          <w:numId w:val="1"/>
        </w:num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适用范围</w:t>
      </w: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仿宋_GB2312" w:cs="Times New Roman"/>
          <w:sz w:val="30"/>
          <w:szCs w:val="30"/>
        </w:rPr>
        <w:t xml:space="preserve">    本指南适用于“境内机构外债、对外或有负债、</w:t>
      </w:r>
      <w:r>
        <w:rPr>
          <w:rFonts w:hint="eastAsia" w:ascii="Times New Roman" w:hAnsi="Times New Roman" w:eastAsia="仿宋_GB2312"/>
          <w:sz w:val="30"/>
          <w:szCs w:val="30"/>
        </w:rPr>
        <w:t>外债转贷款</w:t>
      </w:r>
      <w:r>
        <w:rPr>
          <w:rFonts w:ascii="Times New Roman" w:hAnsi="Times New Roman" w:eastAsia="仿宋_GB2312"/>
          <w:sz w:val="30"/>
          <w:szCs w:val="30"/>
        </w:rPr>
        <w:t>审批</w:t>
      </w:r>
      <w:r>
        <w:rPr>
          <w:rFonts w:hint="eastAsia" w:ascii="Times New Roman" w:hAnsi="Times New Roman" w:eastAsia="仿宋_GB2312"/>
          <w:sz w:val="30"/>
          <w:szCs w:val="30"/>
        </w:rPr>
        <w:t>、</w:t>
      </w:r>
      <w:r>
        <w:rPr>
          <w:rFonts w:ascii="Times New Roman" w:hAnsi="Times New Roman" w:eastAsia="仿宋_GB2312" w:cs="Times New Roman"/>
          <w:sz w:val="30"/>
          <w:szCs w:val="30"/>
        </w:rPr>
        <w:t>登记及履约核准”的申请和办理。</w:t>
      </w:r>
    </w:p>
    <w:p>
      <w:pPr>
        <w:numPr>
          <w:ilvl w:val="0"/>
          <w:numId w:val="2"/>
        </w:num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（一）《中华人民共和国外汇管理条例》（国务院令第532号）第十八条：“国家对外债实行规模管理。借用外债应当按照国家有关规定办理，并到外汇管理机关办理外债登记”；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二）《中华人民共和国外汇管理条例》（国务院令第532号）第十九条：“提供对外担保，应当向外汇管理机关提出申请，由外汇管理机关根据申请人的资产负债等情况作出批准或者不批准的决定。申请人签订对外担保合同后，应到外汇管理机关办理对外担保登记。经国务院批准为使用外国政府或者国际金融组织贷款进行转贷提供对外担保的除外。国家规定境内机构的经营范围需经有关主管部门批准的，应当在向外汇管理机关提出申请前办理批准手续”；</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（三）《国务院对确需保留的行政审批项目设定行政许可的决定》（国务院令第412号）附件第471项“境内机构外债、外债转贷款、对外担保履约核准”；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（四）《国务院对确需保留的行政审批项目设定行政许可的决定》（国务院令第412号）附件第485项“境内外资金融机构短期外债核准”；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（五）《外债管理暂行办法》（国家发展计划委员会、财政部、国家外汇管理局令第28号）第十六条：“国家对境内中资机构举借短期国际商业贷款实行余额管理，余额由国家外汇管理局核定”。</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四、境内机构短期外债余额指标核准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2.《境内机构借用国际商业贷款管理办法》（〔97〕汇政发字06号）。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3.《境内外资银行外债管理办法》（国家发展和改革委员会 中国人民银行 中国银行业监督管理委员会令2004年第9号）。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4.《国家外汇管理局关于发布〈外债登记管理办法〉的通知》（汇发〔2013〕19号）。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5.《中国人民银行关于全口径跨境融资宏观审慎管理有关事宜的通知》（银发〔2017〕9号）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w:t>
      </w:r>
      <w:r>
        <w:rPr>
          <w:rFonts w:ascii="Times New Roman" w:hAnsi="Times New Roman" w:eastAsia="仿宋_GB2312" w:cs="Times New Roman"/>
          <w:sz w:val="30"/>
          <w:szCs w:val="30"/>
        </w:rPr>
        <w:t>.其他相关法规。</w:t>
      </w:r>
    </w:p>
    <w:p>
      <w:pPr>
        <w:numPr>
          <w:ilvl w:val="0"/>
          <w:numId w:val="3"/>
        </w:num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申请人所在地国家外汇管理局分局（外汇管理部）。</w:t>
      </w:r>
    </w:p>
    <w:p>
      <w:pPr>
        <w:numPr>
          <w:ilvl w:val="0"/>
          <w:numId w:val="4"/>
        </w:num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决定机构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 xml:space="preserve">国家外汇管理局或申请人所在地国家外汇管理局分局（外汇管理部）。 </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numPr>
          <w:ilvl w:val="0"/>
          <w:numId w:val="5"/>
        </w:num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办事条件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1.金融机构需同时符合以下条件：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（1）短期外债使用无不良记录。</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（2）外汇局根据中、外资银行对外汇资金的实际合理需求，根据公平原则，参考上年度指标使用情况、同规模银行一般水平和当年度短期外债余额调控目标等因素为银行核定短期外债指标。</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2.非金融企业需同时符合以下条件：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（1）属于国家鼓励行业，具有对外贸易经营权。</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（2）过去三年内连续盈利，或经营趋势良好。</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（3）具有完善的财务管理制度和内控制度。</w:t>
      </w:r>
    </w:p>
    <w:p>
      <w:pPr>
        <w:adjustRightInd w:val="0"/>
        <w:snapToGrid w:val="0"/>
        <w:spacing w:line="360" w:lineRule="auto"/>
        <w:ind w:firstLine="600"/>
        <w:rPr>
          <w:rFonts w:ascii="Times New Roman" w:hAnsi="Times New Roman" w:eastAsia="仿宋_GB2312" w:cs="Times New Roman"/>
          <w:b/>
          <w:sz w:val="30"/>
          <w:szCs w:val="30"/>
        </w:rPr>
      </w:pPr>
      <w:r>
        <w:rPr>
          <w:rFonts w:ascii="Times New Roman" w:hAnsi="Times New Roman" w:eastAsia="仿宋_GB2312" w:cs="Times New Roman"/>
          <w:sz w:val="30"/>
          <w:szCs w:val="30"/>
        </w:rPr>
        <w:t>3.禁止性要求：如符合上述条件，不存在不予许可的情况。</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黑体" w:cs="Times New Roman"/>
          <w:sz w:val="30"/>
          <w:szCs w:val="30"/>
        </w:rPr>
        <w:t>（六）申请材料</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1.金融机构短期外债余额指标申请材料</w:t>
      </w:r>
    </w:p>
    <w:tbl>
      <w:tblPr>
        <w:tblStyle w:val="1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254"/>
        <w:gridCol w:w="992"/>
        <w:gridCol w:w="567"/>
        <w:gridCol w:w="851"/>
        <w:gridCol w:w="56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25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5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加盖公章的</w:t>
            </w:r>
            <w:r>
              <w:rPr>
                <w:rFonts w:ascii="Times New Roman" w:hAnsi="Times New Roman" w:eastAsia="仿宋_GB2312" w:cs="Times New Roman"/>
                <w:sz w:val="24"/>
                <w:szCs w:val="24"/>
              </w:rPr>
              <w:t>原件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25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上年度资产负债表和损益表</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25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流动性需要或资金用途有关的证明材料</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25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境外总行或地区管理部门批准的对中国境内债务人的年度授信限额文件（外资金融机构的境内非法人分支机构提供）</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425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境外总行授权文件（“短期外债管理行”提供）</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numPr>
          <w:ilvl w:val="0"/>
          <w:numId w:val="6"/>
        </w:numPr>
        <w:ind w:right="300"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非金融企业短期外债余额指标申请材料</w:t>
      </w:r>
    </w:p>
    <w:tbl>
      <w:tblPr>
        <w:tblStyle w:val="1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474"/>
        <w:gridCol w:w="952"/>
        <w:gridCol w:w="457"/>
        <w:gridCol w:w="845"/>
        <w:gridCol w:w="490"/>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47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5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4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490"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7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47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95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加盖公章的</w:t>
            </w:r>
            <w:r>
              <w:rPr>
                <w:rFonts w:ascii="Times New Roman" w:hAnsi="Times New Roman" w:eastAsia="仿宋_GB2312" w:cs="Times New Roman"/>
                <w:sz w:val="24"/>
                <w:szCs w:val="24"/>
              </w:rPr>
              <w:t>原件</w:t>
            </w:r>
          </w:p>
        </w:tc>
        <w:tc>
          <w:tcPr>
            <w:tcW w:w="45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0"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771"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47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上年度资产负债表和损益表</w:t>
            </w:r>
          </w:p>
        </w:tc>
        <w:tc>
          <w:tcPr>
            <w:tcW w:w="95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0" w:type="dxa"/>
            <w:vAlign w:val="center"/>
          </w:tcPr>
          <w:p>
            <w:pPr>
              <w:jc w:val="left"/>
              <w:rPr>
                <w:rFonts w:ascii="Times New Roman" w:hAnsi="Times New Roman" w:eastAsia="仿宋_GB2312" w:cs="Times New Roman"/>
                <w:sz w:val="24"/>
                <w:szCs w:val="24"/>
              </w:rPr>
            </w:pPr>
          </w:p>
        </w:tc>
        <w:tc>
          <w:tcPr>
            <w:tcW w:w="77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47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上年度外汇收支情况。</w:t>
            </w:r>
          </w:p>
        </w:tc>
        <w:tc>
          <w:tcPr>
            <w:tcW w:w="95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0" w:type="dxa"/>
            <w:vAlign w:val="center"/>
          </w:tcPr>
          <w:p>
            <w:pPr>
              <w:jc w:val="left"/>
              <w:rPr>
                <w:rFonts w:ascii="Times New Roman" w:hAnsi="Times New Roman" w:eastAsia="仿宋_GB2312" w:cs="Times New Roman"/>
                <w:sz w:val="24"/>
                <w:szCs w:val="24"/>
              </w:rPr>
            </w:pPr>
          </w:p>
        </w:tc>
        <w:tc>
          <w:tcPr>
            <w:tcW w:w="77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474"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信贷机构出具的承诺贷款的意向书</w:t>
            </w:r>
          </w:p>
        </w:tc>
        <w:tc>
          <w:tcPr>
            <w:tcW w:w="95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45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490" w:type="dxa"/>
            <w:vAlign w:val="center"/>
          </w:tcPr>
          <w:p>
            <w:pPr>
              <w:jc w:val="left"/>
              <w:rPr>
                <w:rFonts w:ascii="Times New Roman" w:hAnsi="Times New Roman" w:eastAsia="仿宋_GB2312" w:cs="Times New Roman"/>
                <w:sz w:val="24"/>
                <w:szCs w:val="24"/>
              </w:rPr>
            </w:pPr>
          </w:p>
        </w:tc>
        <w:tc>
          <w:tcPr>
            <w:tcW w:w="77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spacing w:line="360" w:lineRule="auto"/>
        <w:ind w:firstLine="600" w:firstLineChars="200"/>
        <w:outlineLvl w:val="0"/>
        <w:rPr>
          <w:rFonts w:ascii="Times New Roman" w:hAnsi="Times New Roman" w:eastAsia="黑体" w:cs="Times New Roman"/>
          <w:sz w:val="30"/>
          <w:szCs w:val="30"/>
        </w:rPr>
      </w:pPr>
    </w:p>
    <w:p>
      <w:pPr>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申请人可通过所在地外汇局分局（外汇管理部）业务窗口提交材料。</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jc w:val="left"/>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（十一）审批收费依据及标准</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不收费。</w:t>
      </w:r>
    </w:p>
    <w:p>
      <w:p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（十二）审批结果</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（十五）咨询途径、监督和投诉、公开查询方式等</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向国家外汇管理局深圳市分局咨询、监督投诉等可通过国家外汇管理局深圳市分局官方互联网站咨询反馈栏目进行。网址为www.safe.gov.cn/shenzhen/。</w:t>
      </w:r>
    </w:p>
    <w:p>
      <w:pPr>
        <w:adjustRightInd w:val="0"/>
        <w:snapToGrid w:val="0"/>
        <w:spacing w:line="540" w:lineRule="exact"/>
        <w:ind w:firstLine="600"/>
        <w:rPr>
          <w:rFonts w:hint="eastAsia" w:ascii="Times New Roman" w:hAnsi="Times New Roman" w:eastAsia="黑体" w:cs="Times New Roman"/>
          <w:sz w:val="30"/>
          <w:szCs w:val="30"/>
        </w:rPr>
      </w:pPr>
      <w:r>
        <w:rPr>
          <w:rFonts w:hint="eastAsia" w:ascii="Times New Roman" w:hAnsi="Times New Roman" w:eastAsia="黑体" w:cs="Times New Roman"/>
          <w:sz w:val="30"/>
          <w:szCs w:val="30"/>
          <w:lang w:eastAsia="zh-CN"/>
        </w:rPr>
        <w:t>（十六）</w:t>
      </w:r>
      <w:r>
        <w:rPr>
          <w:rFonts w:hint="eastAsia" w:ascii="Times New Roman" w:hAnsi="Times New Roman" w:eastAsia="黑体" w:cs="Times New Roman"/>
          <w:sz w:val="30"/>
          <w:szCs w:val="30"/>
        </w:rPr>
        <w:t>办公地址和时间</w:t>
      </w:r>
    </w:p>
    <w:p>
      <w:pPr>
        <w:widowControl/>
        <w:ind w:firstLine="600" w:firstLineChars="200"/>
        <w:jc w:val="left"/>
        <w:rPr>
          <w:rFonts w:hint="eastAsia" w:ascii="Times New Roman" w:hAnsi="Times New Roman" w:eastAsia="仿宋_GB2312" w:cs="Times New Roman"/>
          <w:sz w:val="30"/>
          <w:szCs w:val="30"/>
        </w:rPr>
      </w:pPr>
      <w:bookmarkStart w:id="0" w:name="_GoBack"/>
      <w:r>
        <w:rPr>
          <w:rFonts w:hint="eastAsia" w:ascii="Times New Roman" w:hAnsi="Times New Roman" w:eastAsia="仿宋_GB2312" w:cs="Times New Roman"/>
          <w:sz w:val="30"/>
          <w:szCs w:val="30"/>
        </w:rPr>
        <w:t>国家外汇管理局深圳市分局办公地址：深圳市罗湖区深南东路5006号。</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办公时间：周一至周五（法定节假日除外）  </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rPr>
        <w:t>上午8:30至中午12:00</w:t>
      </w:r>
    </w:p>
    <w:p>
      <w:pPr>
        <w:widowControl/>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 xml:space="preserve">          </w:t>
      </w:r>
      <w:r>
        <w:rPr>
          <w:rFonts w:hint="eastAsia" w:ascii="Times New Roman" w:hAnsi="Times New Roman" w:eastAsia="仿宋_GB2312" w:cs="Times New Roman"/>
          <w:sz w:val="30"/>
          <w:szCs w:val="30"/>
        </w:rPr>
        <w:t>下午14:00至下午17:30</w:t>
      </w:r>
      <w:bookmarkEnd w:id="0"/>
      <w:r>
        <w:rPr>
          <w:rFonts w:ascii="Times New Roman" w:hAnsi="Times New Roman" w:eastAsia="仿宋_GB2312" w:cs="Times New Roman"/>
          <w:sz w:val="30"/>
          <w:szCs w:val="30"/>
        </w:rPr>
        <w:br w:type="page"/>
      </w: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left="567" w:right="300" w:hanging="567" w:hangingChars="189"/>
        <w:jc w:val="center"/>
        <w:rPr>
          <w:rFonts w:hint="eastAsia" w:ascii="Times New Roman" w:hAnsi="Times New Roman" w:eastAsia="黑体" w:cs="Times New Roman"/>
          <w:sz w:val="30"/>
          <w:szCs w:val="30"/>
        </w:rPr>
      </w:pPr>
      <w:r>
        <w:rPr>
          <w:rFonts w:ascii="Times New Roman" w:hAnsi="Times New Roman" w:eastAsia="黑体" w:cs="Times New Roman"/>
          <w:sz w:val="30"/>
          <w:szCs w:val="30"/>
        </w:rPr>
        <w:t>基本流程图</w:t>
      </w:r>
    </w:p>
    <w:p>
      <w:pPr>
        <w:ind w:left="567" w:right="300" w:hanging="567" w:hangingChars="189"/>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Group 2" o:spid="_x0000_s1027" style="position:absolute;left:0;margin-left:-37.1pt;margin-top:5.6pt;height:665.15pt;width:491.25pt;rotation:0f;z-index:251658240;" coordorigin="1599,1560" coordsize="9010,13628">
            <o:lock v:ext="edit" position="f" selection="f" grouping="f" rotation="f" cropping="f" text="f" aspectratio="f"/>
            <v:shape id="AutoShape 3" o:spid="_x0000_s1028" type="#_x0000_t32" style="position:absolute;left:6566;top:10994;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4" o:spid="_x0000_s1029" style="position:absolute;left:1599;top:1560;height:13628;width:9010;rotation:0f;" coordorigin="1599,1560" coordsize="9010,13628">
              <o:lock v:ext="edit" position="f" selection="f" grouping="f" rotation="f" cropping="f" text="f" aspectratio="f"/>
              <v:shape id="AutoShape 5" o:spid="_x0000_s1030" type="#_x0000_t32" style="position:absolute;left:6565;top:11899;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6" o:spid="_x0000_s1031" style="position:absolute;left:1599;top:1560;height:13628;width:9010;rotation:0f;" coordorigin="1599,1560" coordsize="9010,13628">
                <o:lock v:ext="edit" position="f" selection="f" grouping="f" rotation="f" cropping="f" text="f" aspectratio="f"/>
                <v:rect id="Rectangle 7" o:spid="_x0000_s1032" style="position:absolute;left:5057;top:11620;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国家外汇管理局审核</w:t>
                        </w:r>
                      </w:p>
                    </w:txbxContent>
                  </v:textbox>
                </v:rect>
                <v:shape id="AutoShape 8" o:spid="_x0000_s1033" type="#_x0000_t32" style="position:absolute;left:3999;top:12614;height:567;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9" o:spid="_x0000_s1034" type="#_x0000_t32" style="position:absolute;left:9017;top:12614;height:607;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0" o:spid="_x0000_s1035" type="#_x0000_t32" style="position:absolute;left:4013;top:12614;height:0;width:4987;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1" o:spid="_x0000_s1036" type="#_x0000_t116" style="position:absolute;left:7492;top:13201;height:1329;width:3117;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p>
                        <w:pPr>
                          <w:jc w:val="center"/>
                        </w:pPr>
                      </w:p>
                    </w:txbxContent>
                  </v:textbox>
                </v:shape>
                <v:shape id="AutoShape 12" o:spid="_x0000_s1037" type="#_x0000_t116" style="position:absolute;left:2034;top:14510;height:678;width:479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初审外汇局出具批复文件，并送达</w:t>
                        </w:r>
                      </w:p>
                    </w:txbxContent>
                  </v:textbox>
                </v:shape>
                <v:rect id="Rectangle 13" o:spid="_x0000_s1038" style="position:absolute;left:2294;top:13181;height:859;width:3461;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w:t>
                        </w:r>
                      </w:p>
                      <w:p>
                        <w:pPr>
                          <w:jc w:val="center"/>
                        </w:pPr>
                        <w:r>
                          <w:rPr>
                            <w:rFonts w:hint="eastAsia"/>
                          </w:rPr>
                          <w:t>为初审外汇局出具批复文件</w:t>
                        </w:r>
                      </w:p>
                    </w:txbxContent>
                  </v:textbox>
                </v:rect>
                <v:shape id="AutoShape 14" o:spid="_x0000_s1039" type="#_x0000_t32" style="position:absolute;left:4013;top:14040;height:470;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15" o:spid="_x0000_s1040" style="position:absolute;left:1599;top:1560;height:11621;width:8921;rotation:0f;" coordorigin="1635,1526" coordsize="8921,11621">
                  <o:lock v:ext="edit" position="f" selection="f" grouping="f" rotation="f" cropping="f" text="f" aspectratio="f"/>
                  <v:shape id="AutoShape 16" o:spid="_x0000_s1041" type="#_x0000_t32" style="position:absolute;left:6600;top:8677;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7" o:spid="_x0000_s1042" type="#_x0000_t116" style="position:absolute;left:1920;top:1526;height:703;width:373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id="Group 18" o:spid="_x0000_s1043" style="position:absolute;left:1635;top:2321;height:6356;width:8921;rotation:0f;" coordorigin="1635,2361" coordsize="8921,6356">
                    <o:lock v:ext="edit" position="f" selection="f" grouping="f" rotation="f" cropping="f" text="f" aspectratio="f"/>
                    <v:shape id="AutoShape 19" o:spid="_x0000_s1044" type="#_x0000_t34" style="position:absolute;left:8016;top:4169;height:1285;width:3790;rotation:17694720f;" o:ole="f" o:connectortype="elbow" fillcolor="#FFFFFF" filled="f" o:preferrelative="t" stroked="t" coordorigin="0,0" coordsize="21600,21600" adj="45">
                      <v:fill on="f" color2="#FFFFFF" focus="0%"/>
                      <v:stroke color="#000000" color2="#FFFFFF" miterlimit="2"/>
                      <v:imagedata gain="65536f" blacklevel="0f" gamma="0"/>
                      <o:lock v:ext="edit" position="f" selection="f" grouping="f" rotation="f" cropping="f" text="f" aspectratio="f"/>
                    </v:shape>
                    <v:group id="Group 20" o:spid="_x0000_s1045" style="position:absolute;left:1635;top:2361;height:6356;width:8921;rotation:0f;" coordorigin="1656,3881" coordsize="8921,6356">
                      <o:lock v:ext="edit" position="f" selection="f" grouping="f" rotation="f" cropping="f" text="f" aspectratio="f"/>
                      <v:shape id="AutoShape 21" o:spid="_x0000_s1046" type="#_x0000_t32" style="position:absolute;left:7549;top:7016;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22" o:spid="_x0000_s1047" type="#_x0000_t4" style="position:absolute;left:5812;top:7377;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shape id="AutoShape 23" o:spid="_x0000_s1048" type="#_x0000_t32" style="position:absolute;left:3011;top:9967;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24" o:spid="_x0000_s1049" type="#_x0000_t32" style="position:absolute;left:3011;top:6530;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Text Box 25" o:spid="_x0000_s1050" type="#_x0000_t202" style="position:absolute;left:2253;top:7824;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AutoShape 26" o:spid="_x0000_s1051" type="#_x0000_t32" style="position:absolute;left:7549;top:9110;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27" o:spid="_x0000_s1052" type="#_x0000_t202" style="position:absolute;left:4429;top:9110;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rect id="Rectangle 28" o:spid="_x0000_s1053" style="position:absolute;left:4224;top:9718;height:519;width:5359;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txbxContent>
                        </v:textbox>
                      </v:rect>
                      <v:shape id="AutoShape 29" o:spid="_x0000_s1054" type="#_x0000_t32" style="position:absolute;left:4429;top:5511;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30" o:spid="_x0000_s1055" type="#_x0000_t32" style="position:absolute;left:5658;top:4533;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31" o:spid="_x0000_s1056" type="#_x0000_t4" style="position:absolute;left:1656;top:4480;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接件（5个工作日）作出是否受理决定</w:t>
                              </w:r>
                            </w:p>
                          </w:txbxContent>
                        </v:textbox>
                      </v:shape>
                      <v:shape id="AutoShape 32" o:spid="_x0000_s1057" type="#_x0000_t32" style="position:absolute;left:5686;top:6453;height:1;width:564;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33" o:spid="_x0000_s1058" type="#_x0000_t32" style="position:absolute;left:5658;top:4533;height:0;width:564;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rect id="Rectangle 34" o:spid="_x0000_s1059" style="position:absolute;left:6222;top:5885;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left="850" w:hanging="850" w:hangingChars="405"/>
                                <w:jc w:val="center"/>
                              </w:pPr>
                              <w:r>
                                <w:rPr>
                                  <w:rFonts w:hint="eastAsia"/>
                                </w:rPr>
                                <w:t>材料不全或不符合法定形式的，</w:t>
                              </w:r>
                            </w:p>
                            <w:p>
                              <w:pPr>
                                <w:jc w:val="center"/>
                              </w:pPr>
                              <w:r>
                                <w:rPr>
                                  <w:rFonts w:hint="eastAsia"/>
                                </w:rPr>
                                <w:t>一次性告知补正材料，</w:t>
                              </w:r>
                            </w:p>
                            <w:p>
                              <w:pPr>
                                <w:jc w:val="center"/>
                              </w:pPr>
                              <w:r>
                                <w:rPr>
                                  <w:rFonts w:hint="eastAsia"/>
                                </w:rPr>
                                <w:t>出具行政审批补正材料通知书</w:t>
                              </w:r>
                            </w:p>
                            <w:p/>
                          </w:txbxContent>
                        </v:textbox>
                      </v:rect>
                      <v:shape id="AutoShape 35" o:spid="_x0000_s1060" type="#_x0000_t116" style="position:absolute;left:6222;top:3881;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shape id="Text Box 36" o:spid="_x0000_s1061" type="#_x0000_t202" style="position:absolute;left:4834;top:4762;height:48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shape id="Text Box 37" o:spid="_x0000_s1062" type="#_x0000_t202" style="position:absolute;left:9583;top:4841;height:2553;width:823;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38" o:spid="_x0000_s1063" type="#_x0000_t32" style="position:absolute;left:9040;top:4464;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shape id="AutoShape 39" o:spid="_x0000_s1064" type="#_x0000_t32" style="position:absolute;left:3011;top:2229;flip:x;height:69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40" o:spid="_x0000_s1065" type="#_x0000_t4" style="position:absolute;left:3562;top:9140;height:1920;width:612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申请人所在地外汇局分局（外汇管理部）根据申请材料，</w:t>
                          </w:r>
                        </w:p>
                        <w:p>
                          <w:pPr>
                            <w:jc w:val="center"/>
                          </w:pPr>
                          <w:r>
                            <w:rPr>
                              <w:rFonts w:hint="eastAsia"/>
                            </w:rPr>
                            <w:t>作出初审意见</w:t>
                          </w:r>
                        </w:p>
                      </w:txbxContent>
                    </v:textbox>
                  </v:shape>
                  <v:shape id="Text Box 41" o:spid="_x0000_s1066" type="#_x0000_t202" style="position:absolute;left:5093;top:10960;height:472;width:812;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同意</w:t>
                          </w:r>
                        </w:p>
                      </w:txbxContent>
                    </v:textbox>
                  </v:shape>
                  <v:shape id="Text Box 42" o:spid="_x0000_s1067" type="#_x0000_t202" style="position:absolute;left:8520;top:10848;height:584;width:1042;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不同意</w:t>
                          </w:r>
                        </w:p>
                      </w:txbxContent>
                    </v:textbox>
                  </v:shape>
                  <v:shape id="AutoShape 43" o:spid="_x0000_s1068" type="#_x0000_t32" style="position:absolute;left:9682;top:10120;height:3027;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v:group>
        </w:pict>
      </w:r>
    </w:p>
    <w:p>
      <w:pPr>
        <w:widowControl/>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br w:type="page"/>
      </w:r>
    </w:p>
    <w:p>
      <w:pPr>
        <w:widowControl/>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xml:space="preserve">附录二          </w:t>
      </w:r>
    </w:p>
    <w:p>
      <w:pPr>
        <w:widowControl/>
        <w:jc w:val="left"/>
        <w:rPr>
          <w:rFonts w:ascii="Times New Roman" w:hAnsi="Times New Roman" w:eastAsia="仿宋_GB2312" w:cs="Times New Roman"/>
          <w:kern w:val="0"/>
          <w:sz w:val="30"/>
          <w:szCs w:val="30"/>
        </w:rPr>
      </w:pPr>
    </w:p>
    <w:p>
      <w:pPr>
        <w:jc w:val="center"/>
        <w:rPr>
          <w:rFonts w:ascii="Times New Roman" w:hAnsi="黑体" w:eastAsia="黑体" w:cs="Times New Roman"/>
          <w:kern w:val="0"/>
          <w:sz w:val="30"/>
          <w:szCs w:val="30"/>
        </w:rPr>
      </w:pPr>
      <w:r>
        <w:rPr>
          <w:rFonts w:ascii="Times New Roman" w:hAnsi="黑体" w:eastAsia="黑体" w:cs="Times New Roman"/>
          <w:kern w:val="0"/>
          <w:sz w:val="30"/>
          <w:szCs w:val="30"/>
        </w:rPr>
        <w:t>常见问题</w:t>
      </w:r>
    </w:p>
    <w:p>
      <w:pPr>
        <w:jc w:val="center"/>
        <w:rPr>
          <w:rFonts w:ascii="Times New Roman" w:hAnsi="Times New Roman" w:eastAsia="黑体" w:cs="Times New Roman"/>
          <w:kern w:val="0"/>
          <w:sz w:val="30"/>
          <w:szCs w:val="30"/>
        </w:rPr>
      </w:pPr>
    </w:p>
    <w:p>
      <w:pPr>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t xml:space="preserve">    问：外资金融机构能否申请短期外债余额指标？</w:t>
      </w:r>
    </w:p>
    <w:p>
      <w:pPr>
        <w:rPr>
          <w:rFonts w:ascii="Times New Roman" w:hAnsi="Times New Roman" w:cs="Times New Roman"/>
        </w:rPr>
      </w:pPr>
      <w:r>
        <w:rPr>
          <w:rFonts w:ascii="Times New Roman" w:hAnsi="Times New Roman" w:eastAsia="仿宋_GB2312" w:cs="Times New Roman"/>
          <w:bCs/>
          <w:kern w:val="0"/>
          <w:sz w:val="30"/>
          <w:szCs w:val="30"/>
        </w:rPr>
        <w:t xml:space="preserve">    答：2018年1月12日以前，外资金融机构可在短期外债余额指标管理模式和宏观审慎管理模式下任选一种模式适用。2018年1月12日以后，外资金融机构自动适用宏观审慎管理模式。</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8</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062315">
    <w:nsid w:val="5A10FB2B"/>
    <w:multiLevelType w:val="singleLevel"/>
    <w:tmpl w:val="5A10FB2B"/>
    <w:lvl w:ilvl="0" w:tentative="1">
      <w:start w:val="5"/>
      <w:numFmt w:val="chineseCounting"/>
      <w:suff w:val="nothing"/>
      <w:lvlText w:val="（%1）"/>
      <w:lvlJc w:val="left"/>
    </w:lvl>
  </w:abstractNum>
  <w:abstractNum w:abstractNumId="1511059936">
    <w:nsid w:val="5A10F1E0"/>
    <w:multiLevelType w:val="singleLevel"/>
    <w:tmpl w:val="5A10F1E0"/>
    <w:lvl w:ilvl="0" w:tentative="1">
      <w:start w:val="3"/>
      <w:numFmt w:val="chineseCounting"/>
      <w:suff w:val="nothing"/>
      <w:lvlText w:val="%1、"/>
      <w:lvlJc w:val="left"/>
    </w:lvl>
  </w:abstractNum>
  <w:abstractNum w:abstractNumId="1511059970">
    <w:nsid w:val="5A10F202"/>
    <w:multiLevelType w:val="singleLevel"/>
    <w:tmpl w:val="5A10F202"/>
    <w:lvl w:ilvl="0" w:tentative="1">
      <w:start w:val="3"/>
      <w:numFmt w:val="chineseCounting"/>
      <w:suff w:val="nothing"/>
      <w:lvlText w:val="（%1）"/>
      <w:lvlJc w:val="left"/>
    </w:lvl>
  </w:abstractNum>
  <w:abstractNum w:abstractNumId="1511059956">
    <w:nsid w:val="5A10F1F4"/>
    <w:multiLevelType w:val="singleLevel"/>
    <w:tmpl w:val="5A10F1F4"/>
    <w:lvl w:ilvl="0" w:tentative="1">
      <w:start w:val="2"/>
      <w:numFmt w:val="chineseCounting"/>
      <w:suff w:val="nothing"/>
      <w:lvlText w:val="（%1）"/>
      <w:lvlJc w:val="left"/>
    </w:lvl>
  </w:abstractNum>
  <w:abstractNum w:abstractNumId="1511063245">
    <w:nsid w:val="5A10FECD"/>
    <w:multiLevelType w:val="singleLevel"/>
    <w:tmpl w:val="5A10FECD"/>
    <w:lvl w:ilvl="0" w:tentative="1">
      <w:start w:val="2"/>
      <w:numFmt w:val="decimal"/>
      <w:suff w:val="nothing"/>
      <w:lvlText w:val="%1."/>
      <w:lvlJc w:val="left"/>
    </w:lvl>
  </w:abstractNum>
  <w:abstractNum w:abstractNumId="1511059921">
    <w:nsid w:val="5A10F1D1"/>
    <w:multiLevelType w:val="singleLevel"/>
    <w:tmpl w:val="5A10F1D1"/>
    <w:lvl w:ilvl="0" w:tentative="1">
      <w:start w:val="2"/>
      <w:numFmt w:val="chineseCounting"/>
      <w:suff w:val="nothing"/>
      <w:lvlText w:val="%1、"/>
      <w:lvlJc w:val="left"/>
    </w:lvl>
  </w:abstractNum>
  <w:num w:numId="1">
    <w:abstractNumId w:val="1511059921"/>
  </w:num>
  <w:num w:numId="2">
    <w:abstractNumId w:val="1511059936"/>
  </w:num>
  <w:num w:numId="3">
    <w:abstractNumId w:val="1511059956"/>
  </w:num>
  <w:num w:numId="4">
    <w:abstractNumId w:val="1511059970"/>
  </w:num>
  <w:num w:numId="5">
    <w:abstractNumId w:val="1511062315"/>
  </w:num>
  <w:num w:numId="6">
    <w:abstractNumId w:val="15110632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845DA"/>
    <w:rsid w:val="000B7295"/>
    <w:rsid w:val="000C27F4"/>
    <w:rsid w:val="00135109"/>
    <w:rsid w:val="00145BD8"/>
    <w:rsid w:val="00176A6D"/>
    <w:rsid w:val="001B0173"/>
    <w:rsid w:val="002641AE"/>
    <w:rsid w:val="00265F5D"/>
    <w:rsid w:val="002C6C8D"/>
    <w:rsid w:val="00330668"/>
    <w:rsid w:val="00366261"/>
    <w:rsid w:val="0038340C"/>
    <w:rsid w:val="0039521E"/>
    <w:rsid w:val="003976DA"/>
    <w:rsid w:val="003A03C4"/>
    <w:rsid w:val="003E46F2"/>
    <w:rsid w:val="00420920"/>
    <w:rsid w:val="00442008"/>
    <w:rsid w:val="00466BB3"/>
    <w:rsid w:val="004E1CBA"/>
    <w:rsid w:val="004E593D"/>
    <w:rsid w:val="004F0C27"/>
    <w:rsid w:val="00624074"/>
    <w:rsid w:val="00631264"/>
    <w:rsid w:val="00643652"/>
    <w:rsid w:val="00665B51"/>
    <w:rsid w:val="006821C8"/>
    <w:rsid w:val="006B2D7D"/>
    <w:rsid w:val="006B35CF"/>
    <w:rsid w:val="006C7F0D"/>
    <w:rsid w:val="00715C9E"/>
    <w:rsid w:val="007274A4"/>
    <w:rsid w:val="00756B35"/>
    <w:rsid w:val="00771D90"/>
    <w:rsid w:val="007813E1"/>
    <w:rsid w:val="007F2F08"/>
    <w:rsid w:val="00823D47"/>
    <w:rsid w:val="008720C9"/>
    <w:rsid w:val="0087502E"/>
    <w:rsid w:val="0088591A"/>
    <w:rsid w:val="00886AB5"/>
    <w:rsid w:val="008A21BD"/>
    <w:rsid w:val="008A4948"/>
    <w:rsid w:val="008F57C2"/>
    <w:rsid w:val="0091298F"/>
    <w:rsid w:val="00925C27"/>
    <w:rsid w:val="0096421E"/>
    <w:rsid w:val="009A7B1F"/>
    <w:rsid w:val="009F0EE8"/>
    <w:rsid w:val="00AA48B7"/>
    <w:rsid w:val="00B80652"/>
    <w:rsid w:val="00C125D3"/>
    <w:rsid w:val="00C8240C"/>
    <w:rsid w:val="00C91A20"/>
    <w:rsid w:val="00C94951"/>
    <w:rsid w:val="00CB28E1"/>
    <w:rsid w:val="00CD76A0"/>
    <w:rsid w:val="00CF1A09"/>
    <w:rsid w:val="00CF3A9E"/>
    <w:rsid w:val="00CF5F04"/>
    <w:rsid w:val="00D217AF"/>
    <w:rsid w:val="00D845DA"/>
    <w:rsid w:val="00DC7DB0"/>
    <w:rsid w:val="00DD3466"/>
    <w:rsid w:val="00DF4380"/>
    <w:rsid w:val="00E91622"/>
    <w:rsid w:val="00EC386A"/>
    <w:rsid w:val="00F36838"/>
    <w:rsid w:val="00F53E44"/>
    <w:rsid w:val="00F55030"/>
    <w:rsid w:val="00FA003D"/>
    <w:rsid w:val="00FA6F43"/>
    <w:rsid w:val="00FB14AD"/>
    <w:rsid w:val="00FD2363"/>
    <w:rsid w:val="31587BF2"/>
    <w:rsid w:val="44247DC5"/>
    <w:rsid w:val="44CB468A"/>
    <w:rsid w:val="5E5808F9"/>
    <w:rsid w:val="6478463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3"/>
        <o:r id="V:Rule2" type="connector" idref="#AutoShape 5"/>
        <o:r id="V:Rule3" type="connector" idref="#AutoShape 8"/>
        <o:r id="V:Rule4" type="connector" idref="#AutoShape 9"/>
        <o:r id="V:Rule5" type="connector" idref="#AutoShape 10"/>
        <o:r id="V:Rule6" type="connector" idref="#AutoShape 14"/>
        <o:r id="V:Rule7" type="connector" idref="#AutoShape 16"/>
        <o:r id="V:Rule8" type="connector" idref="#AutoShape 19"/>
        <o:r id="V:Rule9" type="connector" idref="#AutoShape 21"/>
        <o:r id="V:Rule10" type="connector" idref="#AutoShape 23"/>
        <o:r id="V:Rule11" type="connector" idref="#AutoShape 24"/>
        <o:r id="V:Rule12" type="connector" idref="#AutoShape 26"/>
        <o:r id="V:Rule13" type="connector" idref="#AutoShape 29"/>
        <o:r id="V:Rule14" type="connector" idref="#AutoShape 30"/>
        <o:r id="V:Rule15" type="connector" idref="#AutoShape 32"/>
        <o:r id="V:Rule16" type="connector" idref="#AutoShape 33"/>
        <o:r id="V:Rule17" type="connector" idref="#AutoShape 38"/>
        <o:r id="V:Rule18" type="connector" idref="#AutoShape 39"/>
        <o:r id="V:Rule19" type="connector" idref="#AutoShape 4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4"/>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25"/>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6"/>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5">
    <w:name w:val="Document Map"/>
    <w:basedOn w:val="1"/>
    <w:link w:val="35"/>
    <w:unhideWhenUsed/>
    <w:qFormat/>
    <w:uiPriority w:val="0"/>
    <w:rPr>
      <w:rFonts w:ascii="宋体"/>
      <w:sz w:val="18"/>
      <w:szCs w:val="18"/>
    </w:rPr>
  </w:style>
  <w:style w:type="paragraph" w:styleId="6">
    <w:name w:val="annotation text"/>
    <w:basedOn w:val="1"/>
    <w:link w:val="32"/>
    <w:unhideWhenUsed/>
    <w:qFormat/>
    <w:uiPriority w:val="99"/>
    <w:pPr>
      <w:jc w:val="left"/>
    </w:pPr>
    <w:rPr>
      <w:rFonts w:ascii="Calibri" w:hAnsi="Calibri" w:eastAsia="宋体" w:cs="Times New Roman"/>
    </w:rPr>
  </w:style>
  <w:style w:type="paragraph" w:styleId="7">
    <w:name w:val="Balloon Text"/>
    <w:basedOn w:val="1"/>
    <w:link w:val="29"/>
    <w:unhideWhenUsed/>
    <w:uiPriority w:val="0"/>
    <w:rPr>
      <w:sz w:val="18"/>
      <w:szCs w:val="18"/>
    </w:rPr>
  </w:style>
  <w:style w:type="paragraph" w:styleId="8">
    <w:name w:val="footer"/>
    <w:basedOn w:val="1"/>
    <w:link w:val="28"/>
    <w:unhideWhenUsed/>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3"/>
    <w:semiHidden/>
    <w:qFormat/>
    <w:uiPriority w:val="0"/>
    <w:pPr>
      <w:snapToGrid w:val="0"/>
      <w:jc w:val="left"/>
    </w:pPr>
    <w:rPr>
      <w:rFonts w:ascii="Times New Roman" w:hAnsi="Times New Roman"/>
      <w:sz w:val="18"/>
      <w:szCs w:val="18"/>
    </w:rPr>
  </w:style>
  <w:style w:type="paragraph" w:styleId="11">
    <w:name w:val="HTML Preformatted"/>
    <w:basedOn w:val="1"/>
    <w:link w:val="3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footnote reference"/>
    <w:unhideWhenUsed/>
    <w:qFormat/>
    <w:uiPriority w:val="0"/>
    <w:rPr>
      <w:rFonts w:ascii="Times New Roman" w:hAnsi="Times New Roman" w:cs="Times New Roman"/>
      <w:vertAlign w:val="superscript"/>
    </w:rPr>
  </w:style>
  <w:style w:type="paragraph" w:customStyle="1" w:styleId="17">
    <w:name w:val="List Paragraph"/>
    <w:basedOn w:val="1"/>
    <w:qFormat/>
    <w:uiPriority w:val="99"/>
    <w:pPr>
      <w:ind w:firstLine="420" w:firstLineChars="200"/>
    </w:pPr>
  </w:style>
  <w:style w:type="paragraph" w:customStyle="1" w:styleId="18">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9">
    <w:name w:val="juzhong"/>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0">
    <w:name w:val="列出段落1"/>
    <w:basedOn w:val="1"/>
    <w:qFormat/>
    <w:uiPriority w:val="34"/>
    <w:pPr>
      <w:ind w:firstLine="420" w:firstLineChars="200"/>
    </w:pPr>
    <w:rPr>
      <w:rFonts w:ascii="Calibri" w:hAnsi="Calibri" w:eastAsia="宋体" w:cs="Times New Roman"/>
    </w:rPr>
  </w:style>
  <w:style w:type="paragraph" w:customStyle="1" w:styleId="21">
    <w:name w:val="列出段落4"/>
    <w:basedOn w:val="1"/>
    <w:qFormat/>
    <w:uiPriority w:val="0"/>
    <w:pPr>
      <w:ind w:firstLine="200" w:firstLineChars="200"/>
    </w:pPr>
    <w:rPr>
      <w:rFonts w:ascii="Calibri" w:hAnsi="Calibri" w:eastAsia="宋体" w:cs="Times New Roman"/>
    </w:rPr>
  </w:style>
  <w:style w:type="paragraph" w:customStyle="1" w:styleId="22">
    <w:name w:val="列出段落3"/>
    <w:basedOn w:val="1"/>
    <w:qFormat/>
    <w:uiPriority w:val="0"/>
    <w:pPr>
      <w:ind w:firstLine="420" w:firstLineChars="200"/>
    </w:pPr>
    <w:rPr>
      <w:rFonts w:ascii="Times New Roman" w:hAnsi="Times New Roman" w:eastAsia="宋体" w:cs="Times New Roman"/>
      <w:szCs w:val="24"/>
    </w:rPr>
  </w:style>
  <w:style w:type="paragraph" w:customStyle="1" w:styleId="23">
    <w:name w:val="p0"/>
    <w:basedOn w:val="1"/>
    <w:qFormat/>
    <w:uiPriority w:val="0"/>
    <w:pPr>
      <w:widowControl/>
    </w:pPr>
    <w:rPr>
      <w:rFonts w:ascii="Calibri" w:hAnsi="Calibri" w:eastAsia="宋体" w:cs="宋体"/>
      <w:kern w:val="0"/>
      <w:szCs w:val="21"/>
    </w:rPr>
  </w:style>
  <w:style w:type="character" w:customStyle="1" w:styleId="24">
    <w:name w:val="标题 1 Char"/>
    <w:basedOn w:val="13"/>
    <w:link w:val="2"/>
    <w:uiPriority w:val="9"/>
    <w:rPr>
      <w:rFonts w:ascii="黑体" w:hAnsi="黑体" w:eastAsia="黑体" w:cs="宋体"/>
      <w:color w:val="000000"/>
      <w:kern w:val="0"/>
      <w:sz w:val="30"/>
      <w:szCs w:val="30"/>
    </w:rPr>
  </w:style>
  <w:style w:type="character" w:customStyle="1" w:styleId="25">
    <w:name w:val="标题 2 Char"/>
    <w:basedOn w:val="13"/>
    <w:link w:val="3"/>
    <w:qFormat/>
    <w:uiPriority w:val="9"/>
    <w:rPr>
      <w:rFonts w:ascii="Cambria" w:hAnsi="Cambria" w:eastAsia="宋体" w:cs="Times New Roman"/>
      <w:b/>
      <w:bCs/>
      <w:sz w:val="32"/>
      <w:szCs w:val="32"/>
    </w:rPr>
  </w:style>
  <w:style w:type="character" w:customStyle="1" w:styleId="26">
    <w:name w:val="标题 3 Char"/>
    <w:basedOn w:val="13"/>
    <w:link w:val="4"/>
    <w:uiPriority w:val="9"/>
    <w:rPr>
      <w:rFonts w:ascii="仿宋_GB2312" w:hAnsi="Calibri" w:eastAsia="仿宋_GB2312" w:cs="Times New Roman"/>
      <w:sz w:val="30"/>
      <w:szCs w:val="30"/>
    </w:rPr>
  </w:style>
  <w:style w:type="character" w:customStyle="1" w:styleId="27">
    <w:name w:val="页眉 Char"/>
    <w:basedOn w:val="13"/>
    <w:link w:val="9"/>
    <w:uiPriority w:val="99"/>
    <w:rPr>
      <w:sz w:val="18"/>
      <w:szCs w:val="18"/>
    </w:rPr>
  </w:style>
  <w:style w:type="character" w:customStyle="1" w:styleId="28">
    <w:name w:val="页脚 Char"/>
    <w:basedOn w:val="13"/>
    <w:link w:val="8"/>
    <w:uiPriority w:val="99"/>
    <w:rPr>
      <w:sz w:val="18"/>
      <w:szCs w:val="18"/>
    </w:rPr>
  </w:style>
  <w:style w:type="character" w:customStyle="1" w:styleId="29">
    <w:name w:val="批注框文本 Char"/>
    <w:basedOn w:val="13"/>
    <w:link w:val="7"/>
    <w:uiPriority w:val="0"/>
    <w:rPr>
      <w:sz w:val="18"/>
      <w:szCs w:val="18"/>
    </w:rPr>
  </w:style>
  <w:style w:type="character" w:customStyle="1" w:styleId="30">
    <w:name w:val="批注框文本 Char1"/>
    <w:basedOn w:val="13"/>
    <w:semiHidden/>
    <w:uiPriority w:val="99"/>
    <w:rPr>
      <w:sz w:val="18"/>
      <w:szCs w:val="18"/>
    </w:rPr>
  </w:style>
  <w:style w:type="character" w:customStyle="1" w:styleId="31">
    <w:name w:val="HTML 预设格式 Char"/>
    <w:basedOn w:val="13"/>
    <w:link w:val="11"/>
    <w:uiPriority w:val="99"/>
    <w:rPr>
      <w:rFonts w:ascii="宋体" w:hAnsi="宋体" w:eastAsia="宋体" w:cs="宋体"/>
      <w:kern w:val="0"/>
      <w:sz w:val="24"/>
      <w:szCs w:val="24"/>
    </w:rPr>
  </w:style>
  <w:style w:type="character" w:customStyle="1" w:styleId="32">
    <w:name w:val="批注文字 Char"/>
    <w:basedOn w:val="13"/>
    <w:link w:val="6"/>
    <w:qFormat/>
    <w:uiPriority w:val="99"/>
    <w:rPr>
      <w:rFonts w:ascii="Calibri" w:hAnsi="Calibri" w:eastAsia="宋体" w:cs="Times New Roman"/>
    </w:rPr>
  </w:style>
  <w:style w:type="character" w:customStyle="1" w:styleId="33">
    <w:name w:val="脚注文本 Char"/>
    <w:basedOn w:val="13"/>
    <w:link w:val="10"/>
    <w:semiHidden/>
    <w:qFormat/>
    <w:uiPriority w:val="0"/>
    <w:rPr>
      <w:rFonts w:ascii="Times New Roman" w:hAnsi="Times New Roman"/>
      <w:sz w:val="18"/>
      <w:szCs w:val="18"/>
    </w:rPr>
  </w:style>
  <w:style w:type="character" w:customStyle="1" w:styleId="34">
    <w:name w:val="标题 4 Char Char"/>
    <w:qFormat/>
    <w:uiPriority w:val="0"/>
    <w:rPr>
      <w:rFonts w:ascii="Calibri" w:hAnsi="Calibri"/>
      <w:b/>
      <w:bCs/>
      <w:sz w:val="28"/>
      <w:szCs w:val="28"/>
      <w:lang w:eastAsia="en-US" w:bidi="en-US"/>
    </w:rPr>
  </w:style>
  <w:style w:type="character" w:customStyle="1" w:styleId="35">
    <w:name w:val="文档结构图 Char"/>
    <w:basedOn w:val="13"/>
    <w:link w:val="5"/>
    <w:qFormat/>
    <w:uiPriority w:val="0"/>
    <w:rPr>
      <w:rFonts w:ascii="宋体"/>
      <w:sz w:val="18"/>
      <w:szCs w:val="18"/>
    </w:rPr>
  </w:style>
  <w:style w:type="character" w:customStyle="1" w:styleId="36">
    <w:name w:val="Intense Emphasis"/>
    <w:basedOn w:val="13"/>
    <w:qFormat/>
    <w:uiPriority w:val="21"/>
    <w:rPr>
      <w:b/>
      <w:bCs/>
      <w:i/>
      <w:iCs/>
      <w:color w:val="4F81BD"/>
    </w:rPr>
  </w:style>
  <w:style w:type="character" w:customStyle="1" w:styleId="37">
    <w:name w:val="文档结构图 Char1"/>
    <w:basedOn w:val="13"/>
    <w:semiHidden/>
    <w:qFormat/>
    <w:uiPriority w:val="99"/>
    <w:rPr>
      <w:rFonts w:ascii="宋体" w:eastAsia="宋体"/>
      <w:sz w:val="18"/>
      <w:szCs w:val="18"/>
    </w:rPr>
  </w:style>
  <w:style w:type="character" w:customStyle="1" w:styleId="38">
    <w:name w:val="脚注文本 Char2"/>
    <w:basedOn w:val="1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408</Words>
  <Characters>2331</Characters>
  <Lines>19</Lines>
  <Paragraphs>5</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2020-03-17T01:49:00Z</dcterms:created>
  <dc:creator>朱敏1</dc:creator>
  <cp:lastModifiedBy>史学岗</cp:lastModifiedBy>
  <cp:lastPrinted>2019-11-29T03:02:00Z</cp:lastPrinted>
  <dcterms:modified xsi:type="dcterms:W3CDTF">2021-05-27T08:51:25Z</dcterms:modified>
  <dc:title>编号：57006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