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300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编号：57014</w:t>
      </w:r>
      <w:r>
        <w:rPr>
          <w:rFonts w:hint="eastAsia" w:ascii="Times New Roman" w:hAnsi="Times New Roman" w:eastAsia="黑体" w:cs="Times New Roman"/>
          <w:sz w:val="48"/>
          <w:szCs w:val="48"/>
        </w:rPr>
        <w:t xml:space="preserve">               </w:t>
      </w:r>
      <w:r>
        <w:rPr>
          <w:rFonts w:ascii="Times New Roman" w:hAnsi="Times New Roman" w:eastAsia="黑体" w:cs="Times New Roman"/>
          <w:kern w:val="2"/>
          <w:sz w:val="48"/>
          <w:szCs w:val="48"/>
          <w:lang w:val="en-US" w:eastAsia="zh-CN" w:bidi="ar-SA"/>
        </w:rPr>
        <w:pict>
          <v:shape id="图片 1" o:spid="_x0000_s1026" type="#_x0000_t75" style="height:69.75pt;width:87.0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“保险、证券公司等非银行金融机构外汇业务市场准入、退出审批”行政审批服务指南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发布日期：202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实施日期：202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发布机构：国家外汇管理局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深圳市分局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adjustRightInd w:val="0"/>
        <w:spacing w:line="360" w:lineRule="auto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一、项目信息</w:t>
      </w:r>
    </w:p>
    <w:p>
      <w:pPr>
        <w:adjustRightInd w:val="0"/>
        <w:spacing w:line="360" w:lineRule="auto"/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项目名称：保险、证券公司等非银行金融机构外汇业务市场准入、退出审批；</w:t>
      </w:r>
    </w:p>
    <w:p>
      <w:pPr>
        <w:adjustRightInd w:val="0"/>
        <w:spacing w:line="360" w:lineRule="auto"/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项目编号：57014；</w:t>
      </w:r>
    </w:p>
    <w:p>
      <w:pPr>
        <w:adjustRightIn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审批类别：行政许可。</w:t>
      </w:r>
    </w:p>
    <w:p>
      <w:pPr>
        <w:adjustRightIn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二、适用范围</w:t>
      </w:r>
    </w:p>
    <w:p>
      <w:pPr>
        <w:adjustRightIn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本指南适用于“保险、证券公司等非银行金融机构外汇业务市场准入、退出审批”的申请和办理。</w:t>
      </w:r>
    </w:p>
    <w:p>
      <w:pPr>
        <w:adjustRightIn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三、设定依据</w:t>
      </w:r>
    </w:p>
    <w:p>
      <w:pPr>
        <w:adjustRightIn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《中华人民共和国外汇管理条例》（国务院令第532号）第二十四条：“金融机构经营或者终止经营结汇、售汇业务，应当经外汇管理机关批准；经营或者终止经营其他外汇业务，应当按照职责分工经外汇管理机关或者金融业监督管理机构批准”。</w:t>
      </w:r>
    </w:p>
    <w:p>
      <w:pPr>
        <w:adjustRightIn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四、保险机构外汇业务市场准入审批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（一）办理依据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1.《中华人民共和国外汇管理条例》（国务院令第532号）；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2.《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国家外汇管理局关于进一步促进保险公司资本金结汇便利化的通知》（汇发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〔2019〕17号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）；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</w:t>
      </w:r>
      <w:r>
        <w:rPr>
          <w:rFonts w:ascii="Times New Roman" w:hAnsi="Times New Roman" w:eastAsia="仿宋_GB2312" w:cs="Times New Roman"/>
          <w:sz w:val="30"/>
          <w:szCs w:val="30"/>
        </w:rPr>
        <w:t>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《国家外汇管理局关于印发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〈经常项目外汇业务指引（2020年版）〉的通知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》（汇发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〔2020〕14号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）。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（二）受理机构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申请人注册所在地国家外汇管理局分局</w:t>
      </w: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外汇管理部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（三）决定机构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申请人注册所在地国家外汇管理局分局</w:t>
      </w: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外汇管理部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（四）审批数量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无数量限制。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（五）办事条件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申请人为保险机构，应同时符合以下条件：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准在境内依法登记注册；</w:t>
      </w:r>
    </w:p>
    <w:p>
      <w:pPr>
        <w:pStyle w:val="20"/>
        <w:spacing w:line="360" w:lineRule="auto"/>
        <w:ind w:firstLine="600" w:firstLineChars="200"/>
        <w:rPr>
          <w:rFonts w:ascii="Times New Roman" w:hAnsi="Times New Roman" w:cs="Times New Roman"/>
          <w:color w:val="auto"/>
          <w:kern w:val="2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color w:val="auto"/>
          <w:kern w:val="2"/>
          <w:sz w:val="30"/>
          <w:szCs w:val="30"/>
        </w:rPr>
        <w:t>具有经营保险业务资格；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3.具有完备的与外汇保险业务相应的内部管理制度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4.近三年未发生情节严重的违法违规行为、未受到保险行业主管部门或国家外汇管理局等部门行政处罚。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禁止性要求：申请材料不齐全，不符合法规规定。</w:t>
      </w:r>
    </w:p>
    <w:p>
      <w:pPr>
        <w:adjustRightIn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（六）申请材料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保险机构外汇业务市场审批</w:t>
      </w:r>
      <w:r>
        <w:rPr>
          <w:rFonts w:ascii="Times New Roman" w:hAnsi="Times New Roman" w:eastAsia="仿宋_GB2312" w:cs="Times New Roman"/>
          <w:sz w:val="30"/>
          <w:szCs w:val="30"/>
        </w:rPr>
        <w:t>新办申请材料清单</w:t>
      </w:r>
    </w:p>
    <w:tbl>
      <w:tblPr>
        <w:tblStyle w:val="18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061"/>
        <w:gridCol w:w="1418"/>
        <w:gridCol w:w="708"/>
        <w:gridCol w:w="851"/>
        <w:gridCol w:w="1843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列明申请事项及申请业务范围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保险行业主管部门颁发的经营保险业务资格证明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加盖企业公章的复印件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vAlign w:val="center"/>
          </w:tcPr>
          <w:p>
            <w:pPr>
              <w:ind w:firstLine="120" w:firstLineChars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营业执照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加盖企业公章的复印件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自由贸易试验区内保险公司免于提供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与申请外汇保险业务相应的内部管理制度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加盖企业公章的复印件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包括但不限于业务操作流程、资金管理和数据报送等内容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保险机构外汇业务市场审批</w:t>
      </w:r>
      <w:r>
        <w:rPr>
          <w:rFonts w:ascii="Times New Roman" w:hAnsi="Times New Roman" w:eastAsia="仿宋_GB2312" w:cs="Times New Roman"/>
          <w:sz w:val="30"/>
          <w:szCs w:val="30"/>
        </w:rPr>
        <w:t>变更申请材料清单</w:t>
      </w:r>
    </w:p>
    <w:tbl>
      <w:tblPr>
        <w:tblStyle w:val="18"/>
        <w:tblW w:w="8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627"/>
        <w:gridCol w:w="1235"/>
        <w:gridCol w:w="457"/>
        <w:gridCol w:w="861"/>
        <w:gridCol w:w="2519"/>
        <w:gridCol w:w="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提交材料名称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原件/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纸质/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电子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要求</w:t>
            </w:r>
          </w:p>
        </w:tc>
        <w:tc>
          <w:tcPr>
            <w:tcW w:w="457" w:type="dxa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251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列明变更事项（变更外汇保险业务范围或机构名称）</w:t>
            </w:r>
          </w:p>
        </w:tc>
        <w:tc>
          <w:tcPr>
            <w:tcW w:w="45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变更外汇保险业务范围的，提交与变更后外汇保险业务范围相应的内部管理制度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加盖企业公章的复印件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251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包括但不限于业务操作流程、资金管理和数据报送等内容</w:t>
            </w:r>
          </w:p>
        </w:tc>
        <w:tc>
          <w:tcPr>
            <w:tcW w:w="45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变更机构名称的，提交保险行业主管部门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核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准其名称变更的文件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、保险行业主管部门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颁发的变更后经营保险业务资格证明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、变更后的营业执照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加盖企业公章的复印件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电子</w:t>
            </w:r>
          </w:p>
        </w:tc>
        <w:tc>
          <w:tcPr>
            <w:tcW w:w="251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自营业执照变更之日起20个工作日内提交</w:t>
            </w:r>
          </w:p>
        </w:tc>
        <w:tc>
          <w:tcPr>
            <w:tcW w:w="457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（七）申请接受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申请人可通过国家外汇管理局分支局窗口提交材料。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（八）基本办理流程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1.申请人提交申请；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2.决定是否予以受理；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3.不予受理的，出具不予受理通知书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  <w:r>
        <w:rPr>
          <w:rFonts w:ascii="Times New Roman" w:hAnsi="Times New Roman" w:eastAsia="仿宋_GB2312" w:cs="Times New Roman"/>
          <w:sz w:val="30"/>
          <w:szCs w:val="30"/>
        </w:rPr>
        <w:t>受理的，出具受理通知书，审核作出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准或者不予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准的决定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4.予以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准的，向申请人出具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准文件；不予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准的，做出不予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准的行政许可书面决定并说明理由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5.材料不全或不符合法定形式的，一次性告知补正材料，并出具《行政许可补正通知书》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（九）办理方式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一般程序：申请、受理、审查、决定、出具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准文件或不予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准的行政许可书面决定。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（十）审批时限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20个工作日。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（十一）审批收费依据及标准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不收费。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（十二）审批结果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针对新办、变更申请，出具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准文件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（十三）结果送达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通过现场告知或电话通知申请人，并通过现场领取或邮寄方式将结果送达。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（十四）申请人权利和义务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申请人有权依法提出行政审批申请，依法进行投诉、举报、复议、诉讼等。申请人有义务保证申请材料完整、真实、准确，获批后合法合规办理相关业务。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（十五）咨询途径、监督和投诉、公开查询等由所在地分局（外汇管理部）办理</w:t>
      </w:r>
    </w:p>
    <w:p>
      <w:pPr>
        <w:adjustRightInd w:val="0"/>
        <w:snapToGrid w:val="0"/>
        <w:spacing w:line="360" w:lineRule="auto"/>
        <w:ind w:firstLine="601"/>
        <w:rPr>
          <w:rFonts w:ascii="Times New Roman" w:hAnsi="Times New Roman" w:eastAsia="仿宋_GB2312" w:cs="Times New Roman"/>
          <w:sz w:val="30"/>
          <w:szCs w:val="30"/>
          <w:highlight w:val="yellow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向国家外汇管理局咨询、监督投诉、公开查询等可通过国家外汇管理局官方互联网站公众交流栏目进行，网址为</w:t>
      </w:r>
      <w:r>
        <w:fldChar w:fldCharType="begin"/>
      </w:r>
      <w:r>
        <w:instrText xml:space="preserve"> HYPERLINK "http://www.safe.gov.cn" </w:instrText>
      </w:r>
      <w:r>
        <w:fldChar w:fldCharType="separate"/>
      </w:r>
      <w:r>
        <w:rPr>
          <w:rStyle w:val="14"/>
          <w:rFonts w:ascii="Times New Roman" w:hAnsi="Times New Roman" w:eastAsia="仿宋_GB2312" w:cs="Times New Roman"/>
          <w:color w:val="auto"/>
          <w:sz w:val="30"/>
          <w:szCs w:val="30"/>
        </w:rPr>
        <w:t>www.safe.gov.cn</w:t>
      </w:r>
      <w:r>
        <w:rPr>
          <w:rStyle w:val="14"/>
          <w:rFonts w:ascii="Times New Roman" w:hAnsi="Times New Roman" w:eastAsia="仿宋_GB2312" w:cs="Times New Roman"/>
          <w:color w:val="auto"/>
          <w:sz w:val="30"/>
          <w:szCs w:val="30"/>
        </w:rPr>
        <w:fldChar w:fldCharType="end"/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1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向国家外汇管理局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深圳市分局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咨询、监督投诉等可通过国家外汇管理局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深圳市分局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官方互联网站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咨询反馈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栏目进行。网址为</w:t>
      </w:r>
      <w:r>
        <w:rPr>
          <w:rFonts w:hint="eastAsia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eastAsia" w:ascii="Times New Roman" w:hAnsi="Times New Roman" w:eastAsia="仿宋_GB2312" w:cs="Times New Roman"/>
          <w:sz w:val="30"/>
          <w:szCs w:val="30"/>
        </w:rPr>
        <w:instrText xml:space="preserve"> HYPERLINK "http://www.safe.gov.cn/" \h </w:instrText>
      </w:r>
      <w:r>
        <w:rPr>
          <w:rFonts w:hint="eastAsia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eastAsia" w:ascii="Times New Roman" w:hAnsi="Times New Roman" w:eastAsia="仿宋_GB2312" w:cs="Times New Roman"/>
          <w:sz w:val="30"/>
          <w:szCs w:val="30"/>
        </w:rPr>
        <w:t>www.safe.gov.cn</w:t>
      </w:r>
      <w:r>
        <w:rPr>
          <w:rFonts w:hint="eastAsia" w:ascii="Times New Roman" w:hAnsi="Times New Roman" w:eastAsia="仿宋_GB2312" w:cs="Times New Roman"/>
          <w:sz w:val="30"/>
          <w:szCs w:val="30"/>
        </w:rPr>
        <w:fldChar w:fldCharType="end"/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/shenzhen/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（十六）事项审查类型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前审后批。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（十七）办公地址和时间</w:t>
      </w:r>
    </w:p>
    <w:p>
      <w:pPr>
        <w:adjustRightInd w:val="0"/>
        <w:snapToGrid w:val="0"/>
        <w:spacing w:line="360" w:lineRule="auto"/>
        <w:ind w:firstLine="601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国家外汇管理局深圳市分局办公地址：深圳市罗湖区深南东路5006号。</w:t>
      </w:r>
    </w:p>
    <w:p>
      <w:pPr>
        <w:adjustRightInd w:val="0"/>
        <w:snapToGrid w:val="0"/>
        <w:spacing w:line="360" w:lineRule="auto"/>
        <w:ind w:firstLine="601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办公时间：周一至周五（法定节假日除外）  </w:t>
      </w:r>
    </w:p>
    <w:p>
      <w:pPr>
        <w:adjustRightInd w:val="0"/>
        <w:snapToGrid w:val="0"/>
        <w:spacing w:line="360" w:lineRule="auto"/>
        <w:ind w:firstLine="601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上午8:30至中午12:00</w:t>
      </w:r>
    </w:p>
    <w:p>
      <w:pPr>
        <w:adjustRightInd w:val="0"/>
        <w:snapToGrid w:val="0"/>
        <w:spacing w:line="360" w:lineRule="auto"/>
        <w:ind w:firstLine="601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下午14:00至下午17:30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</w:rPr>
        <w:t>（十八）申请材料示范文本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yellow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XX保险公司关于经营外汇保险业务的申请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国家外汇管理局XX分局：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我公司成立于XXXX年，注册资金XX万元，注册地址为XX地（公司基本情况介绍）。因公司业务发展的需要，拟申请经营外汇保险业务，具体情况如下： 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具体情况介绍（如拟申请经营外汇保险业务的范围、公司经营情况、相关内部管理制度等）</w:t>
      </w:r>
    </w:p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 w:firstLine="600" w:firstLineChars="200"/>
        <w:jc w:val="right"/>
        <w:outlineLvl w:val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XX保险公司</w:t>
      </w:r>
    </w:p>
    <w:p>
      <w:pPr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0"/>
          <w:szCs w:val="30"/>
        </w:rPr>
        <w:t>XXXX年X月X日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XX保险公司关于变更外汇保险业务范围（或机构名称）的申请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国家外汇管理局XX分局：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我公司成立于XXXX年，注册资本XX万元，注册地址为XX地（公司基本情况介绍）。我公司于XXXX年X月X日取得经营外汇保险业务资格，现由于XX原因，拟申请变更外汇保险业务范围（或机构名称），具体情况如下：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具体情况说明（如目前经营外汇保险业务的范围、公司经营情况、变更外汇保险业务范围（或机构名称）的原因及具体情况等）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right"/>
        <w:outlineLvl w:val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XX保险公司</w:t>
      </w:r>
    </w:p>
    <w:p>
      <w:pPr>
        <w:adjustRightInd w:val="0"/>
        <w:snapToGrid w:val="0"/>
        <w:spacing w:line="360" w:lineRule="auto"/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XXXX年X月X日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yellow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yellow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yellow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yellow"/>
        </w:rPr>
      </w:pP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yellow"/>
        </w:rPr>
      </w:pP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yellow"/>
        </w:rPr>
      </w:pP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  <w:highlight w:val="yellow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（十九）常见问题解答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1.申请材料对内部管理制度有何要求？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与申请外汇保险业务相应的内部管理制度，包括但不限于业务操作流程、资金管理和数据报送等内容。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2.受理后几个工作日能办结？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按照法规要求，正式受理后，20个工作日内可以批复。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（二十）常见错误示例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申请材料未明确业务范围，内部管理制度缺少操作流程、资金管理和数据报送等内容。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</w:p>
    <w:p>
      <w:pPr>
        <w:adjustRightInd w:val="0"/>
        <w:snapToGrid w:val="0"/>
        <w:ind w:right="301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附录一</w:t>
      </w:r>
    </w:p>
    <w:p>
      <w:pPr>
        <w:adjustRightInd w:val="0"/>
        <w:snapToGrid w:val="0"/>
        <w:ind w:right="301"/>
        <w:jc w:val="center"/>
        <w:rPr>
          <w:rFonts w:ascii="Times New Roman" w:hAnsi="Times New Roman" w:eastAsia="黑体" w:cs="Times New Roman"/>
          <w:sz w:val="30"/>
          <w:szCs w:val="30"/>
        </w:rPr>
        <w:sectPr>
          <w:footerReference r:id="rId5" w:type="default"/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黑体" w:cs="Times New Roman"/>
          <w:sz w:val="30"/>
          <w:szCs w:val="30"/>
        </w:rPr>
        <w:t>基本流程</w:t>
      </w:r>
      <w:r>
        <w:rPr>
          <w:rFonts w:ascii="Times New Roman" w:hAnsi="Times New Roman" w:eastAsia="黑体" w:cs="Times New Roman"/>
          <w:kern w:val="2"/>
          <w:sz w:val="48"/>
          <w:szCs w:val="48"/>
          <w:lang w:val="en-US" w:eastAsia="zh-CN" w:bidi="ar-SA"/>
        </w:rPr>
        <w:pict>
          <v:group id="Group 47" o:spid="_x0000_s1027" style="position:absolute;left:0;margin-left:-39.15pt;margin-top:40.85pt;height:505.05pt;width:481.85pt;rotation:0f;z-index:251658240;" coordorigin="1017,3380" coordsize="9637,10101">
            <o:lock v:ext="edit" position="f" selection="f" grouping="f" rotation="f" cropping="f" text="f" aspectratio="f"/>
            <v:shape id="AutoShape 287" o:spid="_x0000_s1028" type="#_x0000_t32" style="position:absolute;left:1822;top:5323;height:0;width:1543;rotation:589824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288" o:spid="_x0000_s1029" type="#_x0000_t32" style="position:absolute;left:4695;top:6557;height:0;width:504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289" o:spid="_x0000_s1030" type="#_x0000_t34" style="position:absolute;left:4680;top:7588;height:1;width:519;rotation:0f;" o:ole="f" fillcolor="#FFFFFF" filled="t" o:preferrelative="t" stroked="t" coordorigin="0,0" coordsize="21600,21600" adj="10779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290" o:spid="_x0000_s1031" type="#_x0000_t32" style="position:absolute;left:8707;top:5320;flip:y;height:895;width:1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291" o:spid="_x0000_s1032" type="#_x0000_t32" style="position:absolute;left:2629;top:5005;flip:x;height:1;width:4643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292" o:spid="_x0000_s1033" type="#_x0000_t32" style="position:absolute;left:5002;top:9900;height:437;width:0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293" o:spid="_x0000_s1034" type="#_x0000_t32" style="position:absolute;left:4986;top:11819;height:905;width:1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294" o:spid="_x0000_s1035" type="#_x0000_t32" style="position:absolute;left:2627;top:8029;height:1391;width: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AutoShape 295" o:spid="_x0000_s1036" type="#_x0000_t32" style="position:absolute;left:2627;top:9435;height:0;width:822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296" o:spid="_x0000_s1037" type="#_x0000_t110" style="position:absolute;left:1017;top:6095;height:2115;width:315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接件并于</w:t>
                    </w: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>
                      <w:rPr>
                        <w:rFonts w:hint="eastAsia"/>
                      </w:rPr>
                      <w:t>个工作日作出是否受理决定</w:t>
                    </w:r>
                  </w:p>
                </w:txbxContent>
              </v:textbox>
            </v:shape>
            <v:shape id="AutoShape 297" o:spid="_x0000_s1038" type="#_x0000_t32" style="position:absolute;left:4166;top:7076;height:0;width:1025;rotation:589824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AutoShape 298" o:spid="_x0000_s1039" type="#_x0000_t32" style="position:absolute;left:4167;top:7156;height:0;width:513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rect id="Rectangle 299" o:spid="_x0000_s1040" style="position:absolute;left:7272;top:4573;height:720;width:2929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申请人补全材料</w:t>
                    </w:r>
                  </w:p>
                  <w:p/>
                </w:txbxContent>
              </v:textbox>
            </v:rect>
            <v:shape id="AutoShape 300" o:spid="_x0000_s1041" type="#_x0000_t109" style="position:absolute;left:5199;top:6215;height:587;width:544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材料不全或不符合法定形式的，一次性告知补正材料</w:t>
                    </w:r>
                  </w:p>
                </w:txbxContent>
              </v:textbox>
            </v:shape>
            <v:rect id="Rectangle 301" o:spid="_x0000_s1042" style="position:absolute;left:5214;top:7156;height:811;width:5440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依法不予受理的，作出不予受理决定，出具不予受理通知书</w:t>
                    </w:r>
                  </w:p>
                </w:txbxContent>
              </v:textbox>
            </v:rect>
            <v:shape id="AutoShape 302" o:spid="_x0000_s1043" type="#_x0000_t109" style="position:absolute;left:3452;top:9085;height:815;width:3227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依法应予受理的，出具受理单</w:t>
                    </w:r>
                  </w:p>
                  <w:p/>
                </w:txbxContent>
              </v:textbox>
            </v:shape>
            <v:shape id="AutoShape 303" o:spid="_x0000_s1044" type="#_x0000_t110" style="position:absolute;left:3456;top:10337;height:1444;width:3064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审查报批</w:t>
                    </w:r>
                  </w:p>
                </w:txbxContent>
              </v:textbox>
            </v:shape>
            <v:shape id="AutoShape 304" o:spid="_x0000_s1045" type="#_x0000_t109" style="position:absolute;left:3452;top:12724;height:757;width:2987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予以许可的，向申请人出具核准书面决定</w:t>
                    </w:r>
                  </w:p>
                  <w:p/>
                </w:txbxContent>
              </v:textbox>
            </v:shape>
            <v:shape id="AutoShape 305" o:spid="_x0000_s1046" type="#_x0000_t109" style="position:absolute;left:7786;top:10665;height:766;width:2298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依法作出不予许可决定</w:t>
                    </w:r>
                  </w:p>
                  <w:p/>
                </w:txbxContent>
              </v:textbox>
            </v:shape>
            <v:shape id="AutoShape 306" o:spid="_x0000_s1047" type="#_x0000_t32" style="position:absolute;left:6520;top:11046;flip:y;height:15;width:1266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AutoShape 307" o:spid="_x0000_s1048" type="#_x0000_t116" style="position:absolute;left:1700;top:3380;height:1172;width:2467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申请人现场提出书面申请，并提交材料</w:t>
                    </w:r>
                  </w:p>
                  <w:p/>
                </w:txbxContent>
              </v:textbox>
            </v:shape>
          </v:group>
        </w:pict>
      </w:r>
      <w:r>
        <w:rPr>
          <w:rFonts w:hint="eastAsia" w:ascii="Times New Roman" w:hAnsi="Times New Roman" w:eastAsia="黑体" w:cs="Times New Roman"/>
          <w:sz w:val="30"/>
          <w:szCs w:val="30"/>
        </w:rPr>
        <w:t>图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B131E"/>
    <w:rsid w:val="00003372"/>
    <w:rsid w:val="00016BA0"/>
    <w:rsid w:val="00022191"/>
    <w:rsid w:val="00023783"/>
    <w:rsid w:val="00041960"/>
    <w:rsid w:val="00042B58"/>
    <w:rsid w:val="00054B00"/>
    <w:rsid w:val="00055270"/>
    <w:rsid w:val="00057F76"/>
    <w:rsid w:val="0006560A"/>
    <w:rsid w:val="00072F8A"/>
    <w:rsid w:val="000750C8"/>
    <w:rsid w:val="00080630"/>
    <w:rsid w:val="00091661"/>
    <w:rsid w:val="00092D53"/>
    <w:rsid w:val="00096CBB"/>
    <w:rsid w:val="00097F7B"/>
    <w:rsid w:val="000B6901"/>
    <w:rsid w:val="000B728B"/>
    <w:rsid w:val="000C15B3"/>
    <w:rsid w:val="000C2B33"/>
    <w:rsid w:val="000C3109"/>
    <w:rsid w:val="000D1995"/>
    <w:rsid w:val="000D7478"/>
    <w:rsid w:val="000E1402"/>
    <w:rsid w:val="000E4759"/>
    <w:rsid w:val="0012271F"/>
    <w:rsid w:val="00130519"/>
    <w:rsid w:val="001332EE"/>
    <w:rsid w:val="00135BEE"/>
    <w:rsid w:val="0014667A"/>
    <w:rsid w:val="00154B58"/>
    <w:rsid w:val="00157C64"/>
    <w:rsid w:val="00157E81"/>
    <w:rsid w:val="00170126"/>
    <w:rsid w:val="00177059"/>
    <w:rsid w:val="00181D3E"/>
    <w:rsid w:val="00186BC2"/>
    <w:rsid w:val="00190108"/>
    <w:rsid w:val="00196FAE"/>
    <w:rsid w:val="001A3E49"/>
    <w:rsid w:val="001A72AA"/>
    <w:rsid w:val="001B1E2C"/>
    <w:rsid w:val="001C0646"/>
    <w:rsid w:val="001C44C7"/>
    <w:rsid w:val="001D65A2"/>
    <w:rsid w:val="001E1407"/>
    <w:rsid w:val="001F4BD4"/>
    <w:rsid w:val="001F7297"/>
    <w:rsid w:val="00205D07"/>
    <w:rsid w:val="00212F39"/>
    <w:rsid w:val="00215BA9"/>
    <w:rsid w:val="00217116"/>
    <w:rsid w:val="00231EED"/>
    <w:rsid w:val="00233841"/>
    <w:rsid w:val="00235F24"/>
    <w:rsid w:val="002417D2"/>
    <w:rsid w:val="00241FE8"/>
    <w:rsid w:val="0024527E"/>
    <w:rsid w:val="00253F7B"/>
    <w:rsid w:val="00263773"/>
    <w:rsid w:val="00263B1F"/>
    <w:rsid w:val="00291C17"/>
    <w:rsid w:val="0029313A"/>
    <w:rsid w:val="002B0B1C"/>
    <w:rsid w:val="002B598D"/>
    <w:rsid w:val="002B61C1"/>
    <w:rsid w:val="002C6BC7"/>
    <w:rsid w:val="002E1323"/>
    <w:rsid w:val="002F3868"/>
    <w:rsid w:val="00302119"/>
    <w:rsid w:val="00302E87"/>
    <w:rsid w:val="00310261"/>
    <w:rsid w:val="0033051F"/>
    <w:rsid w:val="00343044"/>
    <w:rsid w:val="00344B01"/>
    <w:rsid w:val="00353AC4"/>
    <w:rsid w:val="00360FA0"/>
    <w:rsid w:val="003616B4"/>
    <w:rsid w:val="0037548C"/>
    <w:rsid w:val="003A57B2"/>
    <w:rsid w:val="003C7132"/>
    <w:rsid w:val="003D77A5"/>
    <w:rsid w:val="003E6BF6"/>
    <w:rsid w:val="003F221D"/>
    <w:rsid w:val="003F3097"/>
    <w:rsid w:val="00402AE8"/>
    <w:rsid w:val="00405FE6"/>
    <w:rsid w:val="004104EB"/>
    <w:rsid w:val="004105BC"/>
    <w:rsid w:val="00421C27"/>
    <w:rsid w:val="00440A1F"/>
    <w:rsid w:val="00443603"/>
    <w:rsid w:val="00443604"/>
    <w:rsid w:val="004501EA"/>
    <w:rsid w:val="00460458"/>
    <w:rsid w:val="00463BFF"/>
    <w:rsid w:val="0046792D"/>
    <w:rsid w:val="004767DF"/>
    <w:rsid w:val="00481032"/>
    <w:rsid w:val="00493CCC"/>
    <w:rsid w:val="0049552E"/>
    <w:rsid w:val="004A0218"/>
    <w:rsid w:val="004A7840"/>
    <w:rsid w:val="004B545A"/>
    <w:rsid w:val="004B7E80"/>
    <w:rsid w:val="004C1596"/>
    <w:rsid w:val="004C457E"/>
    <w:rsid w:val="004C48D5"/>
    <w:rsid w:val="004D03B7"/>
    <w:rsid w:val="004D1436"/>
    <w:rsid w:val="004D57AE"/>
    <w:rsid w:val="004E0A65"/>
    <w:rsid w:val="004F07E8"/>
    <w:rsid w:val="005056D4"/>
    <w:rsid w:val="00526B2B"/>
    <w:rsid w:val="005362B0"/>
    <w:rsid w:val="00542447"/>
    <w:rsid w:val="00550714"/>
    <w:rsid w:val="00563796"/>
    <w:rsid w:val="00564312"/>
    <w:rsid w:val="005A2981"/>
    <w:rsid w:val="005C6937"/>
    <w:rsid w:val="005C7F02"/>
    <w:rsid w:val="005F0A86"/>
    <w:rsid w:val="005F144A"/>
    <w:rsid w:val="005F1C00"/>
    <w:rsid w:val="0061621E"/>
    <w:rsid w:val="0062366A"/>
    <w:rsid w:val="00630AA8"/>
    <w:rsid w:val="00630B2E"/>
    <w:rsid w:val="00643D2A"/>
    <w:rsid w:val="00664E11"/>
    <w:rsid w:val="00673432"/>
    <w:rsid w:val="00673B30"/>
    <w:rsid w:val="00696E5D"/>
    <w:rsid w:val="006B5B86"/>
    <w:rsid w:val="006C28AF"/>
    <w:rsid w:val="006C3F52"/>
    <w:rsid w:val="006C5908"/>
    <w:rsid w:val="006C633E"/>
    <w:rsid w:val="006D56AB"/>
    <w:rsid w:val="006D734F"/>
    <w:rsid w:val="006E043F"/>
    <w:rsid w:val="006E4695"/>
    <w:rsid w:val="006E4B8B"/>
    <w:rsid w:val="006E5901"/>
    <w:rsid w:val="0071091C"/>
    <w:rsid w:val="00714961"/>
    <w:rsid w:val="00743ACD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7269F"/>
    <w:rsid w:val="00785088"/>
    <w:rsid w:val="00785F45"/>
    <w:rsid w:val="00795E87"/>
    <w:rsid w:val="007A2780"/>
    <w:rsid w:val="007A68EA"/>
    <w:rsid w:val="007B06FC"/>
    <w:rsid w:val="007B0FEF"/>
    <w:rsid w:val="007B2DB5"/>
    <w:rsid w:val="007C2C07"/>
    <w:rsid w:val="007D2C11"/>
    <w:rsid w:val="007D6171"/>
    <w:rsid w:val="007D69EA"/>
    <w:rsid w:val="007E2C7B"/>
    <w:rsid w:val="007E411B"/>
    <w:rsid w:val="007F0863"/>
    <w:rsid w:val="007F2F3B"/>
    <w:rsid w:val="00802307"/>
    <w:rsid w:val="0082168E"/>
    <w:rsid w:val="00821968"/>
    <w:rsid w:val="00836B5E"/>
    <w:rsid w:val="008471B6"/>
    <w:rsid w:val="0084737D"/>
    <w:rsid w:val="00851521"/>
    <w:rsid w:val="0085686A"/>
    <w:rsid w:val="00860878"/>
    <w:rsid w:val="008653AB"/>
    <w:rsid w:val="008731FF"/>
    <w:rsid w:val="008816CB"/>
    <w:rsid w:val="0088294A"/>
    <w:rsid w:val="0089282A"/>
    <w:rsid w:val="008A4538"/>
    <w:rsid w:val="008A704B"/>
    <w:rsid w:val="008B08D2"/>
    <w:rsid w:val="008B4EE5"/>
    <w:rsid w:val="008B5807"/>
    <w:rsid w:val="008D5FA0"/>
    <w:rsid w:val="008E04B5"/>
    <w:rsid w:val="008E2D38"/>
    <w:rsid w:val="008F5724"/>
    <w:rsid w:val="008F5900"/>
    <w:rsid w:val="00902633"/>
    <w:rsid w:val="009027D8"/>
    <w:rsid w:val="0090372F"/>
    <w:rsid w:val="00911E27"/>
    <w:rsid w:val="00911E9A"/>
    <w:rsid w:val="0092129A"/>
    <w:rsid w:val="00925BB2"/>
    <w:rsid w:val="00930C8C"/>
    <w:rsid w:val="009360EA"/>
    <w:rsid w:val="00947C57"/>
    <w:rsid w:val="00951149"/>
    <w:rsid w:val="00960EDB"/>
    <w:rsid w:val="009622DB"/>
    <w:rsid w:val="009664BC"/>
    <w:rsid w:val="009802B3"/>
    <w:rsid w:val="00980F02"/>
    <w:rsid w:val="00991B77"/>
    <w:rsid w:val="00997523"/>
    <w:rsid w:val="009A0C5D"/>
    <w:rsid w:val="009C3809"/>
    <w:rsid w:val="009C4672"/>
    <w:rsid w:val="009C491B"/>
    <w:rsid w:val="009D0911"/>
    <w:rsid w:val="009D24F8"/>
    <w:rsid w:val="009D688C"/>
    <w:rsid w:val="009D7B83"/>
    <w:rsid w:val="009E49CD"/>
    <w:rsid w:val="009F1CE6"/>
    <w:rsid w:val="009F276E"/>
    <w:rsid w:val="009F7A36"/>
    <w:rsid w:val="00A1524C"/>
    <w:rsid w:val="00A249C2"/>
    <w:rsid w:val="00A24FAB"/>
    <w:rsid w:val="00A301E7"/>
    <w:rsid w:val="00A31525"/>
    <w:rsid w:val="00A376AD"/>
    <w:rsid w:val="00A42E69"/>
    <w:rsid w:val="00A45CA7"/>
    <w:rsid w:val="00A51415"/>
    <w:rsid w:val="00A6014E"/>
    <w:rsid w:val="00A60356"/>
    <w:rsid w:val="00A61333"/>
    <w:rsid w:val="00A61A9C"/>
    <w:rsid w:val="00A66F2C"/>
    <w:rsid w:val="00A73838"/>
    <w:rsid w:val="00A81DF1"/>
    <w:rsid w:val="00A90EF3"/>
    <w:rsid w:val="00AA7717"/>
    <w:rsid w:val="00AB131E"/>
    <w:rsid w:val="00AB644F"/>
    <w:rsid w:val="00AB70C5"/>
    <w:rsid w:val="00AC3F5E"/>
    <w:rsid w:val="00AC5293"/>
    <w:rsid w:val="00AD37AF"/>
    <w:rsid w:val="00AE7ACF"/>
    <w:rsid w:val="00AF1ED9"/>
    <w:rsid w:val="00B06409"/>
    <w:rsid w:val="00B16C25"/>
    <w:rsid w:val="00B17D66"/>
    <w:rsid w:val="00B2080F"/>
    <w:rsid w:val="00B31FD9"/>
    <w:rsid w:val="00B35D3A"/>
    <w:rsid w:val="00B422F1"/>
    <w:rsid w:val="00B60377"/>
    <w:rsid w:val="00B71531"/>
    <w:rsid w:val="00B716CB"/>
    <w:rsid w:val="00B71F89"/>
    <w:rsid w:val="00B7456C"/>
    <w:rsid w:val="00B84131"/>
    <w:rsid w:val="00B8630E"/>
    <w:rsid w:val="00B931F4"/>
    <w:rsid w:val="00B95573"/>
    <w:rsid w:val="00B96395"/>
    <w:rsid w:val="00BA2AF8"/>
    <w:rsid w:val="00BB2650"/>
    <w:rsid w:val="00BB5BDC"/>
    <w:rsid w:val="00BB7B76"/>
    <w:rsid w:val="00BD233D"/>
    <w:rsid w:val="00BF4EF0"/>
    <w:rsid w:val="00C02E44"/>
    <w:rsid w:val="00C147D2"/>
    <w:rsid w:val="00C2075F"/>
    <w:rsid w:val="00C23799"/>
    <w:rsid w:val="00C274C9"/>
    <w:rsid w:val="00C31E02"/>
    <w:rsid w:val="00C45BC1"/>
    <w:rsid w:val="00C54291"/>
    <w:rsid w:val="00C623EC"/>
    <w:rsid w:val="00C672C3"/>
    <w:rsid w:val="00C712B2"/>
    <w:rsid w:val="00C94325"/>
    <w:rsid w:val="00C9681A"/>
    <w:rsid w:val="00C97FED"/>
    <w:rsid w:val="00CA1DBB"/>
    <w:rsid w:val="00CA2622"/>
    <w:rsid w:val="00CA7F2C"/>
    <w:rsid w:val="00CA7FF8"/>
    <w:rsid w:val="00CB5DE7"/>
    <w:rsid w:val="00CC068D"/>
    <w:rsid w:val="00CC4922"/>
    <w:rsid w:val="00CD1FF6"/>
    <w:rsid w:val="00CE25C7"/>
    <w:rsid w:val="00CE3335"/>
    <w:rsid w:val="00CE3ADC"/>
    <w:rsid w:val="00CE4849"/>
    <w:rsid w:val="00CE5C8E"/>
    <w:rsid w:val="00CE5F49"/>
    <w:rsid w:val="00D01626"/>
    <w:rsid w:val="00D13966"/>
    <w:rsid w:val="00D33A4D"/>
    <w:rsid w:val="00D33F76"/>
    <w:rsid w:val="00D41F5E"/>
    <w:rsid w:val="00D42E6E"/>
    <w:rsid w:val="00D43DC0"/>
    <w:rsid w:val="00D54E56"/>
    <w:rsid w:val="00D6407D"/>
    <w:rsid w:val="00D93E78"/>
    <w:rsid w:val="00DC6E91"/>
    <w:rsid w:val="00DC7514"/>
    <w:rsid w:val="00DD3845"/>
    <w:rsid w:val="00DD5039"/>
    <w:rsid w:val="00E1687A"/>
    <w:rsid w:val="00E20A2E"/>
    <w:rsid w:val="00E26582"/>
    <w:rsid w:val="00E277DE"/>
    <w:rsid w:val="00E27EE9"/>
    <w:rsid w:val="00E3239D"/>
    <w:rsid w:val="00E3254B"/>
    <w:rsid w:val="00E3439B"/>
    <w:rsid w:val="00E42C5F"/>
    <w:rsid w:val="00E61037"/>
    <w:rsid w:val="00E65A1B"/>
    <w:rsid w:val="00E72F1F"/>
    <w:rsid w:val="00E934AB"/>
    <w:rsid w:val="00EA06AC"/>
    <w:rsid w:val="00EA08BF"/>
    <w:rsid w:val="00EA24FB"/>
    <w:rsid w:val="00EA3F5E"/>
    <w:rsid w:val="00EB3204"/>
    <w:rsid w:val="00EB50BA"/>
    <w:rsid w:val="00EC3D33"/>
    <w:rsid w:val="00ED302A"/>
    <w:rsid w:val="00ED3A42"/>
    <w:rsid w:val="00EE02BC"/>
    <w:rsid w:val="00EE6970"/>
    <w:rsid w:val="00EF38D0"/>
    <w:rsid w:val="00EF3DDF"/>
    <w:rsid w:val="00EF4A8C"/>
    <w:rsid w:val="00F2678C"/>
    <w:rsid w:val="00F27B38"/>
    <w:rsid w:val="00F27E3D"/>
    <w:rsid w:val="00F40278"/>
    <w:rsid w:val="00F41832"/>
    <w:rsid w:val="00F51D34"/>
    <w:rsid w:val="00F56988"/>
    <w:rsid w:val="00F620FB"/>
    <w:rsid w:val="00F6571F"/>
    <w:rsid w:val="00F8687E"/>
    <w:rsid w:val="00F93331"/>
    <w:rsid w:val="00F95549"/>
    <w:rsid w:val="00FA1E24"/>
    <w:rsid w:val="00FA24FB"/>
    <w:rsid w:val="00FA632B"/>
    <w:rsid w:val="00FB38EA"/>
    <w:rsid w:val="00FB5E0F"/>
    <w:rsid w:val="00FB6AFF"/>
    <w:rsid w:val="00FC1740"/>
    <w:rsid w:val="00FC3929"/>
    <w:rsid w:val="00FC4D8F"/>
    <w:rsid w:val="00FD06D3"/>
    <w:rsid w:val="00FD7687"/>
    <w:rsid w:val="00FE3157"/>
    <w:rsid w:val="00FE6865"/>
    <w:rsid w:val="00FE6993"/>
    <w:rsid w:val="1AA266C8"/>
    <w:rsid w:val="43E517F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9"/>
    <w:pPr>
      <w:ind w:right="300"/>
      <w:outlineLvl w:val="2"/>
    </w:pPr>
    <w:rPr>
      <w:rFonts w:ascii="仿宋_GB2312" w:hAnsi="Calibri" w:eastAsia="仿宋_GB2312" w:cs="Times New Roman"/>
      <w:sz w:val="30"/>
      <w:szCs w:val="30"/>
    </w:rPr>
  </w:style>
  <w:style w:type="character" w:default="1" w:styleId="13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Document Map"/>
    <w:basedOn w:val="1"/>
    <w:link w:val="38"/>
    <w:unhideWhenUsed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1"/>
    <w:unhideWhenUsed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Balloon Text"/>
    <w:basedOn w:val="1"/>
    <w:link w:val="29"/>
    <w:unhideWhenUsed/>
    <w:uiPriority w:val="0"/>
    <w:rPr>
      <w:sz w:val="18"/>
      <w:szCs w:val="18"/>
    </w:rPr>
  </w:style>
  <w:style w:type="paragraph" w:styleId="8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6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HTML Preformatted"/>
    <w:basedOn w:val="1"/>
    <w:link w:val="3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unhideWhenUsed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5">
    <w:name w:val="annotation reference"/>
    <w:basedOn w:val="13"/>
    <w:unhideWhenUsed/>
    <w:qFormat/>
    <w:uiPriority w:val="0"/>
    <w:rPr>
      <w:sz w:val="21"/>
      <w:szCs w:val="21"/>
    </w:rPr>
  </w:style>
  <w:style w:type="character" w:styleId="16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table" w:styleId="18">
    <w:name w:val="Table Grid"/>
    <w:basedOn w:val="17"/>
    <w:uiPriority w:val="59"/>
    <w:pPr/>
    <w:tblPr>
      <w:tblStyle w:val="1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1">
    <w:name w:val="juzhong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出段落4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5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6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7">
    <w:name w:val="页眉 Char"/>
    <w:basedOn w:val="13"/>
    <w:link w:val="9"/>
    <w:uiPriority w:val="99"/>
    <w:rPr>
      <w:sz w:val="18"/>
      <w:szCs w:val="18"/>
    </w:rPr>
  </w:style>
  <w:style w:type="character" w:customStyle="1" w:styleId="28">
    <w:name w:val="页脚 Char"/>
    <w:basedOn w:val="13"/>
    <w:link w:val="8"/>
    <w:uiPriority w:val="99"/>
    <w:rPr>
      <w:sz w:val="18"/>
      <w:szCs w:val="18"/>
    </w:rPr>
  </w:style>
  <w:style w:type="character" w:customStyle="1" w:styleId="29">
    <w:name w:val="批注框文本 Char"/>
    <w:basedOn w:val="13"/>
    <w:link w:val="7"/>
    <w:semiHidden/>
    <w:uiPriority w:val="0"/>
    <w:rPr>
      <w:sz w:val="18"/>
      <w:szCs w:val="18"/>
    </w:rPr>
  </w:style>
  <w:style w:type="character" w:customStyle="1" w:styleId="30">
    <w:name w:val="HTML 预设格式 Char"/>
    <w:basedOn w:val="13"/>
    <w:link w:val="11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批注文字 Char"/>
    <w:basedOn w:val="13"/>
    <w:link w:val="6"/>
    <w:semiHidden/>
    <w:uiPriority w:val="0"/>
    <w:rPr>
      <w:rFonts w:ascii="Calibri" w:hAnsi="Calibri" w:eastAsia="宋体" w:cs="Times New Roman"/>
    </w:rPr>
  </w:style>
  <w:style w:type="character" w:customStyle="1" w:styleId="32">
    <w:name w:val="标题 1 Char"/>
    <w:basedOn w:val="13"/>
    <w:link w:val="2"/>
    <w:qFormat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3">
    <w:name w:val="标题 2 Char"/>
    <w:basedOn w:val="13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basedOn w:val="13"/>
    <w:link w:val="4"/>
    <w:qFormat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5">
    <w:name w:val="脚注文本 Char"/>
    <w:basedOn w:val="13"/>
    <w:semiHidden/>
    <w:uiPriority w:val="99"/>
    <w:rPr>
      <w:kern w:val="2"/>
      <w:sz w:val="18"/>
      <w:szCs w:val="18"/>
    </w:rPr>
  </w:style>
  <w:style w:type="character" w:customStyle="1" w:styleId="36">
    <w:name w:val="脚注文本 Char1"/>
    <w:basedOn w:val="13"/>
    <w:link w:val="10"/>
    <w:semiHidden/>
    <w:uiPriority w:val="0"/>
    <w:rPr>
      <w:rFonts w:ascii="Times New Roman" w:hAnsi="Times New Roman"/>
      <w:sz w:val="18"/>
      <w:szCs w:val="18"/>
    </w:rPr>
  </w:style>
  <w:style w:type="character" w:customStyle="1" w:styleId="37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8">
    <w:name w:val="文档结构图 Char"/>
    <w:basedOn w:val="13"/>
    <w:link w:val="5"/>
    <w:uiPriority w:val="0"/>
    <w:rPr>
      <w:rFonts w:ascii="宋体"/>
      <w:sz w:val="18"/>
      <w:szCs w:val="18"/>
    </w:rPr>
  </w:style>
  <w:style w:type="character" w:customStyle="1" w:styleId="39">
    <w:name w:val="批注文字 Char1"/>
    <w:basedOn w:val="13"/>
    <w:semiHidden/>
    <w:qFormat/>
    <w:uiPriority w:val="99"/>
    <w:rPr>
      <w:kern w:val="2"/>
      <w:sz w:val="21"/>
      <w:szCs w:val="22"/>
    </w:rPr>
  </w:style>
  <w:style w:type="character" w:customStyle="1" w:styleId="40">
    <w:name w:val="Intense Emphasis"/>
    <w:basedOn w:val="13"/>
    <w:qFormat/>
    <w:uiPriority w:val="21"/>
    <w:rPr>
      <w:b/>
      <w:bCs/>
      <w:i/>
      <w:iCs/>
      <w:color w:val="4F81BD"/>
    </w:rPr>
  </w:style>
  <w:style w:type="character" w:customStyle="1" w:styleId="41">
    <w:name w:val="文档结构图 Char1"/>
    <w:basedOn w:val="13"/>
    <w:semiHidden/>
    <w:qFormat/>
    <w:uiPriority w:val="99"/>
    <w:rPr>
      <w:rFonts w:ascii="宋体" w:eastAsia="宋体"/>
      <w:sz w:val="18"/>
      <w:szCs w:val="18"/>
    </w:rPr>
  </w:style>
  <w:style w:type="character" w:customStyle="1" w:styleId="42">
    <w:name w:val="脚注文本 Char2"/>
    <w:basedOn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400</Words>
  <Characters>2283</Characters>
  <Lines>19</Lines>
  <Paragraphs>5</Paragraphs>
  <TotalTime>0</TotalTime>
  <ScaleCrop>false</ScaleCrop>
  <LinksUpToDate>false</LinksUpToDate>
  <CharactersWithSpaces>0</CharactersWithSpaces>
  <Application>WPS Office 专业版_9.1.0.4795_{F1E327BC-269C-435d-A152-05C5408002CA}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2020-02-26T11:29:00Z</dcterms:created>
  <dc:creator>裴建君2</dc:creator>
  <cp:lastModifiedBy>史学岗</cp:lastModifiedBy>
  <cp:lastPrinted>2017-12-26T09:10:00Z</cp:lastPrinted>
  <dcterms:modified xsi:type="dcterms:W3CDTF">2021-05-27T08:10:48Z</dcterms:modified>
  <dc:title>编号：57014               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2052-9.1.0.4795</vt:lpwstr>
  </property>
</Properties>
</file>