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黑体" w:cs="Times New Roman"/>
          <w:sz w:val="48"/>
          <w:szCs w:val="48"/>
        </w:rPr>
      </w:pPr>
      <w:r>
        <w:rPr>
          <w:rFonts w:ascii="Times New Roman" w:hAnsi="Times New Roman" w:eastAsia="黑体" w:cs="Times New Roman"/>
          <w:sz w:val="48"/>
          <w:szCs w:val="48"/>
        </w:rPr>
        <w:t>编号：57004</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“跨境从事有价证券、衍生产品发行、交易外汇登记”行政审批服务指南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深圳市分局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项目名称：跨境从事有价证券、衍生产品发行、交易外汇登记；</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项目编号：57004；</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本指南适用于“跨境从事有价证券、衍生产品发行、交易外汇登记”的申请和办理。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六条：“……境外机构、境外个人在境内从事有价证券或者衍生产品发行、交易，应当遵守国家关于市场准入的规定，并按照国务院外汇管理部门的规定办理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七条：“境内机构、境内个人向境外直接投资或者从事境外有价证券、衍生产品发行、交易，应当按照国务院外汇管理部门的规定办理登记。国家规定需要事先经有关主管部门批准或者备案的，应当在外汇登记前办理批准或者备案手续”。</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四、境内公司境外上市或发行境外存托凭证登记及变更、注销登记</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2.《国家外汇管理局关于境外上市外汇管理有关问题的通知》（汇发〔2014〕54号）。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3.《H股公司境内未上市股份申请“全流通”业务指引》（证监会公告〔201</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〕22号）。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 《存托凭证跨境资金管理办法（试行）》（中国人民银行 国家外汇管理局公告〔201</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〕第8号）。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为境外上市发行股票（含优先股及股票派生形式证券）、可转换为股票的公司债券、存托凭证等法律法规允许的证券，并在境外证券交易所公开上市流通的境内公司。境内公司应在境外发行活动（含行使超额配售）结束之日起15个工作日内，到其所在地外汇局办理境外上市登记。</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1</w:t>
      </w:r>
      <w:r>
        <w:rPr>
          <w:rFonts w:hint="eastAsia" w:ascii="Times New Roman" w:hAnsi="Times New Roman" w:eastAsia="黑体" w:cs="Times New Roman"/>
          <w:sz w:val="30"/>
          <w:szCs w:val="30"/>
        </w:rPr>
        <w:t>.</w:t>
      </w:r>
      <w:r>
        <w:rPr>
          <w:rFonts w:ascii="Times New Roman" w:hAnsi="Times New Roman" w:eastAsia="黑体" w:cs="Times New Roman"/>
          <w:sz w:val="30"/>
          <w:szCs w:val="30"/>
        </w:rPr>
        <w:t>境内公司境外上市</w:t>
      </w:r>
      <w:r>
        <w:rPr>
          <w:rFonts w:hint="eastAsia" w:ascii="Times New Roman" w:hAnsi="Times New Roman" w:eastAsia="黑体" w:cs="Times New Roman"/>
          <w:sz w:val="30"/>
          <w:szCs w:val="30"/>
        </w:rPr>
        <w:t>或发行境外存托凭证</w:t>
      </w:r>
      <w:r>
        <w:rPr>
          <w:rFonts w:ascii="Times New Roman" w:hAnsi="Times New Roman" w:eastAsia="黑体" w:cs="Times New Roman"/>
          <w:sz w:val="30"/>
          <w:szCs w:val="30"/>
        </w:rPr>
        <w:t>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992"/>
        <w:gridCol w:w="457"/>
        <w:gridCol w:w="960"/>
        <w:gridCol w:w="45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书面申请，并附《境外上市登记表》</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中国证监会许可境内公司境外上市</w:t>
            </w:r>
            <w:r>
              <w:rPr>
                <w:rFonts w:hint="eastAsia" w:ascii="Times New Roman" w:hAnsi="Times New Roman" w:eastAsia="仿宋_GB2312" w:cs="Times New Roman"/>
                <w:kern w:val="0"/>
                <w:sz w:val="24"/>
                <w:szCs w:val="24"/>
              </w:rPr>
              <w:t>或发行境外存托凭证</w:t>
            </w:r>
            <w:r>
              <w:rPr>
                <w:rFonts w:ascii="Times New Roman" w:hAnsi="Times New Roman" w:eastAsia="仿宋_GB2312" w:cs="Times New Roman"/>
                <w:kern w:val="0"/>
                <w:sz w:val="24"/>
                <w:szCs w:val="24"/>
              </w:rPr>
              <w:t>的证明文件</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境外发行结束的公告文件</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国家外汇管理局关于境内投资者参与境外上市购付汇的批准文件（如有）</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right="-58"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2</w:t>
      </w:r>
      <w:r>
        <w:rPr>
          <w:rFonts w:hint="eastAsia" w:ascii="Times New Roman" w:hAnsi="Times New Roman" w:eastAsia="黑体" w:cs="Times New Roman"/>
          <w:sz w:val="30"/>
          <w:szCs w:val="30"/>
        </w:rPr>
        <w:t>.</w:t>
      </w:r>
      <w:r>
        <w:rPr>
          <w:rFonts w:ascii="Times New Roman" w:hAnsi="Times New Roman" w:eastAsia="黑体" w:cs="Times New Roman"/>
          <w:sz w:val="30"/>
          <w:szCs w:val="30"/>
        </w:rPr>
        <w:t>H</w:t>
      </w:r>
      <w:r>
        <w:rPr>
          <w:rFonts w:hint="eastAsia" w:ascii="Times New Roman" w:hAnsi="Times New Roman" w:eastAsia="黑体" w:cs="Times New Roman"/>
          <w:sz w:val="30"/>
          <w:szCs w:val="30"/>
        </w:rPr>
        <w:t>股</w:t>
      </w:r>
      <w:r>
        <w:rPr>
          <w:rFonts w:ascii="Times New Roman" w:hAnsi="Times New Roman" w:eastAsia="黑体" w:cs="Times New Roman"/>
          <w:sz w:val="30"/>
          <w:szCs w:val="30"/>
        </w:rPr>
        <w:t>“</w:t>
      </w:r>
      <w:r>
        <w:rPr>
          <w:rFonts w:hint="eastAsia" w:ascii="Times New Roman" w:hAnsi="Times New Roman" w:eastAsia="黑体" w:cs="Times New Roman"/>
          <w:sz w:val="30"/>
          <w:szCs w:val="30"/>
        </w:rPr>
        <w:t>全流通</w:t>
      </w:r>
      <w:r>
        <w:rPr>
          <w:rFonts w:ascii="Times New Roman" w:hAnsi="Times New Roman" w:eastAsia="黑体" w:cs="Times New Roman"/>
          <w:sz w:val="30"/>
          <w:szCs w:val="30"/>
        </w:rPr>
        <w:t>”</w:t>
      </w:r>
      <w:r>
        <w:rPr>
          <w:rFonts w:hint="eastAsia" w:ascii="Times New Roman" w:hAnsi="Times New Roman" w:eastAsia="黑体" w:cs="Times New Roman"/>
          <w:sz w:val="30"/>
          <w:szCs w:val="30"/>
        </w:rPr>
        <w:t>变更登记申请材料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992"/>
        <w:gridCol w:w="457"/>
        <w:gridCol w:w="960"/>
        <w:gridCol w:w="45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份数</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纸质/电子</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书面申请，并附《境外上市登记表》</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加盖公章的原件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中国证监会批准参加</w:t>
            </w:r>
            <w:r>
              <w:rPr>
                <w:rFonts w:ascii="Times New Roman" w:hAnsi="Times New Roman" w:eastAsia="仿宋_GB2312" w:cs="Times New Roman"/>
                <w:kern w:val="0"/>
                <w:sz w:val="24"/>
                <w:szCs w:val="24"/>
              </w:rPr>
              <w:t>H</w:t>
            </w:r>
            <w:r>
              <w:rPr>
                <w:rFonts w:hint="eastAsia" w:ascii="Times New Roman" w:hAnsi="Times New Roman" w:eastAsia="仿宋_GB2312" w:cs="Times New Roman"/>
                <w:kern w:val="0"/>
                <w:sz w:val="24"/>
                <w:szCs w:val="24"/>
              </w:rPr>
              <w:t>股</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全流通</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业务的许可文件</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境外上市公司关于开展</w:t>
            </w:r>
            <w:r>
              <w:rPr>
                <w:rFonts w:ascii="Times New Roman" w:hAnsi="Times New Roman" w:eastAsia="仿宋_GB2312" w:cs="Times New Roman"/>
                <w:kern w:val="0"/>
                <w:sz w:val="24"/>
                <w:szCs w:val="24"/>
              </w:rPr>
              <w:t>H</w:t>
            </w:r>
            <w:r>
              <w:rPr>
                <w:rFonts w:hint="eastAsia" w:ascii="Times New Roman" w:hAnsi="Times New Roman" w:eastAsia="仿宋_GB2312" w:cs="Times New Roman"/>
                <w:kern w:val="0"/>
                <w:sz w:val="24"/>
                <w:szCs w:val="24"/>
              </w:rPr>
              <w:t>股</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全流通</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业务的公告文件</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bl>
    <w:p>
      <w:pPr>
        <w:ind w:right="-58"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3</w:t>
      </w:r>
      <w:r>
        <w:rPr>
          <w:rFonts w:hint="eastAsia" w:ascii="Times New Roman" w:hAnsi="Times New Roman" w:eastAsia="黑体" w:cs="Times New Roman"/>
          <w:sz w:val="30"/>
          <w:szCs w:val="30"/>
        </w:rPr>
        <w:t>.</w:t>
      </w:r>
      <w:r>
        <w:rPr>
          <w:rFonts w:ascii="Times New Roman" w:hAnsi="Times New Roman" w:eastAsia="黑体" w:cs="Times New Roman"/>
          <w:sz w:val="30"/>
          <w:szCs w:val="30"/>
        </w:rPr>
        <w:t>境内公司境外上市其他变更登记申请材料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992"/>
        <w:gridCol w:w="457"/>
        <w:gridCol w:w="960"/>
        <w:gridCol w:w="45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份数</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纸质/电子</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书面申请，并附《境外上市登记表》</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加盖公章的原件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主管部门关于变更事项的相关批复或备案文件（如有）</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相关公告</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4</w:t>
      </w:r>
      <w:r>
        <w:rPr>
          <w:rFonts w:hint="eastAsia" w:ascii="Times New Roman" w:hAnsi="Times New Roman" w:eastAsia="黑体" w:cs="Times New Roman"/>
          <w:sz w:val="30"/>
          <w:szCs w:val="30"/>
        </w:rPr>
        <w:t>.</w:t>
      </w:r>
      <w:r>
        <w:rPr>
          <w:rFonts w:ascii="Times New Roman" w:hAnsi="Times New Roman" w:eastAsia="黑体" w:cs="Times New Roman"/>
          <w:sz w:val="30"/>
          <w:szCs w:val="30"/>
        </w:rPr>
        <w:t>境内公司境外上市注销登记申请材料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992"/>
        <w:gridCol w:w="457"/>
        <w:gridCol w:w="960"/>
        <w:gridCol w:w="45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份数</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纸质/电子</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书面申请</w:t>
            </w:r>
            <w:r>
              <w:rPr>
                <w:rFonts w:ascii="Times New Roman" w:hAnsi="Times New Roman" w:eastAsia="仿宋_GB2312" w:cs="Times New Roman"/>
                <w:color w:val="000000"/>
                <w:sz w:val="24"/>
                <w:szCs w:val="24"/>
              </w:rPr>
              <w:t>，并附</w:t>
            </w:r>
            <w:r>
              <w:rPr>
                <w:rFonts w:ascii="Times New Roman" w:hAnsi="Times New Roman" w:eastAsia="仿宋_GB2312" w:cs="Times New Roman"/>
                <w:kern w:val="0"/>
                <w:sz w:val="24"/>
                <w:szCs w:val="24"/>
              </w:rPr>
              <w:t>《境外上市登记表》</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加盖公章的原件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退市公告</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sz w:val="24"/>
                <w:szCs w:val="24"/>
              </w:rPr>
              <w:t>主管部门关于注销事项的相关批复或备案文件（如有）</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540" w:lineRule="exact"/>
        <w:ind w:firstLine="600" w:firstLineChars="200"/>
        <w:rPr>
          <w:rFonts w:ascii="Times New Roman" w:hAnsi="Times New Roman" w:eastAsia="黑体" w:cs="Times New Roman"/>
          <w:sz w:val="30"/>
          <w:szCs w:val="30"/>
        </w:rPr>
      </w:pP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54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rPr>
        <w:t>申请人可通过所在地外汇局业务窗口</w:t>
      </w:r>
      <w:r>
        <w:rPr>
          <w:rFonts w:hint="eastAsia" w:ascii="Times New Roman" w:hAnsi="Times New Roman" w:eastAsia="仿宋_GB2312" w:cs="Times New Roman"/>
          <w:sz w:val="30"/>
          <w:szCs w:val="30"/>
          <w:highlight w:val="none"/>
        </w:rPr>
        <w:t>或国家外汇管理局政务服务网上办理系统</w:t>
      </w:r>
      <w:r>
        <w:rPr>
          <w:rFonts w:ascii="Times New Roman" w:hAnsi="Times New Roman" w:eastAsia="仿宋_GB2312" w:cs="Times New Roman"/>
          <w:sz w:val="30"/>
          <w:szCs w:val="30"/>
        </w:rPr>
        <w:t>提交材料</w:t>
      </w:r>
      <w:r>
        <w:rPr>
          <w:rFonts w:hint="eastAsia" w:ascii="Times New Roman" w:hAnsi="Times New Roman" w:eastAsia="仿宋_GB2312" w:cs="Times New Roman"/>
          <w:sz w:val="30"/>
          <w:szCs w:val="30"/>
        </w:rPr>
        <w:t>。</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54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540" w:lineRule="exact"/>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540" w:lineRule="exact"/>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540" w:lineRule="exact"/>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540" w:lineRule="exact"/>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通过现场告知或电话通知申请人，并通过现场领取或通过邮寄方式将结果送达。</w:t>
      </w:r>
    </w:p>
    <w:p>
      <w:pPr>
        <w:adjustRightInd w:val="0"/>
        <w:snapToGrid w:val="0"/>
        <w:spacing w:line="540" w:lineRule="exact"/>
        <w:ind w:firstLine="600"/>
        <w:outlineLvl w:val="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（十五）咨询途径、监督和投诉、公开查询方式等</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向国家外汇管理局深圳市分局咨询、监督投诉等可通过国家外汇管理局深圳市分局官方互联网站咨询反馈栏目进行。网址为www.safe.gov.cn/shenzhen/。</w:t>
      </w:r>
    </w:p>
    <w:p>
      <w:pPr>
        <w:adjustRightInd w:val="0"/>
        <w:snapToGrid w:val="0"/>
        <w:spacing w:line="540" w:lineRule="exact"/>
        <w:ind w:firstLine="600"/>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（十六</w:t>
      </w:r>
      <w:bookmarkStart w:id="3" w:name="_GoBack"/>
      <w:bookmarkEnd w:id="3"/>
      <w:r>
        <w:rPr>
          <w:rFonts w:hint="eastAsia" w:ascii="Times New Roman" w:hAnsi="Times New Roman" w:eastAsia="黑体" w:cs="Times New Roman"/>
          <w:sz w:val="30"/>
          <w:szCs w:val="30"/>
          <w:lang w:eastAsia="zh-CN"/>
        </w:rPr>
        <w:t>）</w:t>
      </w:r>
      <w:r>
        <w:rPr>
          <w:rFonts w:hint="eastAsia" w:ascii="Times New Roman" w:hAnsi="Times New Roman" w:eastAsia="黑体" w:cs="Times New Roman"/>
          <w:sz w:val="30"/>
          <w:szCs w:val="30"/>
        </w:rPr>
        <w:t>办公地址和时间</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国家外汇管理局深圳市分局办公地址：深圳市罗湖区深南东路5006号。</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办公时间：周一至周五（法定节假日除外）  </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上午8:30至中午12:00</w:t>
      </w:r>
    </w:p>
    <w:p>
      <w:pPr>
        <w:widowControl/>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下午14:00至下午17:30</w:t>
      </w:r>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680" o:spid="_x0000_s1027" style="position:absolute;left:0;margin-left:-21pt;margin-top:14.85pt;height:586.05pt;width:455.05pt;rotation:0f;z-index:251659264;" coordorigin="-180,0" coordsize="9101,11721">
            <o:lock v:ext="edit" position="f" selection="f" grouping="f" rotation="f" cropping="f" text="f" aspectratio="f"/>
            <v:rect id="Rectangle 681"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682"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683"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684" o:spid="_x0000_s1031"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5" o:spid="_x0000_s1032"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6" o:spid="_x0000_s1033"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7" o:spid="_x0000_s1034"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688" o:spid="_x0000_s1035"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689" o:spid="_x0000_s1036" style="position:absolute;left:-180;top:0;height:7693;width:9101;rotation:0f;" coordorigin="-180,0" coordsize="9101,7693">
              <o:lock v:ext="edit" position="f" selection="f" grouping="f" rotation="f" cropping="f" text="f" aspectratio="f"/>
              <v:shape id="AutoShape 690" o:spid="_x0000_s1037"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691" o:spid="_x0000_s1038" style="position:absolute;left:-180;top:0;height:7693;width:9101;rotation:0f;" coordorigin="-180,0" coordsize="9101,7693">
                <o:lock v:ext="edit" position="f" selection="f" grouping="f" rotation="f" cropping="f" text="f" aspectratio="f"/>
                <v:shape id="AutoShape 692" o:spid="_x0000_s1039"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693"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694" o:spid="_x0000_s1041"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695"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696"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697"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698"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699"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700" o:spid="_x0000_s1047" style="position:absolute;left:-180;top:0;height:7424;width:4774;rotation:0f;" coordorigin="-180,0" coordsize="4774,7424">
                  <o:lock v:ext="edit" position="f" selection="f" grouping="f" rotation="f" cropping="f" text="f" aspectratio="f"/>
                  <v:shape id="AutoShape 701" o:spid="_x0000_s1048"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2" o:spid="_x0000_s1049"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703" o:spid="_x0000_s1050" style="position:absolute;left:-180;top:0;height:4020;width:3809;rotation:0f;" coordorigin="-180,0" coordsize="3809,4020">
                    <o:lock v:ext="edit" position="f" selection="f" grouping="f" rotation="f" cropping="f" text="f" aspectratio="f"/>
                    <v:shape id="AutoShape 704" o:spid="_x0000_s1051"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5" o:spid="_x0000_s1052"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06" o:spid="_x0000_s1053" type="#_x0000_t4" style="position:absolute;left:-180;top:1936;height:2084;width:295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707"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708" o:spid="_x0000_s1055"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9" o:spid="_x0000_s1056"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10" o:spid="_x0000_s1057"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711"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712"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713" o:spid="_x0000_s1060"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rPr>
          <w:rFonts w:ascii="Times New Roman" w:hAnsi="Times New Roman" w:eastAsia="仿宋_GB2312" w:cs="Times New Roman"/>
          <w:kern w:val="0"/>
          <w:sz w:val="30"/>
          <w:szCs w:val="30"/>
        </w:rPr>
      </w:pPr>
      <w:r>
        <w:rPr>
          <w:rFonts w:ascii="Times New Roman" w:hAnsi="Times New Roman" w:eastAsia="仿宋_GB2312" w:cs="Times New Roman"/>
          <w:sz w:val="30"/>
          <w:szCs w:val="30"/>
        </w:rPr>
        <w:br w:type="page"/>
      </w:r>
      <w:r>
        <w:rPr>
          <w:rFonts w:ascii="Times New Roman" w:hAnsi="Times New Roman" w:eastAsia="宋体" w:cs="Times New Roman"/>
          <w:kern w:val="2"/>
          <w:sz w:val="21"/>
          <w:szCs w:val="22"/>
          <w:lang w:val="en-US" w:eastAsia="zh-CN" w:bidi="ar-SA"/>
        </w:rPr>
        <w:pict>
          <v:roundrect id="AutoShape 667" o:spid="_x0000_s1061" style="position:absolute;left:0;margin-left:202.4pt;margin-top:277.65pt;height:71.35pt;width:180.85pt;rotation:0f;z-index:251658240;" o:ole="f" fillcolor="#FFFFFF" filled="f" o:preferrelative="t" stroked="f" coordsize="21600,21600" arcsize="16.6666666666667%">
            <v:fill on="f" color2="#FFFFFF" focus="0%"/>
            <v:imagedata gain="65536f" blacklevel="0f" gamma="0"/>
            <o:lock v:ext="edit" position="f" selection="f" grouping="f" rotation="f" cropping="f" text="f" aspectratio="f"/>
          </v:roundrect>
        </w:pict>
      </w:r>
      <w:r>
        <w:rPr>
          <w:rFonts w:ascii="Times New Roman" w:hAnsi="Times New Roman" w:eastAsia="仿宋_GB2312" w:cs="Times New Roman"/>
          <w:kern w:val="0"/>
          <w:sz w:val="30"/>
          <w:szCs w:val="30"/>
        </w:rPr>
        <w:t>附录二</w:t>
      </w:r>
      <w:bookmarkStart w:id="0" w:name="_Toc495992544"/>
      <w:bookmarkStart w:id="1" w:name="_Toc492328427"/>
      <w:bookmarkStart w:id="2" w:name="_Toc487492185"/>
    </w:p>
    <w:p>
      <w:pPr>
        <w:ind w:right="300"/>
        <w:jc w:val="center"/>
        <w:rPr>
          <w:rFonts w:ascii="Times New Roman" w:hAnsi="Times New Roman" w:eastAsia="仿宋_GB2312" w:cs="Times New Roman"/>
          <w:kern w:val="0"/>
          <w:sz w:val="30"/>
          <w:szCs w:val="30"/>
        </w:rPr>
      </w:pPr>
      <w:r>
        <w:rPr>
          <w:rFonts w:ascii="Times New Roman" w:hAnsi="Times New Roman" w:eastAsia="黑体" w:cs="Times New Roman"/>
          <w:sz w:val="30"/>
          <w:szCs w:val="30"/>
        </w:rPr>
        <w:t>境外上市登记表</w:t>
      </w:r>
      <w:bookmarkEnd w:id="0"/>
      <w:bookmarkEnd w:id="1"/>
      <w:bookmarkEnd w:id="2"/>
      <w:r>
        <w:rPr>
          <w:rFonts w:ascii="Times New Roman" w:hAnsi="Times New Roman" w:eastAsia="黑体" w:cs="Times New Roman"/>
          <w:sz w:val="30"/>
          <w:szCs w:val="30"/>
        </w:rPr>
        <w:t>（示范文本）</w:t>
      </w:r>
    </w:p>
    <w:p>
      <w:pPr>
        <w:spacing w:line="400" w:lineRule="exact"/>
        <w:jc w:val="left"/>
        <w:rPr>
          <w:rFonts w:ascii="Times New Roman" w:hAnsi="Times New Roman" w:eastAsia="华文楷体" w:cs="Times New Roman"/>
          <w:sz w:val="24"/>
        </w:rPr>
      </w:pPr>
      <w:r>
        <w:rPr>
          <w:rFonts w:ascii="Times New Roman" w:hAnsi="华文楷体" w:eastAsia="华文楷体" w:cs="Times New Roman"/>
          <w:sz w:val="24"/>
        </w:rPr>
        <w:t>登记类别：</w:t>
      </w:r>
      <w:r>
        <w:rPr>
          <w:rFonts w:ascii="Times New Roman" w:hAnsi="Times New Roman" w:eastAsia="华文楷体" w:cs="Times New Roman"/>
          <w:sz w:val="24"/>
        </w:rPr>
        <w:t>□</w:t>
      </w:r>
      <w:r>
        <w:rPr>
          <w:rFonts w:ascii="Times New Roman" w:hAnsi="华文楷体" w:eastAsia="华文楷体" w:cs="Times New Roman"/>
          <w:sz w:val="24"/>
        </w:rPr>
        <w:t>登记</w:t>
      </w:r>
      <w:r>
        <w:rPr>
          <w:rFonts w:ascii="Times New Roman" w:hAnsi="Times New Roman" w:eastAsia="华文楷体" w:cs="Times New Roman"/>
          <w:sz w:val="24"/>
        </w:rPr>
        <w:t xml:space="preserve">   □</w:t>
      </w:r>
      <w:r>
        <w:rPr>
          <w:rFonts w:ascii="Times New Roman" w:hAnsi="华文楷体" w:eastAsia="华文楷体" w:cs="Times New Roman"/>
          <w:sz w:val="24"/>
        </w:rPr>
        <w:t>变更登记</w:t>
      </w:r>
      <w:r>
        <w:rPr>
          <w:rFonts w:ascii="Times New Roman" w:hAnsi="Times New Roman" w:eastAsia="华文楷体" w:cs="Times New Roman"/>
          <w:sz w:val="24"/>
        </w:rPr>
        <w:t xml:space="preserve"> </w:t>
      </w:r>
      <w:r>
        <w:rPr>
          <w:rFonts w:hint="eastAsia" w:ascii="Times New Roman" w:hAnsi="Times New Roman" w:eastAsia="华文楷体" w:cs="Times New Roman"/>
          <w:sz w:val="24"/>
        </w:rPr>
        <w:t xml:space="preserve"> </w:t>
      </w:r>
      <w:r>
        <w:rPr>
          <w:rFonts w:ascii="Times New Roman" w:hAnsi="Times New Roman" w:eastAsia="华文楷体" w:cs="Times New Roman"/>
          <w:sz w:val="24"/>
        </w:rPr>
        <w:t>□</w:t>
      </w:r>
      <w:r>
        <w:rPr>
          <w:rFonts w:ascii="Times New Roman" w:hAnsi="华文楷体" w:eastAsia="华文楷体" w:cs="Times New Roman"/>
          <w:sz w:val="24"/>
        </w:rPr>
        <w:t>注销登记</w:t>
      </w:r>
      <w:r>
        <w:rPr>
          <w:rFonts w:ascii="Times New Roman" w:hAnsi="Times New Roman" w:eastAsia="华文楷体" w:cs="Times New Roman"/>
          <w:sz w:val="24"/>
        </w:rPr>
        <w:t xml:space="preserve">     </w:t>
      </w:r>
      <w:r>
        <w:rPr>
          <w:rFonts w:ascii="Times New Roman" w:hAnsi="华文楷体" w:eastAsia="华文楷体" w:cs="Times New Roman"/>
          <w:sz w:val="24"/>
        </w:rPr>
        <w:t>编号（外汇局填写）：</w:t>
      </w:r>
    </w:p>
    <w:tbl>
      <w:tblPr>
        <w:tblStyle w:val="17"/>
        <w:tblW w:w="889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35"/>
        <w:gridCol w:w="570"/>
        <w:gridCol w:w="141"/>
        <w:gridCol w:w="702"/>
        <w:gridCol w:w="9"/>
        <w:gridCol w:w="273"/>
        <w:gridCol w:w="55"/>
        <w:gridCol w:w="155"/>
        <w:gridCol w:w="567"/>
        <w:gridCol w:w="96"/>
        <w:gridCol w:w="188"/>
        <w:gridCol w:w="425"/>
        <w:gridCol w:w="51"/>
        <w:gridCol w:w="699"/>
        <w:gridCol w:w="6"/>
        <w:gridCol w:w="161"/>
        <w:gridCol w:w="75"/>
        <w:gridCol w:w="709"/>
        <w:gridCol w:w="175"/>
        <w:gridCol w:w="487"/>
        <w:gridCol w:w="47"/>
        <w:gridCol w:w="141"/>
        <w:gridCol w:w="709"/>
        <w:gridCol w:w="142"/>
        <w:gridCol w:w="283"/>
        <w:gridCol w:w="284"/>
        <w:gridCol w:w="9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6"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境外上市的境内公司（以下简称境内公司）基本信息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境内公司名称</w:t>
            </w:r>
          </w:p>
        </w:tc>
        <w:tc>
          <w:tcPr>
            <w:tcW w:w="3187" w:type="dxa"/>
            <w:gridSpan w:val="12"/>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统一社会信用代码</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注册地址</w:t>
            </w:r>
          </w:p>
        </w:tc>
        <w:tc>
          <w:tcPr>
            <w:tcW w:w="3187" w:type="dxa"/>
            <w:gridSpan w:val="12"/>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法定代表人</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上市地及证券交易所</w:t>
            </w:r>
          </w:p>
        </w:tc>
        <w:tc>
          <w:tcPr>
            <w:tcW w:w="3187" w:type="dxa"/>
            <w:gridSpan w:val="12"/>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上市时间</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证监会批准文号</w:t>
            </w:r>
          </w:p>
        </w:tc>
        <w:tc>
          <w:tcPr>
            <w:tcW w:w="6401" w:type="dxa"/>
            <w:gridSpan w:val="21"/>
            <w:tcBorders>
              <w:left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证券名称</w:t>
            </w:r>
          </w:p>
        </w:tc>
        <w:tc>
          <w:tcPr>
            <w:tcW w:w="3187" w:type="dxa"/>
            <w:gridSpan w:val="12"/>
            <w:tcBorders>
              <w:left w:val="single" w:color="auto" w:sz="4" w:space="0"/>
            </w:tcBorders>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证券代码</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总股数</w:t>
            </w:r>
          </w:p>
        </w:tc>
        <w:tc>
          <w:tcPr>
            <w:tcW w:w="873" w:type="dxa"/>
            <w:gridSpan w:val="4"/>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530" w:type="dxa"/>
            <w:gridSpan w:val="6"/>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总股本金额</w:t>
            </w:r>
          </w:p>
        </w:tc>
        <w:tc>
          <w:tcPr>
            <w:tcW w:w="1446" w:type="dxa"/>
            <w:gridSpan w:val="4"/>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039" w:type="dxa"/>
            <w:gridSpan w:val="4"/>
            <w:tcBorders>
              <w:lef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币种</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总股本变更原因</w:t>
            </w:r>
          </w:p>
        </w:tc>
        <w:tc>
          <w:tcPr>
            <w:tcW w:w="6401" w:type="dxa"/>
            <w:gridSpan w:val="21"/>
            <w:tcBorders>
              <w:top w:val="single" w:color="auto" w:sz="4" w:space="0"/>
              <w:lef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增发（含超额配售）</w:t>
            </w:r>
            <w:r>
              <w:rPr>
                <w:rFonts w:ascii="Times New Roman" w:hAnsi="Times New Roman" w:eastAsia="华文楷体" w:cs="Times New Roman"/>
                <w:sz w:val="24"/>
              </w:rPr>
              <w:t xml:space="preserve">      □</w:t>
            </w:r>
            <w:r>
              <w:rPr>
                <w:rFonts w:ascii="Times New Roman" w:hAnsi="华文楷体" w:eastAsia="华文楷体" w:cs="Times New Roman"/>
                <w:sz w:val="24"/>
              </w:rPr>
              <w:t>回购</w:t>
            </w:r>
            <w:r>
              <w:rPr>
                <w:rFonts w:ascii="Times New Roman" w:hAnsi="Times New Roman" w:eastAsia="华文楷体" w:cs="Times New Roman"/>
                <w:sz w:val="24"/>
              </w:rPr>
              <w:t xml:space="preserve">      □</w:t>
            </w:r>
            <w:r>
              <w:rPr>
                <w:rFonts w:ascii="Times New Roman" w:hAnsi="华文楷体" w:eastAsia="华文楷体" w:cs="Times New Roman"/>
                <w:sz w:val="24"/>
              </w:rPr>
              <w:t>可转债转股</w:t>
            </w:r>
          </w:p>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资本公积、盈余公积、未分配利润转增股本</w:t>
            </w:r>
          </w:p>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其他</w:t>
            </w:r>
            <w:r>
              <w:rPr>
                <w:rFonts w:ascii="Times New Roman" w:hAnsi="华文楷体" w:eastAsia="华文楷体" w:cs="Times New Roman"/>
                <w:sz w:val="24"/>
                <w:u w:val="single"/>
              </w:rPr>
              <w:t>（具体说明：</w:t>
            </w:r>
            <w:r>
              <w:rPr>
                <w:rFonts w:ascii="Times New Roman" w:hAnsi="Times New Roman" w:eastAsia="华文楷体" w:cs="Times New Roman"/>
                <w:sz w:val="24"/>
                <w:u w:val="single"/>
              </w:rPr>
              <w:t xml:space="preserve">                                 </w:t>
            </w:r>
            <w:r>
              <w:rPr>
                <w:rFonts w:ascii="Times New Roman" w:hAnsi="华文楷体" w:eastAsia="华文楷体" w:cs="Times New Roman"/>
                <w:sz w:val="24"/>
                <w:u w:val="singl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联系人</w:t>
            </w:r>
          </w:p>
        </w:tc>
        <w:tc>
          <w:tcPr>
            <w:tcW w:w="4037" w:type="dxa"/>
            <w:gridSpan w:val="16"/>
            <w:vAlign w:val="center"/>
          </w:tcPr>
          <w:p>
            <w:pPr>
              <w:spacing w:line="340" w:lineRule="exact"/>
              <w:jc w:val="center"/>
              <w:rPr>
                <w:rFonts w:ascii="Times New Roman" w:hAnsi="Times New Roman" w:eastAsia="华文楷体" w:cs="Times New Roman"/>
                <w:sz w:val="24"/>
              </w:rPr>
            </w:pPr>
          </w:p>
        </w:tc>
        <w:tc>
          <w:tcPr>
            <w:tcW w:w="851" w:type="dxa"/>
            <w:gridSpan w:val="2"/>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联系电话</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4"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主要境内股东的基本信息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p>
        </w:tc>
        <w:tc>
          <w:tcPr>
            <w:tcW w:w="1482" w:type="dxa"/>
            <w:gridSpan w:val="6"/>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名称（或姓名）</w:t>
            </w:r>
          </w:p>
        </w:tc>
        <w:tc>
          <w:tcPr>
            <w:tcW w:w="1825" w:type="dxa"/>
            <w:gridSpan w:val="6"/>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统一社会信用代码</w:t>
            </w:r>
          </w:p>
        </w:tc>
        <w:tc>
          <w:tcPr>
            <w:tcW w:w="1526" w:type="dxa"/>
            <w:gridSpan w:val="5"/>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持股比例</w:t>
            </w:r>
          </w:p>
        </w:tc>
        <w:tc>
          <w:tcPr>
            <w:tcW w:w="1513" w:type="dxa"/>
            <w:gridSpan w:val="3"/>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注册地址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境内股东</w:t>
            </w:r>
            <w:r>
              <w:rPr>
                <w:rFonts w:ascii="Times New Roman" w:hAnsi="Times New Roman" w:eastAsia="华文楷体" w:cs="Times New Roman"/>
                <w:sz w:val="24"/>
              </w:rPr>
              <w:t>1</w:t>
            </w:r>
          </w:p>
        </w:tc>
        <w:tc>
          <w:tcPr>
            <w:tcW w:w="1482" w:type="dxa"/>
            <w:gridSpan w:val="6"/>
            <w:vAlign w:val="center"/>
          </w:tcPr>
          <w:p>
            <w:pPr>
              <w:spacing w:line="340" w:lineRule="exact"/>
              <w:jc w:val="center"/>
              <w:rPr>
                <w:rFonts w:ascii="Times New Roman" w:hAnsi="Times New Roman" w:eastAsia="华文楷体" w:cs="Times New Roman"/>
                <w:sz w:val="24"/>
              </w:rPr>
            </w:pPr>
          </w:p>
        </w:tc>
        <w:tc>
          <w:tcPr>
            <w:tcW w:w="1825" w:type="dxa"/>
            <w:gridSpan w:val="6"/>
            <w:vAlign w:val="center"/>
          </w:tcPr>
          <w:p>
            <w:pPr>
              <w:spacing w:line="340" w:lineRule="exact"/>
              <w:jc w:val="center"/>
              <w:rPr>
                <w:rFonts w:ascii="Times New Roman" w:hAnsi="Times New Roman" w:eastAsia="华文楷体" w:cs="Times New Roman"/>
                <w:sz w:val="24"/>
              </w:rPr>
            </w:pPr>
          </w:p>
        </w:tc>
        <w:tc>
          <w:tcPr>
            <w:tcW w:w="1526" w:type="dxa"/>
            <w:gridSpan w:val="5"/>
            <w:vAlign w:val="center"/>
          </w:tcPr>
          <w:p>
            <w:pPr>
              <w:spacing w:line="340" w:lineRule="exact"/>
              <w:jc w:val="center"/>
              <w:rPr>
                <w:rFonts w:ascii="Times New Roman" w:hAnsi="Times New Roman" w:eastAsia="华文楷体" w:cs="Times New Roman"/>
                <w:sz w:val="24"/>
              </w:rPr>
            </w:pP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境内股东</w:t>
            </w:r>
            <w:r>
              <w:rPr>
                <w:rFonts w:ascii="Times New Roman" w:hAnsi="Times New Roman" w:eastAsia="华文楷体" w:cs="Times New Roman"/>
                <w:sz w:val="24"/>
              </w:rPr>
              <w:t>2</w:t>
            </w:r>
          </w:p>
        </w:tc>
        <w:tc>
          <w:tcPr>
            <w:tcW w:w="1482" w:type="dxa"/>
            <w:gridSpan w:val="6"/>
            <w:vAlign w:val="center"/>
          </w:tcPr>
          <w:p>
            <w:pPr>
              <w:spacing w:line="340" w:lineRule="exact"/>
              <w:jc w:val="center"/>
              <w:rPr>
                <w:rFonts w:ascii="Times New Roman" w:hAnsi="Times New Roman" w:eastAsia="华文楷体" w:cs="Times New Roman"/>
                <w:sz w:val="24"/>
              </w:rPr>
            </w:pPr>
          </w:p>
        </w:tc>
        <w:tc>
          <w:tcPr>
            <w:tcW w:w="1825" w:type="dxa"/>
            <w:gridSpan w:val="6"/>
            <w:vAlign w:val="center"/>
          </w:tcPr>
          <w:p>
            <w:pPr>
              <w:spacing w:line="340" w:lineRule="exact"/>
              <w:jc w:val="center"/>
              <w:rPr>
                <w:rFonts w:ascii="Times New Roman" w:hAnsi="Times New Roman" w:eastAsia="华文楷体" w:cs="Times New Roman"/>
                <w:sz w:val="24"/>
              </w:rPr>
            </w:pPr>
          </w:p>
        </w:tc>
        <w:tc>
          <w:tcPr>
            <w:tcW w:w="1526" w:type="dxa"/>
            <w:gridSpan w:val="5"/>
            <w:vAlign w:val="center"/>
          </w:tcPr>
          <w:p>
            <w:pPr>
              <w:spacing w:line="340" w:lineRule="exact"/>
              <w:jc w:val="center"/>
              <w:rPr>
                <w:rFonts w:ascii="Times New Roman" w:hAnsi="Times New Roman" w:eastAsia="华文楷体" w:cs="Times New Roman"/>
                <w:sz w:val="24"/>
              </w:rPr>
            </w:pP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（可加行）</w:t>
            </w:r>
          </w:p>
        </w:tc>
        <w:tc>
          <w:tcPr>
            <w:tcW w:w="1482" w:type="dxa"/>
            <w:gridSpan w:val="6"/>
            <w:vAlign w:val="center"/>
          </w:tcPr>
          <w:p>
            <w:pPr>
              <w:spacing w:line="340" w:lineRule="exact"/>
              <w:jc w:val="center"/>
              <w:rPr>
                <w:rFonts w:ascii="Times New Roman" w:hAnsi="Times New Roman" w:eastAsia="华文楷体" w:cs="Times New Roman"/>
                <w:sz w:val="24"/>
              </w:rPr>
            </w:pPr>
          </w:p>
        </w:tc>
        <w:tc>
          <w:tcPr>
            <w:tcW w:w="1825" w:type="dxa"/>
            <w:gridSpan w:val="6"/>
            <w:vAlign w:val="center"/>
          </w:tcPr>
          <w:p>
            <w:pPr>
              <w:spacing w:line="340" w:lineRule="exact"/>
              <w:jc w:val="center"/>
              <w:rPr>
                <w:rFonts w:ascii="Times New Roman" w:hAnsi="Times New Roman" w:eastAsia="华文楷体" w:cs="Times New Roman"/>
                <w:sz w:val="24"/>
              </w:rPr>
            </w:pPr>
          </w:p>
        </w:tc>
        <w:tc>
          <w:tcPr>
            <w:tcW w:w="1526" w:type="dxa"/>
            <w:gridSpan w:val="5"/>
            <w:vAlign w:val="center"/>
          </w:tcPr>
          <w:p>
            <w:pPr>
              <w:spacing w:line="340" w:lineRule="exact"/>
              <w:jc w:val="center"/>
              <w:rPr>
                <w:rFonts w:ascii="Times New Roman" w:hAnsi="Times New Roman" w:eastAsia="华文楷体" w:cs="Times New Roman"/>
                <w:sz w:val="24"/>
              </w:rPr>
            </w:pP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6"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发行信息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发行方式</w:t>
            </w:r>
          </w:p>
        </w:tc>
        <w:tc>
          <w:tcPr>
            <w:tcW w:w="7385" w:type="dxa"/>
            <w:gridSpan w:val="24"/>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首次发行</w:t>
            </w:r>
            <w:r>
              <w:rPr>
                <w:rFonts w:ascii="Times New Roman" w:hAnsi="Times New Roman" w:eastAsia="华文楷体" w:cs="Times New Roman"/>
                <w:sz w:val="24"/>
              </w:rPr>
              <w:t xml:space="preserve">           □</w:t>
            </w:r>
            <w:r>
              <w:rPr>
                <w:rFonts w:ascii="Times New Roman" w:hAnsi="华文楷体" w:eastAsia="华文楷体" w:cs="Times New Roman"/>
                <w:sz w:val="24"/>
              </w:rPr>
              <w:t>增发（含超额配售）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512" w:type="dxa"/>
            <w:gridSpan w:val="4"/>
            <w:vMerge w:val="restart"/>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发行种类</w:t>
            </w:r>
          </w:p>
        </w:tc>
        <w:tc>
          <w:tcPr>
            <w:tcW w:w="3462" w:type="dxa"/>
            <w:gridSpan w:val="14"/>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股票</w:t>
            </w:r>
          </w:p>
        </w:tc>
        <w:tc>
          <w:tcPr>
            <w:tcW w:w="1559" w:type="dxa"/>
            <w:gridSpan w:val="5"/>
            <w:vMerge w:val="restart"/>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存托凭证</w:t>
            </w:r>
          </w:p>
        </w:tc>
        <w:tc>
          <w:tcPr>
            <w:tcW w:w="2364" w:type="dxa"/>
            <w:gridSpan w:val="5"/>
            <w:vMerge w:val="restart"/>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512" w:type="dxa"/>
            <w:gridSpan w:val="4"/>
            <w:vMerge w:val="continue"/>
            <w:vAlign w:val="center"/>
          </w:tcPr>
          <w:p>
            <w:pPr>
              <w:spacing w:line="340" w:lineRule="exact"/>
              <w:jc w:val="left"/>
              <w:rPr>
                <w:rFonts w:ascii="Times New Roman" w:hAnsi="Times New Roman" w:eastAsia="华文楷体" w:cs="Times New Roman"/>
                <w:sz w:val="24"/>
              </w:rPr>
            </w:pPr>
          </w:p>
        </w:tc>
        <w:tc>
          <w:tcPr>
            <w:tcW w:w="1761" w:type="dxa"/>
            <w:gridSpan w:val="6"/>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普通股</w:t>
            </w:r>
          </w:p>
        </w:tc>
        <w:tc>
          <w:tcPr>
            <w:tcW w:w="1701" w:type="dxa"/>
            <w:gridSpan w:val="8"/>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优先股</w:t>
            </w:r>
          </w:p>
        </w:tc>
        <w:tc>
          <w:tcPr>
            <w:tcW w:w="1559" w:type="dxa"/>
            <w:gridSpan w:val="5"/>
            <w:vMerge w:val="continue"/>
            <w:vAlign w:val="center"/>
          </w:tcPr>
          <w:p>
            <w:pPr>
              <w:spacing w:line="340" w:lineRule="exact"/>
              <w:jc w:val="center"/>
              <w:rPr>
                <w:rFonts w:ascii="Times New Roman" w:hAnsi="Times New Roman" w:eastAsia="华文楷体" w:cs="Times New Roman"/>
                <w:sz w:val="24"/>
              </w:rPr>
            </w:pPr>
          </w:p>
        </w:tc>
        <w:tc>
          <w:tcPr>
            <w:tcW w:w="2364" w:type="dxa"/>
            <w:gridSpan w:val="5"/>
            <w:vMerge w:val="continue"/>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名称及代码</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发行时间</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发行数量</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766" w:type="dxa"/>
            <w:vMerge w:val="restart"/>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实际募集资金</w:t>
            </w:r>
          </w:p>
        </w:tc>
        <w:tc>
          <w:tcPr>
            <w:tcW w:w="746" w:type="dxa"/>
            <w:gridSpan w:val="3"/>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金额</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766" w:type="dxa"/>
            <w:vMerge w:val="continue"/>
            <w:vAlign w:val="center"/>
          </w:tcPr>
          <w:p>
            <w:pPr>
              <w:spacing w:line="340" w:lineRule="exact"/>
              <w:jc w:val="left"/>
              <w:rPr>
                <w:rFonts w:ascii="Times New Roman" w:hAnsi="Times New Roman" w:eastAsia="华文楷体" w:cs="Times New Roman"/>
                <w:sz w:val="24"/>
              </w:rPr>
            </w:pPr>
          </w:p>
        </w:tc>
        <w:tc>
          <w:tcPr>
            <w:tcW w:w="746" w:type="dxa"/>
            <w:gridSpan w:val="3"/>
            <w:tcBorders>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761" w:type="dxa"/>
            <w:gridSpan w:val="6"/>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701" w:type="dxa"/>
            <w:gridSpan w:val="8"/>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559" w:type="dxa"/>
            <w:gridSpan w:val="5"/>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2364" w:type="dxa"/>
            <w:gridSpan w:val="5"/>
            <w:tcBorders>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766" w:type="dxa"/>
            <w:vMerge w:val="continue"/>
            <w:vAlign w:val="center"/>
          </w:tcPr>
          <w:p>
            <w:pPr>
              <w:spacing w:line="340" w:lineRule="exact"/>
              <w:jc w:val="left"/>
              <w:rPr>
                <w:rFonts w:ascii="Times New Roman" w:hAnsi="Times New Roman" w:eastAsia="华文楷体" w:cs="Times New Roman"/>
                <w:sz w:val="24"/>
              </w:rPr>
            </w:pPr>
          </w:p>
        </w:tc>
        <w:tc>
          <w:tcPr>
            <w:tcW w:w="4208" w:type="dxa"/>
            <w:gridSpan w:val="17"/>
            <w:tcBorders>
              <w:top w:val="single" w:color="auto" w:sz="4" w:space="0"/>
            </w:tcBorders>
            <w:vAlign w:val="center"/>
          </w:tcPr>
          <w:p>
            <w:pPr>
              <w:jc w:val="center"/>
              <w:rPr>
                <w:rFonts w:ascii="Times New Roman" w:hAnsi="Times New Roman" w:eastAsia="华文楷体" w:cs="Times New Roman"/>
                <w:sz w:val="24"/>
              </w:rPr>
            </w:pPr>
            <w:r>
              <w:rPr>
                <w:rFonts w:ascii="Times New Roman" w:hAnsi="华文楷体" w:eastAsia="华文楷体" w:cs="Times New Roman"/>
                <w:sz w:val="24"/>
              </w:rPr>
              <w:t>合计金额（折美元）</w:t>
            </w:r>
          </w:p>
        </w:tc>
        <w:tc>
          <w:tcPr>
            <w:tcW w:w="3923" w:type="dxa"/>
            <w:gridSpan w:val="10"/>
            <w:tcBorders>
              <w:top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发行募集资金运用信息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国有股减持上缴社保基金情况</w:t>
            </w:r>
          </w:p>
        </w:tc>
        <w:tc>
          <w:tcPr>
            <w:tcW w:w="2186" w:type="dxa"/>
            <w:gridSpan w:val="9"/>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国有股东减持股数</w:t>
            </w:r>
          </w:p>
        </w:tc>
        <w:tc>
          <w:tcPr>
            <w:tcW w:w="1175" w:type="dxa"/>
            <w:gridSpan w:val="3"/>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660" w:type="dxa"/>
            <w:gridSpan w:val="7"/>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减持金额</w:t>
            </w:r>
          </w:p>
        </w:tc>
        <w:tc>
          <w:tcPr>
            <w:tcW w:w="850" w:type="dxa"/>
            <w:gridSpan w:val="2"/>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709" w:type="dxa"/>
            <w:gridSpan w:val="3"/>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946" w:type="dxa"/>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2186" w:type="dxa"/>
            <w:gridSpan w:val="9"/>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国有股东上缴社保基金股数</w:t>
            </w:r>
          </w:p>
        </w:tc>
        <w:tc>
          <w:tcPr>
            <w:tcW w:w="1181" w:type="dxa"/>
            <w:gridSpan w:val="4"/>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654" w:type="dxa"/>
            <w:gridSpan w:val="6"/>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上缴社保基金金额</w:t>
            </w:r>
          </w:p>
        </w:tc>
        <w:tc>
          <w:tcPr>
            <w:tcW w:w="850" w:type="dxa"/>
            <w:gridSpan w:val="2"/>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709" w:type="dxa"/>
            <w:gridSpan w:val="3"/>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946" w:type="dxa"/>
            <w:tcBorders>
              <w:top w:val="single" w:color="auto" w:sz="4" w:space="0"/>
              <w:left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募集资金运用计划</w:t>
            </w:r>
          </w:p>
        </w:tc>
        <w:tc>
          <w:tcPr>
            <w:tcW w:w="1335" w:type="dxa"/>
            <w:gridSpan w:val="6"/>
            <w:vMerge w:val="restart"/>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留存境外</w:t>
            </w:r>
          </w:p>
        </w:tc>
        <w:tc>
          <w:tcPr>
            <w:tcW w:w="1276" w:type="dxa"/>
            <w:gridSpan w:val="4"/>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用途</w:t>
            </w:r>
          </w:p>
        </w:tc>
        <w:tc>
          <w:tcPr>
            <w:tcW w:w="2410" w:type="dxa"/>
            <w:gridSpan w:val="9"/>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金额</w:t>
            </w:r>
          </w:p>
        </w:tc>
        <w:tc>
          <w:tcPr>
            <w:tcW w:w="2505" w:type="dxa"/>
            <w:gridSpan w:val="6"/>
            <w:tcBorders>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restart"/>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调回境内</w:t>
            </w:r>
          </w:p>
        </w:tc>
        <w:tc>
          <w:tcPr>
            <w:tcW w:w="1276" w:type="dxa"/>
            <w:gridSpan w:val="4"/>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276"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276" w:type="dxa"/>
            <w:gridSpan w:val="4"/>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折美元合计</w:t>
            </w:r>
          </w:p>
        </w:tc>
        <w:tc>
          <w:tcPr>
            <w:tcW w:w="4915" w:type="dxa"/>
            <w:gridSpan w:val="15"/>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bottom w:val="single" w:color="auto" w:sz="2"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2" w:space="0"/>
              <w:right w:val="single" w:color="auto" w:sz="4" w:space="0"/>
            </w:tcBorders>
            <w:vAlign w:val="center"/>
          </w:tcPr>
          <w:p>
            <w:pPr>
              <w:spacing w:line="340" w:lineRule="exact"/>
              <w:rPr>
                <w:rFonts w:ascii="Times New Roman" w:hAnsi="Times New Roman" w:eastAsia="华文楷体" w:cs="Times New Roman"/>
                <w:sz w:val="24"/>
              </w:rPr>
            </w:pPr>
            <w:r>
              <w:rPr>
                <w:rFonts w:ascii="Times New Roman" w:hAnsi="华文楷体" w:eastAsia="华文楷体" w:cs="Times New Roman"/>
                <w:sz w:val="24"/>
              </w:rPr>
              <w:t>其中</w:t>
            </w:r>
            <w:r>
              <w:rPr>
                <w:rFonts w:ascii="Times New Roman" w:hAnsi="Times New Roman" w:eastAsia="华文楷体" w:cs="Times New Roman"/>
                <w:sz w:val="24"/>
              </w:rPr>
              <w:t>:</w:t>
            </w:r>
            <w:r>
              <w:rPr>
                <w:rFonts w:ascii="Times New Roman" w:hAnsi="华文楷体" w:eastAsia="华文楷体" w:cs="Times New Roman"/>
                <w:sz w:val="24"/>
              </w:rPr>
              <w:t>结汇</w:t>
            </w:r>
          </w:p>
        </w:tc>
        <w:tc>
          <w:tcPr>
            <w:tcW w:w="2410" w:type="dxa"/>
            <w:gridSpan w:val="9"/>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2"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账户信息</w:t>
            </w:r>
          </w:p>
        </w:tc>
        <w:tc>
          <w:tcPr>
            <w:tcW w:w="2611" w:type="dxa"/>
            <w:gridSpan w:val="10"/>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开户银行</w:t>
            </w:r>
          </w:p>
        </w:tc>
        <w:tc>
          <w:tcPr>
            <w:tcW w:w="2410" w:type="dxa"/>
            <w:gridSpan w:val="9"/>
            <w:tcBorders>
              <w:top w:val="single" w:color="auto" w:sz="2"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境外上市专用外汇账户账号</w:t>
            </w:r>
          </w:p>
        </w:tc>
        <w:tc>
          <w:tcPr>
            <w:tcW w:w="2505" w:type="dxa"/>
            <w:gridSpan w:val="6"/>
            <w:tcBorders>
              <w:top w:val="single" w:color="auto" w:sz="2"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结汇待支付账户账号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2611" w:type="dxa"/>
            <w:gridSpan w:val="10"/>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2611" w:type="dxa"/>
            <w:gridSpan w:val="10"/>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2611" w:type="dxa"/>
            <w:gridSpan w:val="10"/>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2"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募集资金实际运用情况</w:t>
            </w:r>
          </w:p>
        </w:tc>
        <w:tc>
          <w:tcPr>
            <w:tcW w:w="1335" w:type="dxa"/>
            <w:gridSpan w:val="6"/>
            <w:vMerge w:val="restart"/>
            <w:tcBorders>
              <w:top w:val="single" w:color="auto" w:sz="2"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留存境外</w:t>
            </w:r>
          </w:p>
        </w:tc>
        <w:tc>
          <w:tcPr>
            <w:tcW w:w="1276" w:type="dxa"/>
            <w:gridSpan w:val="4"/>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用途</w:t>
            </w:r>
          </w:p>
        </w:tc>
        <w:tc>
          <w:tcPr>
            <w:tcW w:w="2410" w:type="dxa"/>
            <w:gridSpan w:val="9"/>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金额</w:t>
            </w:r>
          </w:p>
        </w:tc>
        <w:tc>
          <w:tcPr>
            <w:tcW w:w="2505" w:type="dxa"/>
            <w:gridSpan w:val="6"/>
            <w:tcBorders>
              <w:top w:val="single" w:color="auto" w:sz="2"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调回境内</w:t>
            </w:r>
            <w:r>
              <w:rPr>
                <w:rFonts w:ascii="Times New Roman" w:hAnsi="Times New Roman" w:eastAsia="华文楷体" w:cs="Times New Roman"/>
                <w:sz w:val="24"/>
              </w:rPr>
              <w:t xml:space="preserve">     </w:t>
            </w:r>
          </w:p>
        </w:tc>
        <w:tc>
          <w:tcPr>
            <w:tcW w:w="1276" w:type="dxa"/>
            <w:gridSpan w:val="4"/>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折美元合计</w:t>
            </w:r>
          </w:p>
        </w:tc>
        <w:tc>
          <w:tcPr>
            <w:tcW w:w="4915" w:type="dxa"/>
            <w:gridSpan w:val="15"/>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其中</w:t>
            </w:r>
            <w:r>
              <w:rPr>
                <w:rFonts w:ascii="Times New Roman" w:hAnsi="Times New Roman" w:eastAsia="华文楷体" w:cs="Times New Roman"/>
                <w:sz w:val="24"/>
              </w:rPr>
              <w:t>:</w:t>
            </w:r>
            <w:r>
              <w:rPr>
                <w:rFonts w:ascii="Times New Roman" w:hAnsi="华文楷体" w:eastAsia="华文楷体" w:cs="Times New Roman"/>
                <w:sz w:val="24"/>
              </w:rPr>
              <w:t>结汇</w:t>
            </w:r>
          </w:p>
        </w:tc>
        <w:tc>
          <w:tcPr>
            <w:tcW w:w="2410" w:type="dxa"/>
            <w:gridSpan w:val="9"/>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回购境外股份信息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3557" w:type="dxa"/>
            <w:gridSpan w:val="12"/>
            <w:tcBorders>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证监会许可文号（如有）</w:t>
            </w:r>
          </w:p>
        </w:tc>
        <w:tc>
          <w:tcPr>
            <w:tcW w:w="5340" w:type="dxa"/>
            <w:gridSpan w:val="16"/>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计划</w:t>
            </w:r>
          </w:p>
        </w:tc>
        <w:tc>
          <w:tcPr>
            <w:tcW w:w="2756" w:type="dxa"/>
            <w:gridSpan w:val="10"/>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回购证券种类</w:t>
            </w:r>
          </w:p>
        </w:tc>
        <w:tc>
          <w:tcPr>
            <w:tcW w:w="2835" w:type="dxa"/>
            <w:gridSpan w:val="10"/>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回购数量</w:t>
            </w:r>
          </w:p>
        </w:tc>
        <w:tc>
          <w:tcPr>
            <w:tcW w:w="1230" w:type="dxa"/>
            <w:gridSpan w:val="2"/>
            <w:tcBorders>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2756" w:type="dxa"/>
            <w:gridSpan w:val="10"/>
            <w:tcBorders>
              <w:top w:val="single" w:color="auto" w:sz="4" w:space="0"/>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回购金额</w:t>
            </w:r>
          </w:p>
        </w:tc>
        <w:tc>
          <w:tcPr>
            <w:tcW w:w="2835" w:type="dxa"/>
            <w:gridSpan w:val="10"/>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回购期限</w:t>
            </w:r>
          </w:p>
        </w:tc>
        <w:tc>
          <w:tcPr>
            <w:tcW w:w="1230" w:type="dxa"/>
            <w:gridSpan w:val="2"/>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4" w:space="0"/>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计划使用金额</w:t>
            </w:r>
          </w:p>
        </w:tc>
        <w:tc>
          <w:tcPr>
            <w:tcW w:w="2045" w:type="dxa"/>
            <w:gridSpan w:val="8"/>
            <w:tcBorders>
              <w:top w:val="single" w:color="auto" w:sz="4"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境外解决</w:t>
            </w:r>
          </w:p>
        </w:tc>
        <w:tc>
          <w:tcPr>
            <w:tcW w:w="2835" w:type="dxa"/>
            <w:gridSpan w:val="10"/>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2" w:space="0"/>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境内</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汇出</w:t>
            </w:r>
          </w:p>
        </w:tc>
        <w:tc>
          <w:tcPr>
            <w:tcW w:w="1334" w:type="dxa"/>
            <w:gridSpan w:val="6"/>
            <w:tcBorders>
              <w:top w:val="single" w:color="auto" w:sz="2" w:space="0"/>
              <w:left w:val="single" w:color="auto" w:sz="2" w:space="0"/>
              <w:bottom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购汇</w:t>
            </w:r>
          </w:p>
        </w:tc>
        <w:tc>
          <w:tcPr>
            <w:tcW w:w="2835" w:type="dxa"/>
            <w:gridSpan w:val="10"/>
            <w:tcBorders>
              <w:top w:val="single" w:color="auto" w:sz="2"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自有外汇</w:t>
            </w:r>
          </w:p>
        </w:tc>
        <w:tc>
          <w:tcPr>
            <w:tcW w:w="2835" w:type="dxa"/>
            <w:gridSpan w:val="10"/>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人民币</w:t>
            </w:r>
          </w:p>
        </w:tc>
        <w:tc>
          <w:tcPr>
            <w:tcW w:w="2835" w:type="dxa"/>
            <w:gridSpan w:val="10"/>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完成</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情况</w:t>
            </w:r>
          </w:p>
        </w:tc>
        <w:tc>
          <w:tcPr>
            <w:tcW w:w="2756" w:type="dxa"/>
            <w:gridSpan w:val="10"/>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回购证券种类</w:t>
            </w:r>
          </w:p>
        </w:tc>
        <w:tc>
          <w:tcPr>
            <w:tcW w:w="2835" w:type="dxa"/>
            <w:gridSpan w:val="10"/>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回购数量</w:t>
            </w:r>
          </w:p>
        </w:tc>
        <w:tc>
          <w:tcPr>
            <w:tcW w:w="1230" w:type="dxa"/>
            <w:gridSpan w:val="2"/>
            <w:tcBorders>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2756" w:type="dxa"/>
            <w:gridSpan w:val="10"/>
            <w:tcBorders>
              <w:top w:val="single" w:color="auto" w:sz="4" w:space="0"/>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回购金额</w:t>
            </w:r>
          </w:p>
        </w:tc>
        <w:tc>
          <w:tcPr>
            <w:tcW w:w="2835" w:type="dxa"/>
            <w:gridSpan w:val="10"/>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回购期限</w:t>
            </w:r>
          </w:p>
        </w:tc>
        <w:tc>
          <w:tcPr>
            <w:tcW w:w="1230" w:type="dxa"/>
            <w:gridSpan w:val="2"/>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4" w:space="0"/>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实际使用金额</w:t>
            </w:r>
          </w:p>
        </w:tc>
        <w:tc>
          <w:tcPr>
            <w:tcW w:w="2045" w:type="dxa"/>
            <w:gridSpan w:val="8"/>
            <w:tcBorders>
              <w:top w:val="single" w:color="auto" w:sz="4"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境外解决</w:t>
            </w:r>
          </w:p>
        </w:tc>
        <w:tc>
          <w:tcPr>
            <w:tcW w:w="2835" w:type="dxa"/>
            <w:gridSpan w:val="10"/>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2" w:space="0"/>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境内汇出</w:t>
            </w:r>
          </w:p>
        </w:tc>
        <w:tc>
          <w:tcPr>
            <w:tcW w:w="1334" w:type="dxa"/>
            <w:gridSpan w:val="6"/>
            <w:tcBorders>
              <w:top w:val="single" w:color="auto" w:sz="2"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购汇</w:t>
            </w:r>
          </w:p>
        </w:tc>
        <w:tc>
          <w:tcPr>
            <w:tcW w:w="2835" w:type="dxa"/>
            <w:gridSpan w:val="10"/>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自有外汇</w:t>
            </w:r>
          </w:p>
        </w:tc>
        <w:tc>
          <w:tcPr>
            <w:tcW w:w="2835" w:type="dxa"/>
            <w:gridSpan w:val="10"/>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人民币</w:t>
            </w:r>
          </w:p>
        </w:tc>
        <w:tc>
          <w:tcPr>
            <w:tcW w:w="2835" w:type="dxa"/>
            <w:gridSpan w:val="10"/>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413" w:type="dxa"/>
            <w:gridSpan w:val="3"/>
            <w:vMerge w:val="restart"/>
            <w:tcBorders>
              <w:top w:val="single" w:color="auto" w:sz="4" w:space="0"/>
              <w:lef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回购剩余资金调回</w:t>
            </w:r>
          </w:p>
        </w:tc>
        <w:tc>
          <w:tcPr>
            <w:tcW w:w="1343" w:type="dxa"/>
            <w:gridSpan w:val="7"/>
            <w:vMerge w:val="restart"/>
            <w:tcBorders>
              <w:top w:val="single" w:color="auto" w:sz="4" w:space="0"/>
              <w:left w:val="single" w:color="auto" w:sz="4" w:space="0"/>
            </w:tcBorders>
            <w:vAlign w:val="center"/>
          </w:tcPr>
          <w:p>
            <w:pPr>
              <w:spacing w:line="280" w:lineRule="exact"/>
              <w:jc w:val="left"/>
              <w:rPr>
                <w:rFonts w:ascii="Times New Roman" w:hAnsi="Times New Roman" w:eastAsia="华文楷体" w:cs="Times New Roman"/>
                <w:sz w:val="24"/>
              </w:rPr>
            </w:pPr>
            <w:r>
              <w:rPr>
                <w:rFonts w:ascii="Times New Roman" w:hAnsi="华文楷体" w:eastAsia="华文楷体" w:cs="Times New Roman"/>
                <w:sz w:val="24"/>
              </w:rPr>
              <w:t>调回资金</w:t>
            </w:r>
          </w:p>
        </w:tc>
        <w:tc>
          <w:tcPr>
            <w:tcW w:w="2835" w:type="dxa"/>
            <w:gridSpan w:val="10"/>
            <w:tcBorders>
              <w:top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413" w:type="dxa"/>
            <w:gridSpan w:val="3"/>
            <w:vMerge w:val="continue"/>
            <w:tcBorders>
              <w:left w:val="single" w:color="auto" w:sz="4" w:space="0"/>
            </w:tcBorders>
            <w:vAlign w:val="center"/>
          </w:tcPr>
          <w:p>
            <w:pPr>
              <w:spacing w:line="340" w:lineRule="exact"/>
              <w:jc w:val="left"/>
              <w:rPr>
                <w:rFonts w:ascii="Times New Roman" w:hAnsi="Times New Roman" w:eastAsia="华文楷体" w:cs="Times New Roman"/>
                <w:sz w:val="24"/>
              </w:rPr>
            </w:pPr>
          </w:p>
        </w:tc>
        <w:tc>
          <w:tcPr>
            <w:tcW w:w="1343" w:type="dxa"/>
            <w:gridSpan w:val="7"/>
            <w:vMerge w:val="continue"/>
            <w:tcBorders>
              <w:left w:val="single" w:color="auto" w:sz="4" w:space="0"/>
            </w:tcBorders>
            <w:vAlign w:val="center"/>
          </w:tcPr>
          <w:p>
            <w:pPr>
              <w:spacing w:line="280" w:lineRule="exact"/>
              <w:jc w:val="left"/>
              <w:rPr>
                <w:rFonts w:ascii="Times New Roman" w:hAnsi="Times New Roman" w:eastAsia="华文楷体" w:cs="Times New Roman"/>
                <w:sz w:val="24"/>
              </w:rPr>
            </w:pPr>
          </w:p>
        </w:tc>
        <w:tc>
          <w:tcPr>
            <w:tcW w:w="2835" w:type="dxa"/>
            <w:gridSpan w:val="10"/>
            <w:tcBorders>
              <w:top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413" w:type="dxa"/>
            <w:gridSpan w:val="3"/>
            <w:vMerge w:val="continue"/>
            <w:tcBorders>
              <w:left w:val="single" w:color="auto" w:sz="4" w:space="0"/>
            </w:tcBorders>
            <w:vAlign w:val="center"/>
          </w:tcPr>
          <w:p>
            <w:pPr>
              <w:spacing w:line="340" w:lineRule="exact"/>
              <w:jc w:val="left"/>
              <w:rPr>
                <w:rFonts w:ascii="Times New Roman" w:hAnsi="Times New Roman" w:eastAsia="华文楷体" w:cs="Times New Roman"/>
                <w:sz w:val="24"/>
              </w:rPr>
            </w:pPr>
          </w:p>
        </w:tc>
        <w:tc>
          <w:tcPr>
            <w:tcW w:w="1343" w:type="dxa"/>
            <w:gridSpan w:val="7"/>
            <w:tcBorders>
              <w:left w:val="single" w:color="auto" w:sz="4" w:space="0"/>
            </w:tcBorders>
            <w:vAlign w:val="center"/>
          </w:tcPr>
          <w:p>
            <w:pPr>
              <w:spacing w:line="280" w:lineRule="exact"/>
              <w:jc w:val="left"/>
              <w:rPr>
                <w:rFonts w:ascii="Times New Roman" w:hAnsi="Times New Roman" w:eastAsia="华文楷体" w:cs="Times New Roman"/>
                <w:sz w:val="24"/>
              </w:rPr>
            </w:pPr>
            <w:r>
              <w:rPr>
                <w:rFonts w:ascii="Times New Roman" w:hAnsi="华文楷体" w:eastAsia="华文楷体" w:cs="Times New Roman"/>
                <w:sz w:val="24"/>
              </w:rPr>
              <w:t>折美元合计</w:t>
            </w:r>
          </w:p>
        </w:tc>
        <w:tc>
          <w:tcPr>
            <w:tcW w:w="5340" w:type="dxa"/>
            <w:gridSpan w:val="16"/>
            <w:tcBorders>
              <w:top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可转债转股信息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3982" w:type="dxa"/>
            <w:gridSpan w:val="13"/>
            <w:tcBorders>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证监会许可文号（如有）</w:t>
            </w:r>
          </w:p>
        </w:tc>
        <w:tc>
          <w:tcPr>
            <w:tcW w:w="4915" w:type="dxa"/>
            <w:gridSpan w:val="15"/>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223" w:type="dxa"/>
            <w:gridSpan w:val="6"/>
            <w:tcBorders>
              <w:left w:val="doub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外债登记编号</w:t>
            </w:r>
          </w:p>
        </w:tc>
        <w:tc>
          <w:tcPr>
            <w:tcW w:w="1759" w:type="dxa"/>
            <w:gridSpan w:val="7"/>
            <w:tcBorders>
              <w:bottom w:val="single" w:color="auto" w:sz="4" w:space="0"/>
              <w:right w:val="single" w:color="auto" w:sz="2"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转换比例</w:t>
            </w:r>
          </w:p>
        </w:tc>
        <w:tc>
          <w:tcPr>
            <w:tcW w:w="2505" w:type="dxa"/>
            <w:gridSpan w:val="6"/>
            <w:tcBorders>
              <w:left w:val="single" w:color="auto" w:sz="2"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223" w:type="dxa"/>
            <w:gridSpan w:val="6"/>
            <w:tcBorders>
              <w:top w:val="single" w:color="auto" w:sz="4" w:space="0"/>
              <w:left w:val="doub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债转股前债券总数</w:t>
            </w:r>
          </w:p>
        </w:tc>
        <w:tc>
          <w:tcPr>
            <w:tcW w:w="1759" w:type="dxa"/>
            <w:gridSpan w:val="7"/>
            <w:tcBorders>
              <w:top w:val="single" w:color="auto" w:sz="4" w:space="0"/>
              <w:bottom w:val="single" w:color="auto" w:sz="4" w:space="0"/>
              <w:right w:val="single" w:color="auto" w:sz="2"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债转股前总股数</w:t>
            </w:r>
          </w:p>
        </w:tc>
        <w:tc>
          <w:tcPr>
            <w:tcW w:w="2505" w:type="dxa"/>
            <w:gridSpan w:val="6"/>
            <w:tcBorders>
              <w:top w:val="single" w:color="auto" w:sz="4" w:space="0"/>
              <w:left w:val="single" w:color="auto" w:sz="2"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223" w:type="dxa"/>
            <w:gridSpan w:val="6"/>
            <w:tcBorders>
              <w:top w:val="single" w:color="auto" w:sz="4" w:space="0"/>
              <w:left w:val="doub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本次转换债券数</w:t>
            </w:r>
          </w:p>
        </w:tc>
        <w:tc>
          <w:tcPr>
            <w:tcW w:w="1759" w:type="dxa"/>
            <w:gridSpan w:val="7"/>
            <w:tcBorders>
              <w:top w:val="single" w:color="auto" w:sz="4" w:space="0"/>
              <w:bottom w:val="single" w:color="auto" w:sz="4" w:space="0"/>
              <w:right w:val="single" w:color="auto" w:sz="2"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本次转换股数</w:t>
            </w:r>
          </w:p>
        </w:tc>
        <w:tc>
          <w:tcPr>
            <w:tcW w:w="2505" w:type="dxa"/>
            <w:gridSpan w:val="6"/>
            <w:tcBorders>
              <w:top w:val="single" w:color="auto" w:sz="4" w:space="0"/>
              <w:left w:val="single" w:color="auto" w:sz="2"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8897" w:type="dxa"/>
            <w:gridSpan w:val="28"/>
            <w:tcBorders>
              <w:top w:val="single" w:color="auto" w:sz="4" w:space="0"/>
            </w:tcBorders>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其他需要说明的信息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8" w:hRule="atLeast"/>
          <w:jc w:val="center"/>
        </w:trPr>
        <w:tc>
          <w:tcPr>
            <w:tcW w:w="8897" w:type="dxa"/>
            <w:gridSpan w:val="28"/>
            <w:tcBorders>
              <w:bottom w:val="single" w:color="auto" w:sz="4" w:space="0"/>
            </w:tcBorders>
            <w:vAlign w:val="center"/>
          </w:tcPr>
          <w:p>
            <w:pPr>
              <w:spacing w:line="520" w:lineRule="exact"/>
              <w:jc w:val="center"/>
              <w:rPr>
                <w:rFonts w:ascii="Times New Roman" w:hAnsi="Times New Roman" w:eastAsia="华文楷体" w:cs="Times New Roman"/>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06" w:hRule="atLeast"/>
          <w:jc w:val="center"/>
        </w:trPr>
        <w:tc>
          <w:tcPr>
            <w:tcW w:w="8897" w:type="dxa"/>
            <w:gridSpan w:val="28"/>
            <w:tcBorders>
              <w:top w:val="single" w:color="auto" w:sz="4" w:space="0"/>
            </w:tcBorders>
            <w:vAlign w:val="center"/>
          </w:tcPr>
          <w:p>
            <w:pPr>
              <w:spacing w:line="460" w:lineRule="exact"/>
              <w:ind w:firstLine="480" w:firstLineChars="200"/>
              <w:rPr>
                <w:rFonts w:ascii="Times New Roman" w:hAnsi="Times New Roman" w:eastAsia="华文楷体" w:cs="Times New Roman"/>
                <w:b/>
                <w:sz w:val="24"/>
              </w:rPr>
            </w:pPr>
            <w:r>
              <w:rPr>
                <w:rFonts w:ascii="Times New Roman" w:hAnsi="华文楷体" w:eastAsia="华文楷体" w:cs="Times New Roman"/>
                <w:b/>
                <w:sz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pPr>
              <w:spacing w:line="460" w:lineRule="exact"/>
              <w:jc w:val="center"/>
              <w:rPr>
                <w:rFonts w:ascii="Times New Roman" w:hAnsi="Times New Roman" w:eastAsia="华文楷体" w:cs="Times New Roman"/>
                <w:b/>
                <w:sz w:val="24"/>
              </w:rPr>
            </w:pPr>
          </w:p>
          <w:p>
            <w:pPr>
              <w:spacing w:line="460" w:lineRule="exact"/>
              <w:ind w:firstLine="1922" w:firstLineChars="800"/>
              <w:rPr>
                <w:rFonts w:ascii="Times New Roman" w:hAnsi="Times New Roman" w:eastAsia="华文楷体" w:cs="Times New Roman"/>
                <w:b/>
                <w:sz w:val="24"/>
              </w:rPr>
            </w:pPr>
            <w:r>
              <w:rPr>
                <w:rFonts w:ascii="Times New Roman" w:hAnsi="华文楷体" w:eastAsia="华文楷体" w:cs="Times New Roman"/>
                <w:b/>
                <w:sz w:val="24"/>
              </w:rPr>
              <w:t>境外上市的境内公司（名称及公章）：</w:t>
            </w:r>
          </w:p>
          <w:p>
            <w:pPr>
              <w:spacing w:line="460" w:lineRule="exact"/>
              <w:jc w:val="center"/>
              <w:rPr>
                <w:rFonts w:ascii="Times New Roman" w:hAnsi="Times New Roman" w:eastAsia="华文楷体" w:cs="Times New Roman"/>
                <w:b/>
                <w:sz w:val="24"/>
              </w:rPr>
            </w:pPr>
            <w:r>
              <w:rPr>
                <w:rFonts w:ascii="Times New Roman" w:hAnsi="华文楷体" w:eastAsia="华文楷体" w:cs="Times New Roman"/>
                <w:b/>
                <w:sz w:val="24"/>
              </w:rPr>
              <w:t>年</w:t>
            </w:r>
            <w:r>
              <w:rPr>
                <w:rFonts w:ascii="Times New Roman" w:hAnsi="Times New Roman" w:eastAsia="华文楷体" w:cs="Times New Roman"/>
                <w:b/>
                <w:sz w:val="24"/>
              </w:rPr>
              <w:t xml:space="preserve">      </w:t>
            </w:r>
            <w:r>
              <w:rPr>
                <w:rFonts w:ascii="Times New Roman" w:hAnsi="华文楷体" w:eastAsia="华文楷体" w:cs="Times New Roman"/>
                <w:b/>
                <w:sz w:val="24"/>
              </w:rPr>
              <w:t>月</w:t>
            </w:r>
            <w:r>
              <w:rPr>
                <w:rFonts w:ascii="Times New Roman" w:hAnsi="Times New Roman" w:eastAsia="华文楷体" w:cs="Times New Roman"/>
                <w:b/>
                <w:sz w:val="24"/>
              </w:rPr>
              <w:t xml:space="preserve">      </w:t>
            </w:r>
            <w:r>
              <w:rPr>
                <w:rFonts w:ascii="Times New Roman" w:hAnsi="华文楷体" w:eastAsia="华文楷体" w:cs="Times New Roman"/>
                <w:b/>
                <w:sz w:val="24"/>
              </w:rPr>
              <w:t>日</w:t>
            </w:r>
          </w:p>
        </w:tc>
      </w:tr>
    </w:tbl>
    <w:p>
      <w:pPr>
        <w:rPr>
          <w:rFonts w:ascii="Times New Roman" w:hAnsi="Times New Roman" w:cs="Times New Roman"/>
          <w:b/>
        </w:rPr>
      </w:pPr>
      <w:r>
        <w:rPr>
          <w:rFonts w:ascii="Times New Roman" w:hAnsi="宋体" w:cs="Times New Roman"/>
          <w:b/>
        </w:rPr>
        <w:t>填表说明：</w:t>
      </w:r>
    </w:p>
    <w:p>
      <w:pPr>
        <w:rPr>
          <w:rFonts w:ascii="Times New Roman" w:hAnsi="Times New Roman" w:cs="Times New Roman"/>
        </w:rPr>
      </w:pPr>
      <w:r>
        <w:rPr>
          <w:rFonts w:ascii="Times New Roman" w:hAnsi="Times New Roman" w:cs="Times New Roman"/>
        </w:rPr>
        <w:t>1</w:t>
      </w:r>
      <w:r>
        <w:rPr>
          <w:rFonts w:ascii="Times New Roman" w:hAnsi="宋体" w:cs="Times New Roman"/>
        </w:rPr>
        <w:t>、境内公司填报本登记表，外汇局审核无误并在资本项目信息系统办理登记后，将加盖业务印章的《业务登记凭证》交境内公司。</w:t>
      </w:r>
    </w:p>
    <w:p>
      <w:pPr>
        <w:rPr>
          <w:rFonts w:ascii="Times New Roman" w:hAnsi="Times New Roman" w:eastAsia="华文仿宋" w:cs="Times New Roman"/>
        </w:rPr>
      </w:pPr>
      <w:r>
        <w:rPr>
          <w:rFonts w:ascii="Times New Roman" w:hAnsi="Times New Roman" w:cs="Times New Roman"/>
        </w:rPr>
        <w:t>2</w:t>
      </w:r>
      <w:r>
        <w:rPr>
          <w:rFonts w:ascii="Times New Roman" w:hAnsi="宋体" w:cs="Times New Roman"/>
        </w:rPr>
        <w:t>、若本登记表中已经外汇局登记确认的相关事项发生变更，境内公司申请办理变更登记时，应按照变更后的内容重新填写本登记表，并对变更内容进行标注。外汇局审核无误后在资本项目信息系统办理变更登记，并向境内公司出具新的加盖业务印章的《业务登记凭证》</w:t>
      </w:r>
      <w:r>
        <w:rPr>
          <w:rFonts w:hint="eastAsia" w:ascii="Times New Roman" w:hAnsi="宋体" w:cs="Times New Roman"/>
        </w:rPr>
        <w:t>。</w:t>
      </w:r>
    </w:p>
    <w:p>
      <w:pPr>
        <w:rPr>
          <w:rFonts w:ascii="Times New Roman" w:hAnsi="Times New Roman" w:eastAsia="华文仿宋" w:cs="Times New Roman"/>
        </w:rPr>
      </w:pPr>
    </w:p>
    <w:p>
      <w:pPr>
        <w:widowControl/>
        <w:jc w:val="left"/>
        <w:rPr>
          <w:rFonts w:ascii="Times New Roman" w:hAnsi="Times New Roman" w:eastAsia="华文仿宋" w:cs="Times New Roman"/>
        </w:rPr>
      </w:pPr>
      <w:r>
        <w:rPr>
          <w:rFonts w:ascii="Times New Roman" w:hAnsi="Times New Roman" w:eastAsia="华文仿宋" w:cs="Times New Roman"/>
        </w:rPr>
        <w:br w:type="page"/>
      </w:r>
    </w:p>
    <w:p>
      <w:pPr>
        <w:widowControl/>
        <w:spacing w:line="384" w:lineRule="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附录三             </w:t>
      </w:r>
    </w:p>
    <w:p>
      <w:pPr>
        <w:widowControl/>
        <w:spacing w:line="384"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境外上市登记表（错误示例）</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登记类别：　□登记　□变更登记  □注销登记　　　编号（外汇局填写）：</w:t>
      </w:r>
    </w:p>
    <w:tbl>
      <w:tblPr>
        <w:tblStyle w:val="17"/>
        <w:tblW w:w="8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565"/>
        <w:gridCol w:w="863"/>
        <w:gridCol w:w="413"/>
        <w:gridCol w:w="709"/>
        <w:gridCol w:w="307"/>
        <w:gridCol w:w="118"/>
        <w:gridCol w:w="992"/>
        <w:gridCol w:w="283"/>
        <w:gridCol w:w="51"/>
        <w:gridCol w:w="942"/>
        <w:gridCol w:w="213"/>
        <w:gridCol w:w="1063"/>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境外上市的境内公司（以下简称境内公司）基本信息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境内公司名称</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统一社会信用代码</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注册地址</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法定代表人</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上市地及证券交易</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所</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上市时间</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证监会批准文号</w:t>
            </w:r>
          </w:p>
        </w:tc>
        <w:tc>
          <w:tcPr>
            <w:tcW w:w="7561" w:type="dxa"/>
            <w:gridSpan w:val="1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证券名</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成</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证券代码</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总股数</w:t>
            </w:r>
          </w:p>
          <w:p>
            <w:pPr>
              <w:autoSpaceDE w:val="0"/>
              <w:autoSpaceDN w:val="0"/>
              <w:adjustRightInd w:val="0"/>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总股本金额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总股本变更原因</w:t>
            </w:r>
          </w:p>
        </w:tc>
        <w:tc>
          <w:tcPr>
            <w:tcW w:w="7561" w:type="dxa"/>
            <w:gridSpan w:val="1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□增发（含超额配售）　　　□回购　　　□可转债转股</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□资本公积、盈余公积、未分配利润转增股本</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r>
              <w:rPr>
                <w:rFonts w:ascii="Times New Roman" w:hAnsi="Times New Roman" w:eastAsia="仿宋_GB2312" w:cs="Times New Roman"/>
                <w:kern w:val="0"/>
                <w:sz w:val="24"/>
                <w:szCs w:val="24"/>
                <w:u w:val="single"/>
              </w:rPr>
              <w:t>具体说明　　　　　　　　　　　　　　　　　　　</w:t>
            </w:r>
            <w:r>
              <w:rPr>
                <w:rFonts w:ascii="Times New Roman" w:hAnsi="Times New Roman" w:eastAsia="仿宋_GB2312"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联系人</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联系电话</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主要境内股东的基本信息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名称（或姓名）</w:t>
            </w:r>
          </w:p>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统一社会信用代码（或身份证号码）</w:t>
            </w: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持股比例</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注册地址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境内股东1</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境内股东2</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发行方式</w:t>
            </w:r>
          </w:p>
        </w:tc>
        <w:tc>
          <w:tcPr>
            <w:tcW w:w="5720" w:type="dxa"/>
            <w:gridSpan w:val="10"/>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□首次发行　　　　　　　□增发（含超额配售）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8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发行种类</w:t>
            </w:r>
          </w:p>
        </w:tc>
        <w:tc>
          <w:tcPr>
            <w:tcW w:w="2409"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股票</w:t>
            </w:r>
          </w:p>
        </w:tc>
        <w:tc>
          <w:tcPr>
            <w:tcW w:w="120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存托凭证</w:t>
            </w:r>
          </w:p>
        </w:tc>
        <w:tc>
          <w:tcPr>
            <w:tcW w:w="210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85"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普通股</w:t>
            </w: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优先股</w:t>
            </w:r>
          </w:p>
        </w:tc>
        <w:tc>
          <w:tcPr>
            <w:tcW w:w="12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名称及代码</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发行时间　</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宋体" w:cs="Times New Roman"/>
                <w:kern w:val="2"/>
                <w:sz w:val="21"/>
                <w:szCs w:val="22"/>
                <w:lang w:val="en-US" w:eastAsia="zh-CN" w:bidi="ar-SA"/>
              </w:rPr>
              <w:pict>
                <v:shape id="Text Box 1763" o:spid="_x0000_s1062" type="#_x0000_t202" style="position:absolute;left:0;margin-left:-75.75pt;margin-top:12.45pt;height:66.7pt;width:43.7pt;rotation:0f;z-index:251663360;" o:ole="f" fillcolor="#BBD5F0" filled="f" o:preferrelative="t" stroked="f" coordorigin="0,0" coordsize="21600,21600">
                  <v:fill type="gradient" on="f" color2="#9CBEE0" focus="100%" focussize="0f,0f" focusposition="0f,0f"/>
                  <v:imagedata gain="65536f" blacklevel="0f" gamma="0"/>
                  <o:lock v:ext="edit" position="f" selection="f" grouping="f" rotation="f" cropping="f" text="f" aspectratio="f"/>
                  <v:textbox>
                    <w:txbxContent>
                      <w:p>
                        <w:pPr>
                          <w:rPr>
                            <w:rFonts w:ascii="楷体_GB2312" w:eastAsia="楷体_GB2312"/>
                          </w:rPr>
                        </w:pPr>
                        <w:r>
                          <w:rPr>
                            <w:rFonts w:hint="eastAsia" w:ascii="楷体_GB2312" w:eastAsia="楷体_GB2312"/>
                          </w:rPr>
                          <w:t>金额与币种不匹配</w:t>
                        </w:r>
                      </w:p>
                    </w:txbxContent>
                  </v:textbox>
                </v:shape>
              </w:pict>
            </w:r>
            <w:r>
              <w:rPr>
                <w:rFonts w:ascii="Times New Roman" w:hAnsi="Times New Roman" w:eastAsia="宋体" w:cs="Times New Roman"/>
                <w:kern w:val="2"/>
                <w:sz w:val="21"/>
                <w:szCs w:val="22"/>
                <w:lang w:val="en-US" w:eastAsia="zh-CN" w:bidi="ar-SA"/>
              </w:rPr>
              <w:pict>
                <v:rect id="Rectangle 1761" o:spid="_x0000_s1063" style="position:absolute;left:0;margin-left:-84pt;margin-top:0.45pt;height:91.5pt;width:59.35pt;rotation:0f;z-index:251661312;" o:ole="f" fillcolor="#FFFFFF" filled="t" o:preferrelative="t" stroked="t" coordsize="21600,21600">
                  <v:stroke color="#C00000" color2="#FFFFFF" miterlimit="2"/>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shape id="Oval 1760" o:spid="_x0000_s1064" type="#_x0000_t3" style="position:absolute;left:0;margin-left:72.75pt;margin-top:11.5pt;height:25.5pt;width:62.25pt;rotation:0f;z-index:251660288;" o:ole="f" fillcolor="#FFFFFF" filled="f" o:preferrelative="t" stroked="t" coordorigin="0,0" coordsize="21600,21600">
                  <v:fill on="f" color2="#FFFFFF" focus="0%"/>
                  <v:stroke weight="1.5pt" color="#C00000" color2="#FFFFFF" miterlimit="2"/>
                  <v:imagedata gain="65536f" blacklevel="0f" gamma="0"/>
                  <o:lock v:ext="edit" position="f" selection="f" grouping="f" rotation="f" cropping="f" text="f" aspectratio="f"/>
                </v:shape>
              </w:pict>
            </w:r>
            <w:r>
              <w:rPr>
                <w:rFonts w:ascii="Times New Roman" w:hAnsi="Times New Roman" w:eastAsia="仿宋_GB2312" w:cs="Times New Roman"/>
                <w:kern w:val="0"/>
                <w:sz w:val="24"/>
                <w:szCs w:val="24"/>
              </w:rPr>
              <w:t>发行数量</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宋体" w:cs="Times New Roman"/>
                <w:kern w:val="2"/>
                <w:sz w:val="21"/>
                <w:szCs w:val="22"/>
                <w:lang w:val="en-US" w:eastAsia="zh-CN" w:bidi="ar-SA"/>
              </w:rPr>
              <w:pict>
                <v:shape id="AutoShape 1762" o:spid="_x0000_s1065" type="#_x0000_t32" style="position:absolute;left:0;flip:x;margin-left:-24.75pt;margin-top:8.9pt;height:12pt;width:97.5pt;rotation:0f;z-index:251662336;" o:ole="f" fillcolor="#FFFFFF" filled="t" o:preferrelative="t" stroked="t" coordorigin="0,0" coordsize="21600,21600">
                  <v:stroke weight="1pt" color="#C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0"/>
                <w:sz w:val="24"/>
                <w:szCs w:val="24"/>
              </w:rPr>
              <w:t>实际</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募集资金</w:t>
            </w: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3685"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合计金额（折美元）</w:t>
            </w: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发行募集资金运用信息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国有股减持上缴社保基金情况</w:t>
            </w:r>
          </w:p>
        </w:tc>
        <w:tc>
          <w:tcPr>
            <w:tcW w:w="1428"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国有股东减持股数</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减持金额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国有股东上缴社保基金股数</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上缴社保基金金额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募集资金</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运用计划</w:t>
            </w: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留存境外</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用途</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经常项下</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境外支付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境外投资</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境外放款</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现金留存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调回境内</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调回资金</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折美元合计</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其中：结汇</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账户信息</w:t>
            </w: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开户银行</w:t>
            </w: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境外上市专用</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外汇账户账号</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结汇待支付账户账号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募集资金</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实际运用</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情况</w:t>
            </w:r>
          </w:p>
          <w:p>
            <w:pPr>
              <w:autoSpaceDE w:val="0"/>
              <w:autoSpaceDN w:val="0"/>
              <w:adjustRightInd w:val="0"/>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留存境外</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用途</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经常项下</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境外支付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境外投资</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境外放款</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现金留存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调回境内</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调回资金</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折美元合计</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其中：结汇</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回购境外股份信息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gridSpan w:val="8"/>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证监会许可文号（如有）</w:t>
            </w:r>
          </w:p>
        </w:tc>
        <w:tc>
          <w:tcPr>
            <w:tcW w:w="3594"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计划</w:t>
            </w:r>
          </w:p>
          <w:p>
            <w:pPr>
              <w:autoSpaceDE w:val="0"/>
              <w:autoSpaceDN w:val="0"/>
              <w:adjustRightInd w:val="0"/>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回购证券种类</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回购数量</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回购金额</w:t>
            </w:r>
          </w:p>
          <w:p>
            <w:pPr>
              <w:autoSpaceDE w:val="0"/>
              <w:autoSpaceDN w:val="0"/>
              <w:adjustRightInd w:val="0"/>
              <w:jc w:val="left"/>
              <w:rPr>
                <w:rFonts w:ascii="Times New Roman" w:hAnsi="Times New Roman" w:eastAsia="仿宋_GB2312" w:cs="Times New Roman"/>
                <w:kern w:val="0"/>
                <w:sz w:val="24"/>
                <w:szCs w:val="24"/>
              </w:rPr>
            </w:pP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回购期限</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计划</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使用</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p>
            <w:pPr>
              <w:autoSpaceDE w:val="0"/>
              <w:autoSpaceDN w:val="0"/>
              <w:adjustRightInd w:val="0"/>
              <w:jc w:val="left"/>
              <w:rPr>
                <w:rFonts w:ascii="Times New Roman" w:hAnsi="Times New Roman" w:eastAsia="仿宋_GB2312" w:cs="Times New Roman"/>
                <w:kern w:val="0"/>
                <w:sz w:val="24"/>
                <w:szCs w:val="24"/>
              </w:rPr>
            </w:pPr>
          </w:p>
        </w:tc>
        <w:tc>
          <w:tcPr>
            <w:tcW w:w="1122"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境外解决</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汇出</w:t>
            </w:r>
          </w:p>
          <w:p>
            <w:pPr>
              <w:autoSpaceDE w:val="0"/>
              <w:autoSpaceDN w:val="0"/>
              <w:adjustRightInd w:val="0"/>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购汇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自有外汇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人民币</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完成</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情况</w:t>
            </w:r>
          </w:p>
          <w:p>
            <w:pPr>
              <w:autoSpaceDE w:val="0"/>
              <w:autoSpaceDN w:val="0"/>
              <w:adjustRightInd w:val="0"/>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回购证券种类</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回购数量</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回购金额</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回购期限</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计划使用金额</w:t>
            </w:r>
          </w:p>
        </w:tc>
        <w:tc>
          <w:tcPr>
            <w:tcW w:w="1122"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境外解决</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境内汇出</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购汇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自有外汇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人民币</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550" w:type="dxa"/>
            <w:gridSpan w:val="4"/>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回购剩余资金调回</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调回资金</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55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折美元合计</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可转债转股信息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证监会许可文号（如有）</w:t>
            </w:r>
          </w:p>
        </w:tc>
        <w:tc>
          <w:tcPr>
            <w:tcW w:w="501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外债登记编号</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转换比例</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trPr>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债转股前债券总数</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债转股前总股数</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本次转换债券数</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本次转换股数</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其他需要说明的信息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ind w:firstLine="48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境外上市的境内公司（名称及公章）：</w:t>
            </w:r>
          </w:p>
          <w:p>
            <w:pPr>
              <w:autoSpaceDE w:val="0"/>
              <w:autoSpaceDN w:val="0"/>
              <w:adjustRightInd w:val="0"/>
              <w:ind w:right="96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　　月　　日　</w:t>
            </w:r>
          </w:p>
          <w:p>
            <w:pPr>
              <w:autoSpaceDE w:val="0"/>
              <w:autoSpaceDN w:val="0"/>
              <w:adjustRightInd w:val="0"/>
              <w:jc w:val="left"/>
              <w:rPr>
                <w:rFonts w:ascii="Times New Roman" w:hAnsi="Times New Roman" w:eastAsia="仿宋_GB2312" w:cs="Times New Roman"/>
                <w:kern w:val="0"/>
                <w:sz w:val="24"/>
                <w:szCs w:val="24"/>
              </w:rPr>
            </w:pPr>
          </w:p>
        </w:tc>
      </w:tr>
    </w:tbl>
    <w:p>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填表说明：</w:t>
      </w:r>
    </w:p>
    <w:p>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１</w:t>
      </w:r>
      <w:r>
        <w:rPr>
          <w:rFonts w:hint="eastAsia" w:ascii="Times New Roman" w:hAnsi="宋体" w:cs="Times New Roman"/>
          <w:kern w:val="0"/>
          <w:szCs w:val="21"/>
        </w:rPr>
        <w:t>.</w:t>
      </w:r>
      <w:r>
        <w:rPr>
          <w:rFonts w:ascii="Times New Roman" w:hAnsi="宋体" w:cs="Times New Roman"/>
          <w:kern w:val="0"/>
          <w:szCs w:val="21"/>
        </w:rPr>
        <w:t>境内公司填报本登记表，外汇局审核无误并在资本项目信息系统办理登记后，</w:t>
      </w:r>
      <w:r>
        <w:rPr>
          <w:rFonts w:ascii="Times New Roman" w:hAnsi="Times New Roman" w:cs="Times New Roman"/>
          <w:kern w:val="0"/>
          <w:szCs w:val="21"/>
        </w:rPr>
        <w:t xml:space="preserve"> </w:t>
      </w:r>
      <w:r>
        <w:rPr>
          <w:rFonts w:ascii="Times New Roman" w:hAnsi="宋体" w:cs="Times New Roman"/>
          <w:kern w:val="0"/>
          <w:szCs w:val="21"/>
        </w:rPr>
        <w:t>将加盖业务印章的业务登记凭证交境内公司。</w:t>
      </w:r>
    </w:p>
    <w:p>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２</w:t>
      </w:r>
      <w:r>
        <w:rPr>
          <w:rFonts w:hint="eastAsia" w:ascii="Times New Roman" w:hAnsi="宋体" w:cs="Times New Roman"/>
          <w:kern w:val="0"/>
          <w:szCs w:val="21"/>
        </w:rPr>
        <w:t>.</w:t>
      </w:r>
      <w:r>
        <w:rPr>
          <w:rFonts w:ascii="Times New Roman" w:hAnsi="宋体" w:cs="Times New Roman"/>
          <w:kern w:val="0"/>
          <w:szCs w:val="21"/>
        </w:rPr>
        <w:t>若本登记表中已经外汇局登记确认的相关事项发生变更，境内公司申请办理变更登记时，应按照变更后的内容重新填写本登记表，并对变更内容进行标注。外汇局审核无误后在资本项目信息系统办理变更登记，并向境内公司出具新的加盖业务印章的业务登记凭证</w:t>
      </w:r>
      <w:r>
        <w:rPr>
          <w:rFonts w:hint="eastAsia" w:ascii="Times New Roman" w:hAnsi="宋体" w:cs="Times New Roman"/>
          <w:kern w:val="0"/>
          <w:szCs w:val="21"/>
        </w:rPr>
        <w:t>。</w:t>
      </w:r>
    </w:p>
    <w:p>
      <w:pPr>
        <w:adjustRightInd w:val="0"/>
        <w:snapToGrid w:val="0"/>
        <w:spacing w:line="360" w:lineRule="auto"/>
        <w:rPr>
          <w:rFonts w:ascii="Times New Roman" w:hAnsi="Times New Roman" w:eastAsia="仿宋_GB2312" w:cs="Times New Roman"/>
          <w:kern w:val="0"/>
          <w:sz w:val="30"/>
          <w:szCs w:val="30"/>
        </w:rPr>
      </w:pPr>
      <w:r>
        <w:rPr>
          <w:rFonts w:ascii="Times New Roman" w:hAnsi="Times New Roman" w:cs="Times New Roman"/>
        </w:rPr>
        <w:br w:type="page"/>
      </w:r>
      <w:r>
        <w:rPr>
          <w:rFonts w:ascii="Times New Roman" w:hAnsi="Times New Roman" w:eastAsia="仿宋_GB2312" w:cs="Times New Roman"/>
          <w:kern w:val="0"/>
          <w:sz w:val="30"/>
          <w:szCs w:val="30"/>
        </w:rPr>
        <w:t xml:space="preserve">附录四            </w:t>
      </w:r>
    </w:p>
    <w:p>
      <w:pPr>
        <w:adjustRightInd w:val="0"/>
        <w:snapToGrid w:val="0"/>
        <w:spacing w:line="360" w:lineRule="auto"/>
        <w:rPr>
          <w:rFonts w:ascii="Times New Roman" w:hAnsi="Times New Roman" w:eastAsia="仿宋_GB2312" w:cs="Times New Roman"/>
          <w:b/>
          <w:kern w:val="0"/>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adjustRightInd w:val="0"/>
        <w:snapToGrid w:val="0"/>
        <w:spacing w:line="360" w:lineRule="auto"/>
        <w:jc w:val="center"/>
        <w:rPr>
          <w:rFonts w:ascii="Times New Roman" w:hAnsi="Times New Roman" w:eastAsia="黑体" w:cs="Times New Roman"/>
          <w:sz w:val="30"/>
          <w:szCs w:val="30"/>
          <w:highlight w:val="yellow"/>
        </w:rPr>
      </w:pP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问：境内公司回购其境外股份的，应在拟回购前多少个工作日内办理回购相关信息登记？</w:t>
      </w:r>
    </w:p>
    <w:p>
      <w:pPr>
        <w:adjustRightInd w:val="0"/>
        <w:snapToGrid w:val="0"/>
        <w:spacing w:line="360" w:lineRule="auto"/>
        <w:ind w:firstLine="600" w:firstLineChars="200"/>
        <w:rPr>
          <w:rFonts w:ascii="Times New Roman" w:hAnsi="Times New Roman" w:eastAsia="华文仿宋" w:cs="Times New Roman"/>
        </w:rPr>
      </w:pPr>
      <w:r>
        <w:rPr>
          <w:rFonts w:ascii="Times New Roman" w:hAnsi="Times New Roman" w:eastAsia="仿宋_GB2312" w:cs="Times New Roman"/>
          <w:kern w:val="0"/>
          <w:sz w:val="30"/>
          <w:szCs w:val="30"/>
        </w:rPr>
        <w:t>答：境内公司回购其境外股份的，应在拟回购前20个工作日内办理回购相关信息登记。</w:t>
      </w:r>
    </w:p>
    <w:p>
      <w:pPr>
        <w:rPr>
          <w:rFonts w:ascii="Times New Roman" w:hAnsi="Times New Roman" w:eastAsia="华文仿宋" w:cs="Times New Roman"/>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13</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07827"/>
    <w:rsid w:val="00022191"/>
    <w:rsid w:val="00023783"/>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C2F26"/>
    <w:rsid w:val="000D1995"/>
    <w:rsid w:val="000D586D"/>
    <w:rsid w:val="000D7478"/>
    <w:rsid w:val="000F007A"/>
    <w:rsid w:val="001166D7"/>
    <w:rsid w:val="0012267E"/>
    <w:rsid w:val="0012271F"/>
    <w:rsid w:val="00130519"/>
    <w:rsid w:val="00135BEE"/>
    <w:rsid w:val="0014667A"/>
    <w:rsid w:val="00154B58"/>
    <w:rsid w:val="00157C64"/>
    <w:rsid w:val="00157E26"/>
    <w:rsid w:val="00157E81"/>
    <w:rsid w:val="00170126"/>
    <w:rsid w:val="00177059"/>
    <w:rsid w:val="00181D3E"/>
    <w:rsid w:val="00182ADE"/>
    <w:rsid w:val="00196FAE"/>
    <w:rsid w:val="001A3E49"/>
    <w:rsid w:val="001A72AA"/>
    <w:rsid w:val="001B1E2C"/>
    <w:rsid w:val="001C44C7"/>
    <w:rsid w:val="001D65A2"/>
    <w:rsid w:val="001E1407"/>
    <w:rsid w:val="001E6F07"/>
    <w:rsid w:val="001F4BD4"/>
    <w:rsid w:val="001F7297"/>
    <w:rsid w:val="00205D07"/>
    <w:rsid w:val="00212F39"/>
    <w:rsid w:val="00217116"/>
    <w:rsid w:val="00222C90"/>
    <w:rsid w:val="00231EED"/>
    <w:rsid w:val="00233841"/>
    <w:rsid w:val="002344B4"/>
    <w:rsid w:val="00235F24"/>
    <w:rsid w:val="002417D2"/>
    <w:rsid w:val="00241FE8"/>
    <w:rsid w:val="0024527E"/>
    <w:rsid w:val="00252C70"/>
    <w:rsid w:val="00253F7B"/>
    <w:rsid w:val="00254704"/>
    <w:rsid w:val="00256239"/>
    <w:rsid w:val="00263B1F"/>
    <w:rsid w:val="00282244"/>
    <w:rsid w:val="00291C17"/>
    <w:rsid w:val="00291DA3"/>
    <w:rsid w:val="0029313A"/>
    <w:rsid w:val="002B0B1C"/>
    <w:rsid w:val="002B0DDE"/>
    <w:rsid w:val="002B598D"/>
    <w:rsid w:val="002B61C1"/>
    <w:rsid w:val="002D75E4"/>
    <w:rsid w:val="002D7C0E"/>
    <w:rsid w:val="002E126C"/>
    <w:rsid w:val="002E1323"/>
    <w:rsid w:val="002E4F44"/>
    <w:rsid w:val="002F232E"/>
    <w:rsid w:val="002F3868"/>
    <w:rsid w:val="002F5184"/>
    <w:rsid w:val="00300907"/>
    <w:rsid w:val="00302119"/>
    <w:rsid w:val="00302E87"/>
    <w:rsid w:val="00310261"/>
    <w:rsid w:val="00343044"/>
    <w:rsid w:val="00344B01"/>
    <w:rsid w:val="00353AC4"/>
    <w:rsid w:val="003616B4"/>
    <w:rsid w:val="003A57B2"/>
    <w:rsid w:val="003C7132"/>
    <w:rsid w:val="003D77A5"/>
    <w:rsid w:val="003E627D"/>
    <w:rsid w:val="003E6317"/>
    <w:rsid w:val="003E6BF6"/>
    <w:rsid w:val="003F221D"/>
    <w:rsid w:val="003F3097"/>
    <w:rsid w:val="003F6BFA"/>
    <w:rsid w:val="00402AE8"/>
    <w:rsid w:val="00405FE6"/>
    <w:rsid w:val="004105BC"/>
    <w:rsid w:val="00421C27"/>
    <w:rsid w:val="004245D7"/>
    <w:rsid w:val="00426B97"/>
    <w:rsid w:val="00440A1F"/>
    <w:rsid w:val="00443603"/>
    <w:rsid w:val="00443604"/>
    <w:rsid w:val="004501EA"/>
    <w:rsid w:val="00452110"/>
    <w:rsid w:val="00460436"/>
    <w:rsid w:val="00460458"/>
    <w:rsid w:val="0046792D"/>
    <w:rsid w:val="004767DF"/>
    <w:rsid w:val="004913DB"/>
    <w:rsid w:val="00493CCC"/>
    <w:rsid w:val="004A0218"/>
    <w:rsid w:val="004A7840"/>
    <w:rsid w:val="004B545A"/>
    <w:rsid w:val="004B7E80"/>
    <w:rsid w:val="004C1B4C"/>
    <w:rsid w:val="004C3A53"/>
    <w:rsid w:val="004C457E"/>
    <w:rsid w:val="004C48D5"/>
    <w:rsid w:val="004C512D"/>
    <w:rsid w:val="004D03B7"/>
    <w:rsid w:val="004D1436"/>
    <w:rsid w:val="004D57AE"/>
    <w:rsid w:val="004D5EE3"/>
    <w:rsid w:val="004E4854"/>
    <w:rsid w:val="004F190F"/>
    <w:rsid w:val="005056D4"/>
    <w:rsid w:val="005062CB"/>
    <w:rsid w:val="00526B2B"/>
    <w:rsid w:val="005362B0"/>
    <w:rsid w:val="00542447"/>
    <w:rsid w:val="00557FD0"/>
    <w:rsid w:val="00564312"/>
    <w:rsid w:val="005A2981"/>
    <w:rsid w:val="005C1C2B"/>
    <w:rsid w:val="005C6937"/>
    <w:rsid w:val="005C7F02"/>
    <w:rsid w:val="005F0A86"/>
    <w:rsid w:val="005F144A"/>
    <w:rsid w:val="005F1C00"/>
    <w:rsid w:val="0060083D"/>
    <w:rsid w:val="0061621E"/>
    <w:rsid w:val="00617271"/>
    <w:rsid w:val="00630AA8"/>
    <w:rsid w:val="00630B2E"/>
    <w:rsid w:val="00643D2A"/>
    <w:rsid w:val="00664E11"/>
    <w:rsid w:val="00673B30"/>
    <w:rsid w:val="00696D87"/>
    <w:rsid w:val="00696E5D"/>
    <w:rsid w:val="006B5B86"/>
    <w:rsid w:val="006C2905"/>
    <w:rsid w:val="006C5908"/>
    <w:rsid w:val="006C633E"/>
    <w:rsid w:val="006D734F"/>
    <w:rsid w:val="006E043F"/>
    <w:rsid w:val="006E4695"/>
    <w:rsid w:val="006E4B8B"/>
    <w:rsid w:val="006E5901"/>
    <w:rsid w:val="006F449A"/>
    <w:rsid w:val="0071091C"/>
    <w:rsid w:val="00714961"/>
    <w:rsid w:val="007337C5"/>
    <w:rsid w:val="00744BD5"/>
    <w:rsid w:val="00745748"/>
    <w:rsid w:val="007501D5"/>
    <w:rsid w:val="00750E36"/>
    <w:rsid w:val="00753CB0"/>
    <w:rsid w:val="00755460"/>
    <w:rsid w:val="00757813"/>
    <w:rsid w:val="00761FB7"/>
    <w:rsid w:val="00762107"/>
    <w:rsid w:val="00764CB9"/>
    <w:rsid w:val="00765B05"/>
    <w:rsid w:val="00777E9C"/>
    <w:rsid w:val="00785F45"/>
    <w:rsid w:val="007A2780"/>
    <w:rsid w:val="007A5A50"/>
    <w:rsid w:val="007A68EA"/>
    <w:rsid w:val="007B06FC"/>
    <w:rsid w:val="007B0FEF"/>
    <w:rsid w:val="007B2DB5"/>
    <w:rsid w:val="007D102D"/>
    <w:rsid w:val="007D2C11"/>
    <w:rsid w:val="007D3E8F"/>
    <w:rsid w:val="007D6171"/>
    <w:rsid w:val="007D69EA"/>
    <w:rsid w:val="007E2C7B"/>
    <w:rsid w:val="007E411B"/>
    <w:rsid w:val="007F0863"/>
    <w:rsid w:val="007F2F3B"/>
    <w:rsid w:val="00802307"/>
    <w:rsid w:val="00803798"/>
    <w:rsid w:val="0082168E"/>
    <w:rsid w:val="00821968"/>
    <w:rsid w:val="00822C2D"/>
    <w:rsid w:val="008471B6"/>
    <w:rsid w:val="00851521"/>
    <w:rsid w:val="0085686A"/>
    <w:rsid w:val="00860878"/>
    <w:rsid w:val="008731FF"/>
    <w:rsid w:val="00873713"/>
    <w:rsid w:val="0088294A"/>
    <w:rsid w:val="00886BB8"/>
    <w:rsid w:val="0089282A"/>
    <w:rsid w:val="008A4538"/>
    <w:rsid w:val="008A6890"/>
    <w:rsid w:val="008A704B"/>
    <w:rsid w:val="008B08D2"/>
    <w:rsid w:val="008B48EC"/>
    <w:rsid w:val="008B4EE5"/>
    <w:rsid w:val="008B5807"/>
    <w:rsid w:val="008B686F"/>
    <w:rsid w:val="008D1EAE"/>
    <w:rsid w:val="008D5FA0"/>
    <w:rsid w:val="008E2D38"/>
    <w:rsid w:val="008E7D2A"/>
    <w:rsid w:val="008F5724"/>
    <w:rsid w:val="00902633"/>
    <w:rsid w:val="009027D8"/>
    <w:rsid w:val="0090372F"/>
    <w:rsid w:val="00911E27"/>
    <w:rsid w:val="0092129A"/>
    <w:rsid w:val="00925BB2"/>
    <w:rsid w:val="00930C8C"/>
    <w:rsid w:val="0093562D"/>
    <w:rsid w:val="009360EA"/>
    <w:rsid w:val="0094694C"/>
    <w:rsid w:val="00947C57"/>
    <w:rsid w:val="00951149"/>
    <w:rsid w:val="00960EDB"/>
    <w:rsid w:val="009622DB"/>
    <w:rsid w:val="00964C3F"/>
    <w:rsid w:val="009664BC"/>
    <w:rsid w:val="00980F02"/>
    <w:rsid w:val="00991B77"/>
    <w:rsid w:val="00997523"/>
    <w:rsid w:val="009A0C5D"/>
    <w:rsid w:val="009C4672"/>
    <w:rsid w:val="009C491B"/>
    <w:rsid w:val="009D0911"/>
    <w:rsid w:val="009D1AB5"/>
    <w:rsid w:val="009D24F8"/>
    <w:rsid w:val="009D688C"/>
    <w:rsid w:val="009D73D6"/>
    <w:rsid w:val="009F307A"/>
    <w:rsid w:val="009F52BB"/>
    <w:rsid w:val="009F7A36"/>
    <w:rsid w:val="00A249C2"/>
    <w:rsid w:val="00A24FAB"/>
    <w:rsid w:val="00A301E7"/>
    <w:rsid w:val="00A33676"/>
    <w:rsid w:val="00A40838"/>
    <w:rsid w:val="00A42E69"/>
    <w:rsid w:val="00A45CA7"/>
    <w:rsid w:val="00A51415"/>
    <w:rsid w:val="00A6014E"/>
    <w:rsid w:val="00A60356"/>
    <w:rsid w:val="00A71B3E"/>
    <w:rsid w:val="00A80324"/>
    <w:rsid w:val="00A81DF1"/>
    <w:rsid w:val="00A90EF3"/>
    <w:rsid w:val="00AA7717"/>
    <w:rsid w:val="00AB131E"/>
    <w:rsid w:val="00AB142C"/>
    <w:rsid w:val="00AB644F"/>
    <w:rsid w:val="00AC0141"/>
    <w:rsid w:val="00AC3F5E"/>
    <w:rsid w:val="00AD2F86"/>
    <w:rsid w:val="00AE7ACF"/>
    <w:rsid w:val="00B06409"/>
    <w:rsid w:val="00B06964"/>
    <w:rsid w:val="00B14509"/>
    <w:rsid w:val="00B1454D"/>
    <w:rsid w:val="00B17D66"/>
    <w:rsid w:val="00B35D3A"/>
    <w:rsid w:val="00B422F1"/>
    <w:rsid w:val="00B4652E"/>
    <w:rsid w:val="00B71531"/>
    <w:rsid w:val="00B7456C"/>
    <w:rsid w:val="00B84131"/>
    <w:rsid w:val="00B8630E"/>
    <w:rsid w:val="00B931F4"/>
    <w:rsid w:val="00B95573"/>
    <w:rsid w:val="00B96395"/>
    <w:rsid w:val="00BA2AF8"/>
    <w:rsid w:val="00BB2650"/>
    <w:rsid w:val="00BB5BDC"/>
    <w:rsid w:val="00BB7B76"/>
    <w:rsid w:val="00BD0A1C"/>
    <w:rsid w:val="00BD233D"/>
    <w:rsid w:val="00BF039C"/>
    <w:rsid w:val="00BF4EF0"/>
    <w:rsid w:val="00C02E44"/>
    <w:rsid w:val="00C1021F"/>
    <w:rsid w:val="00C147D2"/>
    <w:rsid w:val="00C2075F"/>
    <w:rsid w:val="00C23799"/>
    <w:rsid w:val="00C274C9"/>
    <w:rsid w:val="00C31E02"/>
    <w:rsid w:val="00C4770C"/>
    <w:rsid w:val="00C54291"/>
    <w:rsid w:val="00C57793"/>
    <w:rsid w:val="00C635AE"/>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23B58"/>
    <w:rsid w:val="00D33A4D"/>
    <w:rsid w:val="00D33F76"/>
    <w:rsid w:val="00D41F5E"/>
    <w:rsid w:val="00D43DC0"/>
    <w:rsid w:val="00D54E56"/>
    <w:rsid w:val="00D6407D"/>
    <w:rsid w:val="00D67B78"/>
    <w:rsid w:val="00D67CAC"/>
    <w:rsid w:val="00D76AE6"/>
    <w:rsid w:val="00D91444"/>
    <w:rsid w:val="00D93E78"/>
    <w:rsid w:val="00D9778D"/>
    <w:rsid w:val="00DA6FF9"/>
    <w:rsid w:val="00DB304F"/>
    <w:rsid w:val="00DB331E"/>
    <w:rsid w:val="00DC6E91"/>
    <w:rsid w:val="00DC700C"/>
    <w:rsid w:val="00DC7514"/>
    <w:rsid w:val="00DC7BE2"/>
    <w:rsid w:val="00DD3845"/>
    <w:rsid w:val="00E002F1"/>
    <w:rsid w:val="00E13A54"/>
    <w:rsid w:val="00E1687A"/>
    <w:rsid w:val="00E20A2E"/>
    <w:rsid w:val="00E277DE"/>
    <w:rsid w:val="00E27EE9"/>
    <w:rsid w:val="00E31969"/>
    <w:rsid w:val="00E3239D"/>
    <w:rsid w:val="00E3439B"/>
    <w:rsid w:val="00E42C5F"/>
    <w:rsid w:val="00E65A1B"/>
    <w:rsid w:val="00E70AA6"/>
    <w:rsid w:val="00E72F1F"/>
    <w:rsid w:val="00E8718B"/>
    <w:rsid w:val="00E934AB"/>
    <w:rsid w:val="00EA06AC"/>
    <w:rsid w:val="00EA08BF"/>
    <w:rsid w:val="00EA24FB"/>
    <w:rsid w:val="00EB13BE"/>
    <w:rsid w:val="00EB3204"/>
    <w:rsid w:val="00EB50BA"/>
    <w:rsid w:val="00EC33F3"/>
    <w:rsid w:val="00EC3D33"/>
    <w:rsid w:val="00ED1D45"/>
    <w:rsid w:val="00ED302A"/>
    <w:rsid w:val="00ED3A42"/>
    <w:rsid w:val="00EE02BC"/>
    <w:rsid w:val="00EE6970"/>
    <w:rsid w:val="00EF38D0"/>
    <w:rsid w:val="00EF3DDF"/>
    <w:rsid w:val="00EF4A8C"/>
    <w:rsid w:val="00F07AFF"/>
    <w:rsid w:val="00F2678C"/>
    <w:rsid w:val="00F27B38"/>
    <w:rsid w:val="00F40278"/>
    <w:rsid w:val="00F41832"/>
    <w:rsid w:val="00F41ABD"/>
    <w:rsid w:val="00F56988"/>
    <w:rsid w:val="00F620FB"/>
    <w:rsid w:val="00F6571F"/>
    <w:rsid w:val="00F8255C"/>
    <w:rsid w:val="00F8687E"/>
    <w:rsid w:val="00F90E20"/>
    <w:rsid w:val="00F93331"/>
    <w:rsid w:val="00F95549"/>
    <w:rsid w:val="00F969A0"/>
    <w:rsid w:val="00FA1E24"/>
    <w:rsid w:val="00FA24FB"/>
    <w:rsid w:val="00FA632B"/>
    <w:rsid w:val="00FB38EA"/>
    <w:rsid w:val="00FB5E0F"/>
    <w:rsid w:val="00FB6AFF"/>
    <w:rsid w:val="00FC4D8F"/>
    <w:rsid w:val="00FD06D3"/>
    <w:rsid w:val="00FE3157"/>
    <w:rsid w:val="00FE6865"/>
    <w:rsid w:val="00FE6993"/>
    <w:rsid w:val="295273FA"/>
    <w:rsid w:val="2986587C"/>
    <w:rsid w:val="430C6EF0"/>
    <w:rsid w:val="44BF3467"/>
    <w:rsid w:val="6CF73AD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684"/>
        <o:r id="V:Rule2" type="connector" idref="#AutoShape 685"/>
        <o:r id="V:Rule3" type="connector" idref="#AutoShape 686"/>
        <o:r id="V:Rule4" type="connector" idref="#AutoShape 687"/>
        <o:r id="V:Rule5" type="connector" idref="#AutoShape 688"/>
        <o:r id="V:Rule6" type="connector" idref="#AutoShape 690"/>
        <o:r id="V:Rule7" type="connector" idref="#AutoShape 692"/>
        <o:r id="V:Rule8" type="connector" idref="#AutoShape 694"/>
        <o:r id="V:Rule9" type="connector" idref="#AutoShape 701"/>
        <o:r id="V:Rule10" type="connector" idref="#AutoShape 702"/>
        <o:r id="V:Rule11" type="connector" idref="#AutoShape 704"/>
        <o:r id="V:Rule12" type="connector" idref="#AutoShape 705"/>
        <o:r id="V:Rule13" type="connector" idref="#AutoShape 708"/>
        <o:r id="V:Rule14" type="connector" idref="#AutoShape 709"/>
        <o:r id="V:Rule15" type="connector" idref="#AutoShape 710"/>
        <o:r id="V:Rule16" type="connector" idref="#AutoShape 7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qFormat/>
    <w:uiPriority w:val="99"/>
    <w:pPr>
      <w:jc w:val="left"/>
    </w:pPr>
    <w:rPr>
      <w:rFonts w:ascii="Calibri" w:hAnsi="Calibri" w:eastAsia="宋体" w:cs="Times New Roman"/>
    </w:rPr>
  </w:style>
  <w:style w:type="paragraph" w:styleId="7">
    <w:name w:val="Balloon Text"/>
    <w:basedOn w:val="1"/>
    <w:link w:val="29"/>
    <w:unhideWhenUsed/>
    <w:qFormat/>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qFormat/>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qFormat/>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855</Words>
  <Characters>4876</Characters>
  <Lines>40</Lines>
  <Paragraphs>11</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2020-02-26T06:12:00Z</dcterms:created>
  <dc:creator>裴建君2</dc:creator>
  <cp:lastModifiedBy>史学岗</cp:lastModifiedBy>
  <cp:lastPrinted>2017-11-24T00:22:00Z</cp:lastPrinted>
  <dcterms:modified xsi:type="dcterms:W3CDTF">2021-05-27T07:09:36Z</dcterms:modified>
  <dc:title>编号：57004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