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编号：57016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上海市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</w:t>
      </w: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450" w:firstLineChars="15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</w:t>
      </w:r>
      <w:r>
        <w:rPr>
          <w:rFonts w:hint="eastAsia" w:ascii="Times New Roman" w:hAnsi="Times New Roman" w:eastAsia="黑体" w:cs="Times New Roman"/>
          <w:sz w:val="30"/>
          <w:szCs w:val="30"/>
        </w:rPr>
        <w:t>服务贸易项下</w:t>
      </w:r>
      <w:r>
        <w:rPr>
          <w:rFonts w:ascii="Times New Roman" w:hAnsi="Times New Roman" w:eastAsia="黑体" w:cs="Times New Roman"/>
          <w:sz w:val="30"/>
          <w:szCs w:val="30"/>
        </w:rPr>
        <w:t>外币现钞提取审批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1.</w:t>
      </w:r>
      <w:r>
        <w:rPr>
          <w:rFonts w:ascii="Times New Roman" w:hAnsi="Times New Roman" w:eastAsia="仿宋_GB2312" w:cs="Times New Roman"/>
          <w:sz w:val="30"/>
          <w:szCs w:val="30"/>
        </w:rPr>
        <w:t>《国家外汇管理局关于印发〈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经常项目外汇业务指引（2020年版）</w:t>
      </w:r>
      <w:r>
        <w:rPr>
          <w:rFonts w:ascii="Times New Roman" w:hAnsi="Times New Roman" w:eastAsia="仿宋_GB2312" w:cs="Times New Roman"/>
          <w:sz w:val="30"/>
          <w:szCs w:val="30"/>
        </w:rPr>
        <w:t>〉的通知》（汇发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2020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14号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申请人注册所在地国家外汇管理局分支局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申请人注册所在地国家外汇管理局分支局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申请人为境内机构，有提取外币现钞交易的真实性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、合法性</w:t>
      </w:r>
      <w:r>
        <w:rPr>
          <w:rFonts w:ascii="Times New Roman" w:hAnsi="Times New Roman" w:eastAsia="仿宋_GB2312" w:cs="Times New Roman"/>
          <w:sz w:val="30"/>
          <w:szCs w:val="30"/>
        </w:rPr>
        <w:t>和必要性。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申请材料</w:t>
      </w:r>
    </w:p>
    <w:tbl>
      <w:tblPr>
        <w:tblW w:w="89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830"/>
        <w:gridCol w:w="1580"/>
        <w:gridCol w:w="850"/>
        <w:gridCol w:w="1310"/>
        <w:gridCol w:w="1730"/>
        <w:gridCol w:w="770"/>
      </w:tblGrid>
      <w:t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序号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提交材料名称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原件/复印件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份数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纸质/电子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要求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备注</w:t>
            </w:r>
          </w:p>
        </w:tc>
      </w:tr>
      <w:t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</w:rPr>
              <w:tab/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交易真实性、合法性和必要性的说明材料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原件和加盖企业公章的复印件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各1份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纸质/电子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如申请人需保留原件，原件验后退申请人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仿宋_GB2312" w:hAnsi="仿宋_GB2312" w:eastAsia="仿宋_GB2312"/>
                <w:sz w:val="24"/>
              </w:rPr>
            </w:pPr>
          </w:p>
        </w:tc>
      </w:tr>
    </w:tbl>
    <w:p>
      <w:pPr>
        <w:numPr>
          <w:numId w:val="0"/>
        </w:numPr>
        <w:adjustRightInd w:val="0"/>
        <w:snapToGrid w:val="0"/>
        <w:spacing w:line="360" w:lineRule="auto"/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当场决定：申请人使用外币现钞的时间较为紧急且申请材料完整符合法规要求，分支局经过规定的内部审批程序，可当场出具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准文件的，可不出具受理通知书。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咨询途径、监督和投诉、办公地址和时间、公开查询方式等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360" w:lineRule="auto"/>
        <w:ind w:left="0" w:leftChars="0" w:right="0" w:firstLine="600" w:firstLineChars="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注册所在地外汇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局进行咨询、办理进程查询、监督和投诉等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可通过国家外汇管理局官方互联网站www.safe.gov.cn链接至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上海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</w:rPr>
        <w:t>分局“业务指南”栏目中公布的电话进行。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（十七）常见问题解答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按照法规要求，正式受理后，</w:t>
      </w:r>
      <w:r>
        <w:rPr>
          <w:rFonts w:ascii="Times New Roman" w:hAnsi="Times New Roman" w:eastAsia="仿宋_GB2312" w:cs="Times New Roman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八</w:t>
      </w:r>
      <w:r>
        <w:rPr>
          <w:rFonts w:hint="eastAsia" w:ascii="Times New Roman" w:hAnsi="Times New Roman" w:eastAsia="黑体" w:cs="Times New Roman"/>
          <w:sz w:val="30"/>
          <w:szCs w:val="30"/>
        </w:rPr>
        <w:t>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汇路通畅，但申请提取外币现钞。</w:t>
      </w: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6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ind w:firstLine="585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group id="组合 1026" o:spid="_x0000_s1027" style="position:absolute;left:0;margin-left:-37.5pt;margin-top:34.6pt;height:473.85pt;width:461.45pt;rotation:0f;z-index:251658240;" coordorigin="1050,3380" coordsize="9229,9477">
            <o:lock v:ext="edit" position="f" selection="f" grouping="f" rotation="f" cropping="f" text="f" aspectratio="f"/>
            <v:shape id="AutoShape 329" o:spid="_x0000_s1028" type="#_x0000_t32" style="position:absolute;left:261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0" o:spid="_x0000_s1029" type="#_x0000_t32" style="position:absolute;left:4275;top:5903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1" o:spid="_x0000_s1030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2" o:spid="_x0000_s1031" type="#_x0000_t32" style="position:absolute;left:8707;top:5320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3" o:spid="_x0000_s1032" type="#_x0000_t32" style="position:absolute;left:2629;top:500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4" o:spid="_x0000_s1033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5" o:spid="_x0000_s1034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6" o:spid="_x0000_s1035" type="#_x0000_t32" style="position:absolute;left:2627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337" o:spid="_x0000_s1036" type="#_x0000_t32" style="position:absolute;left:2627;top:8811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8" o:spid="_x0000_s1037" type="#_x0000_t110" style="position:absolute;left:1050;top:5387;height:2007;width:31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339" o:spid="_x0000_s1038" type="#_x0000_t32" style="position:absolute;left:4290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Rectangle 341" o:spid="_x0000_s1039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AutoShape 342" o:spid="_x0000_s1040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43" o:spid="_x0000_s1041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44" o:spid="_x0000_s1042" type="#_x0000_t109" style="position:absolute;left:345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</w:txbxContent>
              </v:textbox>
            </v:shape>
            <v:shape id="AutoShape 345" o:spid="_x0000_s1043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46" o:spid="_x0000_s1044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47" o:spid="_x0000_s1045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48" o:spid="_x0000_s1046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49" o:spid="_x0000_s1047" type="#_x0000_t116" style="position:absolute;left:1478;top:3380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申请人现场提交材料</w:t>
                    </w:r>
                  </w:p>
                  <w:p/>
                </w:txbxContent>
              </v:textbox>
            </v:shape>
            <v:shape id="Straight Connector 49" o:spid="_x0000_s1048" type="#_x0000_t32" style="position:absolute;left:4177;top:6405;height:0;width: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</w:p>
    <w:sectPr>
      <w:footerReference r:id="rId7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CE">
    <w:altName w:val="Times New Roman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roman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roman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roman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Hei Western">
    <w:altName w:val="黑体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Calibri CE">
    <w:altName w:val="Calibri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swiss"/>
    <w:pitch w:val="default"/>
    <w:sig w:usb0="00000000" w:usb1="00000000" w:usb2="00000000" w:usb3="00000000" w:csb0="00000100" w:csb1="00000000"/>
  </w:font>
  <w:font w:name="Cambria CE">
    <w:altName w:val="Cambria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roman"/>
    <w:pitch w:val="default"/>
    <w:sig w:usb0="00000000" w:usb1="00000000" w:usb2="00000000" w:usb3="00000000" w:csb0="000001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1067402">
    <w:nsid w:val="61381D0A"/>
    <w:multiLevelType w:val="singleLevel"/>
    <w:tmpl w:val="61381D0A"/>
    <w:lvl w:ilvl="0" w:tentative="1">
      <w:start w:val="6"/>
      <w:numFmt w:val="chineseCounting"/>
      <w:suff w:val="nothing"/>
      <w:lvlText w:val="（%1）"/>
      <w:lvlJc w:val="left"/>
    </w:lvl>
  </w:abstractNum>
  <w:num w:numId="1">
    <w:abstractNumId w:val="16310674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unhideWhenUsed/>
    <w:uiPriority w:val="1"/>
  </w:style>
  <w:style w:type="paragraph" w:styleId="5">
    <w:name w:val="Document Map"/>
    <w:basedOn w:val="1"/>
    <w:link w:val="36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0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qFormat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qFormat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qFormat/>
    <w:uiPriority w:val="99"/>
    <w:rPr>
      <w:sz w:val="18"/>
      <w:szCs w:val="18"/>
    </w:rPr>
  </w:style>
  <w:style w:type="character" w:customStyle="1" w:styleId="41">
    <w:name w:val="font11"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customXml" Target="../customXml/item1.xml"/><Relationship Id="rId1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theme" Target="theme/theme1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240</Words>
  <Characters>1373</Characters>
  <Lines>11</Lines>
  <Paragraphs>3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2020-02-27T03:35:00Z</dcterms:created>
  <dc:creator>裴建君2</dc:creator>
  <cp:lastModifiedBy>杨宇辰</cp:lastModifiedBy>
  <cp:lastPrinted>2020-09-28T03:20:00Z</cp:lastPrinted>
  <dcterms:modified xsi:type="dcterms:W3CDTF">2021-09-08T01:58:10Z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