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right="300"/>
        <w:rPr>
          <w:rFonts w:ascii="Times New Roman" w:hAnsi="Times New Roman" w:eastAsia="黑体" w:cs="Times New Roman"/>
          <w:sz w:val="48"/>
          <w:szCs w:val="48"/>
        </w:rPr>
      </w:pPr>
      <w:r>
        <w:rPr>
          <w:rFonts w:ascii="Times New Roman" w:hAnsi="Times New Roman" w:eastAsia="黑体" w:cs="Times New Roman"/>
          <w:sz w:val="48"/>
          <w:szCs w:val="48"/>
        </w:rPr>
        <w:t xml:space="preserve">编号：57017               </w:t>
      </w:r>
      <w:r>
        <w:rPr>
          <w:rFonts w:ascii="Times New Roman" w:hAnsi="Times New Roman" w:eastAsia="黑体" w:cs="Times New Roman"/>
          <w:kern w:val="2"/>
          <w:sz w:val="48"/>
          <w:szCs w:val="48"/>
          <w:lang w:val="en-US" w:eastAsia="zh-CN" w:bidi="ar-SA"/>
        </w:rPr>
        <w:pict>
          <v:shape id="图片 1" o:spid="_x0000_s1026" type="#_x0000_t75" style="height:69.75pt;width:87.05pt;rotation:0f;" o:ole="f" fillcolor="#FFFFFF" filled="f" o:preferrelative="t" stroked="f" coordorigin="0,0" coordsize="21600,21600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</w:p>
    <w:p>
      <w:pPr>
        <w:ind w:right="300"/>
        <w:jc w:val="center"/>
        <w:rPr>
          <w:rFonts w:ascii="Times New Roman" w:hAnsi="Times New Roman" w:eastAsia="黑体" w:cs="Times New Roman"/>
          <w:sz w:val="52"/>
          <w:szCs w:val="52"/>
        </w:rPr>
      </w:pPr>
      <w:r>
        <w:rPr>
          <w:rFonts w:ascii="Times New Roman" w:hAnsi="Times New Roman" w:eastAsia="黑体" w:cs="Times New Roman"/>
          <w:sz w:val="52"/>
          <w:szCs w:val="52"/>
        </w:rPr>
        <w:t>“外汇账户（含边贸人民币结算专用账户）的开立、变更、关闭、撤销以及账户允许保留限额核准”行政审批服务指南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发布日期：20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实施日期：20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x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ind w:right="30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发布机构：国家外汇管理局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上海市分局</w:t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  <w:sectPr>
          <w:headerReference r:id="rId6" w:type="first"/>
          <w:footerReference r:id="rId9" w:type="first"/>
          <w:headerReference r:id="rId4" w:type="default"/>
          <w:footerReference r:id="rId7" w:type="default"/>
          <w:headerReference r:id="rId5" w:type="even"/>
          <w:footerReference r:id="rId8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/>
        </w:sect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30"/>
          <w:szCs w:val="30"/>
        </w:rPr>
        <w:t>一、项目信息</w:t>
      </w:r>
    </w:p>
    <w:p>
      <w:pPr>
        <w:adjustRightInd w:val="0"/>
        <w:snapToGrid w:val="0"/>
        <w:spacing w:line="360" w:lineRule="auto"/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项目名称：</w:t>
      </w:r>
      <w:bookmarkStart w:id="0" w:name="_Hlk421820588"/>
      <w:r>
        <w:rPr>
          <w:rFonts w:ascii="Times New Roman" w:hAnsi="Times New Roman" w:eastAsia="仿宋_GB2312" w:cs="Times New Roman"/>
          <w:sz w:val="30"/>
          <w:szCs w:val="30"/>
        </w:rPr>
        <w:t>外汇账户的开立、变更、关闭、撤销以及账户允许保留限额核准</w:t>
      </w:r>
      <w:bookmarkEnd w:id="0"/>
      <w:r>
        <w:rPr>
          <w:rFonts w:ascii="Times New Roman" w:hAnsi="Times New Roman" w:eastAsia="仿宋_GB2312" w:cs="Times New Roman"/>
          <w:sz w:val="30"/>
          <w:szCs w:val="30"/>
        </w:rPr>
        <w:t>；</w:t>
      </w:r>
    </w:p>
    <w:p>
      <w:pPr>
        <w:adjustRightInd w:val="0"/>
        <w:snapToGrid w:val="0"/>
        <w:spacing w:line="360" w:lineRule="auto"/>
        <w:ind w:firstLine="585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项目编号：57017；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审批类别：行政许可。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二、适用范围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本指南适用于“外汇账户的开立、变更、关闭、撤销以及账户允许保留限额核准”的申请和办理。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三、设定依据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《国务院对确需保留的行政审批项目设定行政许可的决定》（国务院令第412号）附件第493项“外汇账户（含边贸人民币结算专用账户）的开立、变更、关闭、撤销以及账户允许保留限额核准。</w:t>
      </w: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黑体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黑体" w:cs="Times New Roman"/>
          <w:sz w:val="30"/>
          <w:szCs w:val="30"/>
        </w:rPr>
        <w:t>四、服务贸易外汇收入存放境外外汇账户审批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（一）办理依据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1.《中华人民共和国外汇管理条例》（国务院令第532号）；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《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国家外汇管理局关于印发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〈经常项目外汇业务指引（2020年版）〉的通知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》（汇发</w:t>
      </w:r>
      <w:r>
        <w:rPr>
          <w:rFonts w:hint="eastAsia" w:ascii="仿宋_GB2312" w:hAnsi="Times New Roman" w:eastAsia="仿宋_GB2312" w:cs="Times New Roman"/>
          <w:bCs/>
          <w:sz w:val="30"/>
          <w:szCs w:val="30"/>
        </w:rPr>
        <w:t>〔2020〕14号</w:t>
      </w:r>
      <w:r>
        <w:rPr>
          <w:rFonts w:ascii="Times New Roman" w:hAnsi="Times New Roman" w:eastAsia="仿宋_GB2312" w:cs="Times New Roman"/>
          <w:bCs/>
          <w:sz w:val="30"/>
          <w:szCs w:val="30"/>
        </w:rPr>
        <w:t>）。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（二）受理机构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申请人注册所在地国家外汇管理局分支局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（三）决定机构</w:t>
      </w:r>
    </w:p>
    <w:p>
      <w:pPr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申请人注册所在地国家外汇管理局分支局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（四）审批数量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无数量限制。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（五）办事条件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申请人为境内机构，需同时符合以下条件：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服务贸易外汇收入来源真实合法，且在境外有符合相关规定的支付需求</w:t>
      </w:r>
      <w:r>
        <w:rPr>
          <w:rFonts w:ascii="Times New Roman" w:hAnsi="Times New Roman" w:eastAsia="仿宋_GB2312" w:cs="Times New Roman"/>
          <w:sz w:val="30"/>
          <w:szCs w:val="30"/>
        </w:rPr>
        <w:t>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2.近两年无违反外汇管理规定行为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禁止性要求：申请材料不齐全，不符合法规规定。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（六）申请材料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1.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服务贸易外汇收入存放境外外汇账户开立申请材料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55"/>
        <w:gridCol w:w="1008"/>
        <w:gridCol w:w="1128"/>
        <w:gridCol w:w="828"/>
        <w:gridCol w:w="1080"/>
        <w:gridCol w:w="2484"/>
        <w:gridCol w:w="1339"/>
      </w:tblGrid>
      <w:tr>
        <w:tc>
          <w:tcPr>
            <w:tcW w:w="655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序号</w:t>
            </w:r>
          </w:p>
        </w:tc>
        <w:tc>
          <w:tcPr>
            <w:tcW w:w="1008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提交材料名称</w:t>
            </w:r>
          </w:p>
        </w:tc>
        <w:tc>
          <w:tcPr>
            <w:tcW w:w="1128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原件/复印件</w:t>
            </w:r>
          </w:p>
        </w:tc>
        <w:tc>
          <w:tcPr>
            <w:tcW w:w="828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份数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纸质/电子</w:t>
            </w:r>
          </w:p>
        </w:tc>
        <w:tc>
          <w:tcPr>
            <w:tcW w:w="2484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要求</w:t>
            </w:r>
          </w:p>
        </w:tc>
        <w:tc>
          <w:tcPr>
            <w:tcW w:w="1339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备注</w:t>
            </w:r>
          </w:p>
        </w:tc>
      </w:tr>
      <w:tr>
        <w:tc>
          <w:tcPr>
            <w:tcW w:w="655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8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书面申请</w:t>
            </w:r>
          </w:p>
        </w:tc>
        <w:tc>
          <w:tcPr>
            <w:tcW w:w="1128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828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纸质</w:t>
            </w:r>
          </w:p>
        </w:tc>
        <w:tc>
          <w:tcPr>
            <w:tcW w:w="2484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申请书内容包括但不限于：基本情况、业务开展情况、拟开户银行、使用期限、根据实际需要申请的存放境外资金规模等</w:t>
            </w:r>
          </w:p>
        </w:tc>
        <w:tc>
          <w:tcPr>
            <w:tcW w:w="1339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定代表人或其授权人签字并加盖企业公章</w:t>
            </w:r>
          </w:p>
        </w:tc>
      </w:tr>
    </w:tbl>
    <w:p>
      <w:pPr>
        <w:adjustRightInd w:val="0"/>
        <w:snapToGrid w:val="0"/>
        <w:spacing w:line="360" w:lineRule="auto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</w:p>
    <w:p>
      <w:pPr>
        <w:numPr>
          <w:ilvl w:val="0"/>
          <w:numId w:val="1"/>
        </w:numPr>
        <w:adjustRightInd w:val="0"/>
        <w:snapToGrid w:val="0"/>
        <w:spacing w:beforeLines="50" w:line="360" w:lineRule="auto"/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服务贸易外汇收入存放境外外汇账户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变更申请材料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655"/>
        <w:gridCol w:w="1008"/>
        <w:gridCol w:w="1128"/>
        <w:gridCol w:w="828"/>
        <w:gridCol w:w="1080"/>
        <w:gridCol w:w="2484"/>
        <w:gridCol w:w="1339"/>
      </w:tblGrid>
      <w:tr>
        <w:tc>
          <w:tcPr>
            <w:tcW w:w="655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序号</w:t>
            </w:r>
          </w:p>
        </w:tc>
        <w:tc>
          <w:tcPr>
            <w:tcW w:w="1008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提交材料名称</w:t>
            </w:r>
          </w:p>
        </w:tc>
        <w:tc>
          <w:tcPr>
            <w:tcW w:w="1128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原件/复印件</w:t>
            </w:r>
          </w:p>
        </w:tc>
        <w:tc>
          <w:tcPr>
            <w:tcW w:w="828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份数</w:t>
            </w:r>
          </w:p>
        </w:tc>
        <w:tc>
          <w:tcPr>
            <w:tcW w:w="1080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纸质/电子</w:t>
            </w:r>
          </w:p>
        </w:tc>
        <w:tc>
          <w:tcPr>
            <w:tcW w:w="2484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要求</w:t>
            </w:r>
          </w:p>
        </w:tc>
        <w:tc>
          <w:tcPr>
            <w:tcW w:w="1339" w:type="dxa"/>
            <w:textDirection w:val="lrTb"/>
            <w:vAlign w:val="top"/>
          </w:tcPr>
          <w:p>
            <w:pPr>
              <w:snapToGrid w:val="0"/>
              <w:rPr>
                <w:rFonts w:hint="eastAsia" w:ascii="Times New Roman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备注</w:t>
            </w:r>
          </w:p>
        </w:tc>
      </w:tr>
      <w:tr>
        <w:tc>
          <w:tcPr>
            <w:tcW w:w="655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8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书面申请</w:t>
            </w:r>
          </w:p>
        </w:tc>
        <w:tc>
          <w:tcPr>
            <w:tcW w:w="1128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原件</w:t>
            </w:r>
          </w:p>
        </w:tc>
        <w:tc>
          <w:tcPr>
            <w:tcW w:w="828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1份</w:t>
            </w:r>
          </w:p>
        </w:tc>
        <w:tc>
          <w:tcPr>
            <w:tcW w:w="1080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纸质</w:t>
            </w:r>
          </w:p>
        </w:tc>
        <w:tc>
          <w:tcPr>
            <w:tcW w:w="2484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列明变更事项（开户银行、收支范围、使用期限、需提高存放境外资金规模或境内企业集团调整参与成员公司）</w:t>
            </w:r>
          </w:p>
        </w:tc>
        <w:tc>
          <w:tcPr>
            <w:tcW w:w="1339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书面申请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由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法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定代表人或其授权人签字并加盖企业公章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，境内企业集团应由主办企业申请变更登记</w:t>
            </w:r>
          </w:p>
        </w:tc>
      </w:tr>
    </w:tbl>
    <w:p>
      <w:pPr>
        <w:adjustRightInd w:val="0"/>
        <w:snapToGrid w:val="0"/>
        <w:spacing w:line="360" w:lineRule="auto"/>
        <w:ind w:firstLine="0" w:firstLineChars="0"/>
        <w:rPr>
          <w:rFonts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（七）申请接受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申请人可通过外汇局窗口提交材料。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（八）基本办理流程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1.申请人提交申请；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2.决定是否予以受理；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3.不予受理的，出具不予受理通知书；受理的，出具受理通知书，审核作出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准或者不予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准的决定；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4.对于符合规定条件，向申请人出具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准文件；不予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准的，做出不予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</w:t>
      </w:r>
      <w:r>
        <w:rPr>
          <w:rFonts w:ascii="Times New Roman" w:hAnsi="Times New Roman" w:eastAsia="仿宋_GB2312" w:cs="Times New Roman"/>
          <w:sz w:val="30"/>
          <w:szCs w:val="30"/>
        </w:rPr>
        <w:t>准的行政许可书面决定并说明理由；</w:t>
      </w:r>
    </w:p>
    <w:p>
      <w:pPr>
        <w:adjustRightInd w:val="0"/>
        <w:snapToGrid w:val="0"/>
        <w:spacing w:line="360" w:lineRule="auto"/>
        <w:ind w:firstLine="6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5.材料不全或不符合法定形式的，一次性告知补正材料，并出具《行政许可补正通知书》；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（九）办理方式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一般程序：申请、受理、审查、决定、出具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核准</w:t>
      </w:r>
      <w:r>
        <w:rPr>
          <w:rFonts w:ascii="Times New Roman" w:hAnsi="Times New Roman" w:eastAsia="仿宋_GB2312" w:cs="Times New Roman"/>
          <w:sz w:val="30"/>
          <w:szCs w:val="30"/>
        </w:rPr>
        <w:t>文件或不予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核准</w:t>
      </w:r>
      <w:r>
        <w:rPr>
          <w:rFonts w:ascii="Times New Roman" w:hAnsi="Times New Roman" w:eastAsia="仿宋_GB2312" w:cs="Times New Roman"/>
          <w:sz w:val="30"/>
          <w:szCs w:val="30"/>
        </w:rPr>
        <w:t>的行政许可书面决定。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（十）审批时限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20个工作日。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（十一）审批收费依据及标准</w:t>
      </w:r>
    </w:p>
    <w:p>
      <w:pPr>
        <w:adjustRightInd w:val="0"/>
        <w:snapToGrid w:val="0"/>
        <w:spacing w:line="360" w:lineRule="auto"/>
        <w:ind w:firstLine="585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不收费。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（十二）审批结果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核准</w:t>
      </w:r>
      <w:r>
        <w:rPr>
          <w:rFonts w:ascii="Times New Roman" w:hAnsi="Times New Roman" w:eastAsia="仿宋_GB2312" w:cs="Times New Roman"/>
          <w:sz w:val="30"/>
          <w:szCs w:val="30"/>
        </w:rPr>
        <w:t>文件。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（十三）结果送达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通过现场告知或电话通知申请人，并通过现场领取或邮寄方式将结果送达。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（十四）申请人权利和义务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申请人有权依法提出行政审批申请，依法进行投诉、举报、复议、诉讼等。申请人有义务保证申请材料完整、真实、准确，获批后合法合规办理相关业务。</w:t>
      </w:r>
    </w:p>
    <w:p>
      <w:pPr>
        <w:ind w:firstLine="600"/>
        <w:rPr>
          <w:rFonts w:hint="eastAsia"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（十五）</w:t>
      </w:r>
      <w:r>
        <w:rPr>
          <w:rFonts w:hint="eastAsia" w:ascii="Times New Roman" w:hAnsi="Times New Roman" w:eastAsia="黑体" w:cs="Times New Roman"/>
          <w:sz w:val="30"/>
          <w:szCs w:val="30"/>
        </w:rPr>
        <w:t>咨询途径、监督和投诉、办公地址和时间、公开查询方式等</w:t>
      </w:r>
    </w:p>
    <w:p>
      <w:pPr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向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注册所在地外汇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局进行咨询、办理进程查询、监督和投诉等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可通过国家外汇管理局官方互联网站www.safe.gov.cn链接至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上海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0"/>
          <w:szCs w:val="30"/>
        </w:rPr>
        <w:t>分局“业务指南”栏目中公布的电话进行。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（十六）事项审查类型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前审后批。</w:t>
      </w:r>
    </w:p>
    <w:p>
      <w:pPr>
        <w:adjustRightInd w:val="0"/>
        <w:snapToGrid w:val="0"/>
        <w:spacing w:line="360" w:lineRule="auto"/>
        <w:ind w:firstLine="60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七</w:t>
      </w:r>
      <w:r>
        <w:rPr>
          <w:rFonts w:ascii="Times New Roman" w:hAnsi="Times New Roman" w:eastAsia="黑体" w:cs="Times New Roman"/>
          <w:sz w:val="30"/>
          <w:szCs w:val="30"/>
        </w:rPr>
        <w:t>）申请材料示范文本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关于开立服务贸易外汇收入存放境外外汇账户的申请</w:t>
      </w:r>
    </w:p>
    <w:p>
      <w:pPr>
        <w:adjustRightInd w:val="0"/>
        <w:snapToGrid w:val="0"/>
        <w:spacing w:line="360" w:lineRule="auto"/>
        <w:jc w:val="center"/>
        <w:rPr>
          <w:rFonts w:ascii="Times New Roman" w:hAnsi="Times New Roman" w:eastAsia="黑体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国家外汇管理局XX分局：</w:t>
      </w:r>
    </w:p>
    <w:p>
      <w:pPr>
        <w:adjustRightInd w:val="0"/>
        <w:snapToGrid w:val="0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我公司成立于XXXX年，注册资金XX万元，注册地址XX（公司基本情况介绍）。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XXXX年，我公司服务贸易外汇收入和支出金额分别为……，同比分别增长（下降）……。</w:t>
      </w:r>
      <w:r>
        <w:rPr>
          <w:rFonts w:ascii="Times New Roman" w:hAnsi="Times New Roman" w:eastAsia="仿宋_GB2312" w:cs="Times New Roman"/>
          <w:sz w:val="30"/>
          <w:szCs w:val="30"/>
        </w:rPr>
        <w:t>因XX业务需要，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申请</w:t>
      </w:r>
      <w:r>
        <w:rPr>
          <w:rFonts w:ascii="Times New Roman" w:hAnsi="Times New Roman" w:eastAsia="仿宋_GB2312" w:cs="Times New Roman"/>
          <w:sz w:val="30"/>
          <w:szCs w:val="30"/>
        </w:rPr>
        <w:t>在X国开立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服务贸易外汇收入</w:t>
      </w:r>
      <w:r>
        <w:rPr>
          <w:rFonts w:ascii="Times New Roman" w:hAnsi="Times New Roman" w:eastAsia="仿宋_GB2312" w:cs="Times New Roman"/>
          <w:sz w:val="30"/>
          <w:szCs w:val="30"/>
        </w:rPr>
        <w:t>存放境外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外汇</w:t>
      </w:r>
      <w:r>
        <w:rPr>
          <w:rFonts w:ascii="Times New Roman" w:hAnsi="Times New Roman" w:eastAsia="仿宋_GB2312" w:cs="Times New Roman"/>
          <w:sz w:val="30"/>
          <w:szCs w:val="30"/>
        </w:rPr>
        <w:t>账户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，详细信息如下：</w:t>
      </w:r>
    </w:p>
    <w:p>
      <w:pPr>
        <w:adjustRightInd w:val="0"/>
        <w:snapToGrid w:val="0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适用币种：</w:t>
      </w:r>
    </w:p>
    <w:p>
      <w:pPr>
        <w:adjustRightInd w:val="0"/>
        <w:snapToGrid w:val="0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开户银行：</w:t>
      </w:r>
    </w:p>
    <w:p>
      <w:pPr>
        <w:adjustRightInd w:val="0"/>
        <w:snapToGrid w:val="0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账户使用期限：</w:t>
      </w:r>
    </w:p>
    <w:p>
      <w:pPr>
        <w:adjustRightInd w:val="0"/>
        <w:snapToGrid w:val="0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存放境外资金规模：</w:t>
      </w:r>
    </w:p>
    <w:p>
      <w:pPr>
        <w:adjustRightInd w:val="0"/>
        <w:snapToGrid w:val="0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账户收支范围：</w:t>
      </w:r>
    </w:p>
    <w:p>
      <w:pPr>
        <w:adjustRightInd w:val="0"/>
        <w:snapToGrid w:val="0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（账户开立后，存放境外内部管理制度介绍）。</w:t>
      </w:r>
    </w:p>
    <w:p>
      <w:pPr>
        <w:adjustRightInd w:val="0"/>
        <w:snapToGrid w:val="0"/>
        <w:spacing w:line="360" w:lineRule="auto"/>
        <w:ind w:firstLine="600" w:firstLineChars="200"/>
        <w:jc w:val="both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特此申请。</w:t>
      </w:r>
    </w:p>
    <w:p>
      <w:pPr>
        <w:adjustRightInd w:val="0"/>
        <w:snapToGrid w:val="0"/>
        <w:spacing w:line="360" w:lineRule="auto"/>
        <w:ind w:right="300" w:firstLine="600" w:firstLineChars="200"/>
        <w:jc w:val="right"/>
        <w:outlineLvl w:val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XX公司</w:t>
      </w:r>
    </w:p>
    <w:p>
      <w:pPr>
        <w:adjustRightInd w:val="0"/>
        <w:snapToGrid w:val="0"/>
        <w:spacing w:line="360" w:lineRule="auto"/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XXXX年X月X日</w:t>
      </w:r>
    </w:p>
    <w:p>
      <w:pPr>
        <w:adjustRightInd w:val="0"/>
        <w:snapToGrid w:val="0"/>
        <w:spacing w:line="360" w:lineRule="auto"/>
        <w:ind w:firstLine="600" w:firstLineChars="200"/>
        <w:jc w:val="righ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八</w:t>
      </w:r>
      <w:r>
        <w:rPr>
          <w:rFonts w:ascii="Times New Roman" w:hAnsi="Times New Roman" w:eastAsia="黑体" w:cs="Times New Roman"/>
          <w:sz w:val="30"/>
          <w:szCs w:val="30"/>
        </w:rPr>
        <w:t>）常见问题解答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 1.申请存放境外需要具备哪些条件？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（1）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服务贸易外汇收入来源真实合法，且在境外有符合相关规定的支付需求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； 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（2）近两年无违反外汇管理规定行为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。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2.受理后几个工作日能办结？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按照法规要求，正式受理后，20个工作日内可以批复。</w:t>
      </w:r>
    </w:p>
    <w:p>
      <w:pPr>
        <w:adjustRightInd w:val="0"/>
        <w:snapToGrid w:val="0"/>
        <w:spacing w:line="360" w:lineRule="auto"/>
        <w:ind w:firstLine="600" w:firstLineChars="200"/>
        <w:outlineLvl w:val="0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（十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九</w:t>
      </w:r>
      <w:r>
        <w:rPr>
          <w:rFonts w:ascii="Times New Roman" w:hAnsi="Times New Roman" w:eastAsia="黑体" w:cs="Times New Roman"/>
          <w:sz w:val="30"/>
          <w:szCs w:val="30"/>
        </w:rPr>
        <w:t>）常见错误示例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某公司近两年因违反外汇管理规定被处罚，申请该业务。</w:t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br w:type="page"/>
      </w:r>
    </w:p>
    <w:p>
      <w:pPr>
        <w:ind w:right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附录</w:t>
      </w:r>
    </w:p>
    <w:p>
      <w:pPr>
        <w:ind w:right="300"/>
        <w:jc w:val="center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基本流程</w:t>
      </w:r>
      <w:r>
        <w:rPr>
          <w:rFonts w:hint="eastAsia" w:ascii="Times New Roman" w:hAnsi="Times New Roman" w:eastAsia="黑体" w:cs="Times New Roman"/>
          <w:sz w:val="30"/>
          <w:szCs w:val="30"/>
        </w:rPr>
        <w:t>图</w:t>
      </w:r>
    </w:p>
    <w:p>
      <w:pPr>
        <w:adjustRightInd w:val="0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kern w:val="2"/>
          <w:sz w:val="21"/>
          <w:szCs w:val="22"/>
          <w:lang w:val="en-US" w:eastAsia="zh-CN" w:bidi="ar-SA"/>
        </w:rPr>
        <w:pict>
          <v:group id="组合 1026" o:spid="_x0000_s1027" style="position:absolute;left:0;margin-left:-42.35pt;margin-top:35.25pt;height:473.2pt;width:472.7pt;rotation:0f;z-index:251658240;" coordorigin="825,3393" coordsize="9454,9464">
            <o:lock v:ext="edit" position="f" selection="f" grouping="f" rotation="f" cropping="f" text="f" aspectratio="f"/>
            <v:shape id="直接箭头连接符 21" o:spid="_x0000_s1028" type="#_x0000_t32" style="position:absolute;left:2402;top:4552;height:1468;width:17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17" o:spid="_x0000_s1029" type="#_x0000_t32" style="position:absolute;left:4275;top:5918;height:1;width:564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16" o:spid="_x0000_s1030" type="#_x0000_t32" style="position:absolute;left:4275;top:6752;height:1;width:564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18" o:spid="_x0000_s1031" type="#_x0000_t34" style="position:absolute;left:8573;top:5455;height:1;width:271;rotation:17694720f;" o:ole="f" fillcolor="#FFFFFF" filled="t" o:preferrelative="t" stroked="t" coordorigin="0,0" coordsize="21600,21600" adj="1076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19" o:spid="_x0000_s1032" type="#_x0000_t32" style="position:absolute;left:2417;top:4938;flip:x y;height:72;width:4851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9" o:spid="_x0000_s1033" type="#_x0000_t32" style="position:absolute;left:5002;top:9276;height:437;width:0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11" o:spid="_x0000_s1034" type="#_x0000_t32" style="position:absolute;left:4986;top:11195;height:905;width:1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直接箭头连接符 5" o:spid="_x0000_s1035" type="#_x0000_t32" style="position:absolute;left:2432;top:7405;height:1391;width: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直接箭头连接符 6" o:spid="_x0000_s1036" type="#_x0000_t32" style="position:absolute;left:2432;top:8792;height:0;width:822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流程图: 决策 2" o:spid="_x0000_s1037" type="#_x0000_t110" style="position:absolute;left:825;top:5391;height:2085;width:3157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left"/>
                    </w:pPr>
                    <w:r>
                      <w:rPr>
                        <w:rFonts w:hint="eastAsia"/>
                      </w:rPr>
                      <w:t>接件并于</w:t>
                    </w:r>
                    <w:r>
                      <w:rPr>
                        <w:rFonts w:ascii="Times New Roman" w:hAnsi="Times New Roman" w:cs="Times New Roman"/>
                      </w:rPr>
                      <w:t>5</w:t>
                    </w:r>
                    <w:r>
                      <w:rPr>
                        <w:rFonts w:hint="eastAsia"/>
                      </w:rPr>
                      <w:t>个工作日作出是否受理决定</w:t>
                    </w:r>
                  </w:p>
                </w:txbxContent>
              </v:textbox>
            </v:shape>
            <v:shape id="直接箭头连接符 3" o:spid="_x0000_s1038" type="#_x0000_t32" style="position:absolute;left:4275;top:5933;height:804;width: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shape id="直接箭头连接符 4" o:spid="_x0000_s1039" type="#_x0000_t32" style="position:absolute;left:3982;top:6416;height:0;width:293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</v:shape>
            <v:rect id="矩形 20" o:spid="_x0000_s1040" style="position:absolute;left:7272;top:4573;height:720;width:2929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申请人补全材料</w:t>
                    </w:r>
                  </w:p>
                </w:txbxContent>
              </v:textbox>
            </v:rect>
            <v:shape id="流程图: 过程 7" o:spid="_x0000_s1041" type="#_x0000_t109" style="position:absolute;left:4839;top:5591;height:587;width:5440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材料不全或不符合法定形式的，一次性告知补正材料</w:t>
                    </w:r>
                  </w:p>
                </w:txbxContent>
              </v:textbox>
            </v:shape>
            <v:rect id="矩形 8" o:spid="_x0000_s1042" style="position:absolute;left:4839;top:6592;height:811;width:5440;rotation:0f;" o:ole="f" fillcolor="#FFFFFF" filled="t" o:preferrelative="t" stroked="t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依法不予受理的，作出不予受理决定，出具不予受理通知书</w:t>
                    </w:r>
                  </w:p>
                </w:txbxContent>
              </v:textbox>
            </v:rect>
            <v:shape id="流程图: 过程 13" o:spid="_x0000_s1043" type="#_x0000_t109" style="position:absolute;left:3332;top:8461;height:815;width:3227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依法应予受理的，出具受理单</w:t>
                    </w:r>
                  </w:p>
                  <w:p/>
                </w:txbxContent>
              </v:textbox>
            </v:shape>
            <v:shape id="流程图: 决策 10" o:spid="_x0000_s1044" type="#_x0000_t110" style="position:absolute;left:3456;top:9713;height:1444;width:3064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hint="eastAsia"/>
                      </w:rPr>
                      <w:t>审查报批</w:t>
                    </w:r>
                  </w:p>
                </w:txbxContent>
              </v:textbox>
            </v:shape>
            <v:shape id="流程图: 过程 12" o:spid="_x0000_s1045" type="#_x0000_t109" style="position:absolute;left:3452;top:12100;height:757;width:2987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予以许可的，向申请人出具核准书面决定</w:t>
                    </w:r>
                  </w:p>
                  <w:p/>
                </w:txbxContent>
              </v:textbox>
            </v:shape>
            <v:shape id="流程图: 过程 14" o:spid="_x0000_s1046" type="#_x0000_t109" style="position:absolute;left:7786;top:10041;height:766;width:2298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依法作出不予许可决定</w:t>
                    </w:r>
                  </w:p>
                  <w:p/>
                </w:txbxContent>
              </v:textbox>
            </v:shape>
            <v:shape id="直接箭头连接符 15" o:spid="_x0000_s1047" type="#_x0000_t32" style="position:absolute;left:6520;top:10422;flip:y;height:15;width:1266;rotation:0f;" o:ole="f" fillcolor="#FFFFFF" filled="t" o:preferrelative="t" stroked="t" coordorigin="0,0" coordsize="21600,21600">
              <v:stroke color="#000000" color2="#FFFFFF" miterlimit="2" endarrow="block"/>
              <v:imagedata gain="65536f" blacklevel="0f" gamma="0"/>
              <o:lock v:ext="edit" position="f" selection="f" grouping="f" rotation="f" cropping="f" text="f" aspectratio="f"/>
            </v:shape>
            <v:shape id="流程图: 终止 22" o:spid="_x0000_s1048" type="#_x0000_t116" style="position:absolute;left:1258;top:3393;height:1172;width:2467;rotation:0f;" o:ole="f" fillcolor="#FFFFFF" filled="t" o:preferrelative="t" stroked="t" coordorigin="0,0" coordsize="21600,21600">
              <v:stroke color="#000000" color2="#FFFFFF" miterlimit="2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r>
                      <w:rPr>
                        <w:rFonts w:hint="eastAsia"/>
                      </w:rPr>
                      <w:t>申请人现场提出书面申请，并提交材料</w:t>
                    </w:r>
                  </w:p>
                  <w:p/>
                </w:txbxContent>
              </v:textbox>
            </v:shape>
          </v:group>
        </w:pic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libri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mbria CE">
    <w:altName w:val="Cambri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mbria Cyr">
    <w:altName w:val="Cambri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mbria Greek">
    <w:altName w:val="Cambri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Tur">
    <w:altName w:val="Cambri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mbria Baltic">
    <w:altName w:val="Cambri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mbria (Vietnamese)">
    <w:altName w:val="Cambria"/>
    <w:panose1 w:val="00000000000000000000"/>
    <w:charset w:val="A3"/>
    <w:family w:val="auto"/>
    <w:pitch w:val="default"/>
    <w:sig w:usb0="00000000" w:usb1="00000000" w:usb2="00000000" w:usb3="00000000" w:csb0="000001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31068237">
    <w:nsid w:val="6138204D"/>
    <w:multiLevelType w:val="singleLevel"/>
    <w:tmpl w:val="6138204D"/>
    <w:lvl w:ilvl="0" w:tentative="1">
      <w:start w:val="2"/>
      <w:numFmt w:val="decimal"/>
      <w:suff w:val="space"/>
      <w:lvlText w:val="%1."/>
      <w:lvlJc w:val="left"/>
    </w:lvl>
  </w:abstractNum>
  <w:num w:numId="1">
    <w:abstractNumId w:val="16310682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nhideWhenUsed="0"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semiHidden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semiHidden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"/>
    <w:pPr>
      <w:ind w:firstLine="600" w:firstLineChars="200"/>
      <w:outlineLvl w:val="0"/>
    </w:pPr>
    <w:rPr>
      <w:rFonts w:ascii="黑体" w:hAnsi="黑体" w:eastAsia="黑体" w:cs="宋体"/>
      <w:color w:val="000000"/>
      <w:kern w:val="0"/>
      <w:sz w:val="30"/>
      <w:szCs w:val="30"/>
    </w:rPr>
  </w:style>
  <w:style w:type="paragraph" w:styleId="3">
    <w:name w:val="heading 2"/>
    <w:basedOn w:val="1"/>
    <w:next w:val="1"/>
    <w:link w:val="32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33"/>
    <w:qFormat/>
    <w:uiPriority w:val="9"/>
    <w:pPr>
      <w:ind w:right="300"/>
      <w:outlineLvl w:val="2"/>
    </w:pPr>
    <w:rPr>
      <w:rFonts w:ascii="仿宋_GB2312" w:hAnsi="Calibri" w:eastAsia="仿宋_GB2312" w:cs="Times New Roman"/>
      <w:sz w:val="30"/>
      <w:szCs w:val="30"/>
    </w:rPr>
  </w:style>
  <w:style w:type="character" w:default="1" w:styleId="12">
    <w:name w:val="Default Paragraph Font"/>
    <w:unhideWhenUsed/>
    <w:uiPriority w:val="1"/>
  </w:style>
  <w:style w:type="paragraph" w:styleId="5">
    <w:name w:val="Document Map"/>
    <w:basedOn w:val="1"/>
    <w:link w:val="36"/>
    <w:unhideWhenUsed/>
    <w:uiPriority w:val="0"/>
    <w:rPr>
      <w:rFonts w:ascii="宋体"/>
      <w:sz w:val="18"/>
      <w:szCs w:val="18"/>
    </w:rPr>
  </w:style>
  <w:style w:type="paragraph" w:styleId="6">
    <w:name w:val="annotation text"/>
    <w:basedOn w:val="1"/>
    <w:link w:val="30"/>
    <w:unhideWhenUsed/>
    <w:uiPriority w:val="99"/>
    <w:pPr>
      <w:jc w:val="left"/>
    </w:pPr>
    <w:rPr>
      <w:rFonts w:ascii="Calibri" w:hAnsi="Calibri" w:eastAsia="宋体" w:cs="Times New Roman"/>
    </w:rPr>
  </w:style>
  <w:style w:type="paragraph" w:styleId="7">
    <w:name w:val="Balloon Text"/>
    <w:basedOn w:val="1"/>
    <w:link w:val="28"/>
    <w:unhideWhenUsed/>
    <w:uiPriority w:val="0"/>
    <w:rPr>
      <w:sz w:val="18"/>
      <w:szCs w:val="18"/>
    </w:rPr>
  </w:style>
  <w:style w:type="paragraph" w:styleId="8">
    <w:name w:val="footer"/>
    <w:basedOn w:val="1"/>
    <w:link w:val="2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footnote text"/>
    <w:basedOn w:val="1"/>
    <w:link w:val="34"/>
    <w:semiHidden/>
    <w:qFormat/>
    <w:uiPriority w:val="0"/>
    <w:pPr>
      <w:snapToGrid w:val="0"/>
      <w:jc w:val="left"/>
    </w:pPr>
    <w:rPr>
      <w:kern w:val="2"/>
      <w:sz w:val="18"/>
      <w:szCs w:val="18"/>
    </w:rPr>
  </w:style>
  <w:style w:type="character" w:customStyle="1" w:styleId="11">
    <w:name w:val="脚注文本 Char"/>
    <w:basedOn w:val="12"/>
    <w:semiHidden/>
    <w:uiPriority w:val="99"/>
    <w:rPr>
      <w:kern w:val="2"/>
      <w:sz w:val="18"/>
      <w:szCs w:val="18"/>
    </w:rPr>
  </w:style>
  <w:style w:type="paragraph" w:styleId="13">
    <w:name w:val="HTML Preformatted"/>
    <w:basedOn w:val="1"/>
    <w:link w:val="29"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5">
    <w:name w:val="Hyperlink"/>
    <w:basedOn w:val="12"/>
    <w:unhideWhenUsed/>
    <w:uiPriority w:val="99"/>
    <w:rPr>
      <w:rFonts w:hint="default" w:ascii="ˎ̥" w:hAnsi="ˎ̥"/>
      <w:color w:val="0453CC"/>
      <w:sz w:val="20"/>
      <w:szCs w:val="20"/>
      <w:u w:val="none"/>
    </w:rPr>
  </w:style>
  <w:style w:type="character" w:styleId="16">
    <w:name w:val="annotation reference"/>
    <w:basedOn w:val="12"/>
    <w:unhideWhenUsed/>
    <w:uiPriority w:val="0"/>
    <w:rPr>
      <w:sz w:val="21"/>
      <w:szCs w:val="21"/>
    </w:rPr>
  </w:style>
  <w:style w:type="character" w:styleId="17">
    <w:name w:val="footnote reference"/>
    <w:unhideWhenUsed/>
    <w:qFormat/>
    <w:uiPriority w:val="0"/>
    <w:rPr>
      <w:rFonts w:ascii="Times New Roman" w:hAnsi="Times New Roman" w:cs="Times New Roman"/>
      <w:vertAlign w:val="superscript"/>
    </w:rPr>
  </w:style>
  <w:style w:type="paragraph" w:customStyle="1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Default"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0">
    <w:name w:val="juzhong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Revision"/>
    <w:hidden/>
    <w:semiHidden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3">
    <w:name w:val="列出段落4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24">
    <w:name w:val="列出段落3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25">
    <w:name w:val="p0"/>
    <w:basedOn w:val="1"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26">
    <w:name w:val="页眉 Char Char"/>
    <w:basedOn w:val="12"/>
    <w:link w:val="9"/>
    <w:uiPriority w:val="99"/>
    <w:rPr>
      <w:sz w:val="18"/>
      <w:szCs w:val="18"/>
    </w:rPr>
  </w:style>
  <w:style w:type="character" w:customStyle="1" w:styleId="27">
    <w:name w:val="页脚 Char Char"/>
    <w:basedOn w:val="12"/>
    <w:link w:val="8"/>
    <w:uiPriority w:val="99"/>
    <w:rPr>
      <w:sz w:val="18"/>
      <w:szCs w:val="18"/>
    </w:rPr>
  </w:style>
  <w:style w:type="character" w:customStyle="1" w:styleId="28">
    <w:name w:val="批注框文本 Char Char"/>
    <w:basedOn w:val="12"/>
    <w:link w:val="7"/>
    <w:uiPriority w:val="0"/>
    <w:rPr>
      <w:sz w:val="18"/>
      <w:szCs w:val="18"/>
    </w:rPr>
  </w:style>
  <w:style w:type="character" w:customStyle="1" w:styleId="29">
    <w:name w:val="HTML 预设格式 Char Char"/>
    <w:basedOn w:val="12"/>
    <w:link w:val="13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0">
    <w:name w:val="批注文字 Char Char"/>
    <w:basedOn w:val="12"/>
    <w:link w:val="6"/>
    <w:uiPriority w:val="0"/>
    <w:rPr>
      <w:rFonts w:ascii="Calibri" w:hAnsi="Calibri" w:eastAsia="宋体" w:cs="Times New Roman"/>
    </w:rPr>
  </w:style>
  <w:style w:type="character" w:customStyle="1" w:styleId="31">
    <w:name w:val="标题 1 Char Char"/>
    <w:basedOn w:val="12"/>
    <w:link w:val="2"/>
    <w:uiPriority w:val="9"/>
    <w:rPr>
      <w:rFonts w:ascii="黑体" w:hAnsi="黑体" w:eastAsia="黑体" w:cs="宋体"/>
      <w:color w:val="000000"/>
      <w:kern w:val="0"/>
      <w:sz w:val="30"/>
      <w:szCs w:val="30"/>
    </w:rPr>
  </w:style>
  <w:style w:type="character" w:customStyle="1" w:styleId="32">
    <w:name w:val="标题 2 Char Char"/>
    <w:basedOn w:val="12"/>
    <w:link w:val="3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Char Char"/>
    <w:basedOn w:val="12"/>
    <w:link w:val="4"/>
    <w:uiPriority w:val="9"/>
    <w:rPr>
      <w:rFonts w:ascii="仿宋_GB2312" w:hAnsi="Calibri" w:eastAsia="仿宋_GB2312" w:cs="Times New Roman"/>
      <w:sz w:val="30"/>
      <w:szCs w:val="30"/>
    </w:rPr>
  </w:style>
  <w:style w:type="character" w:customStyle="1" w:styleId="34">
    <w:name w:val="脚注文本 Char1"/>
    <w:basedOn w:val="12"/>
    <w:link w:val="10"/>
    <w:uiPriority w:val="0"/>
    <w:rPr>
      <w:rFonts w:ascii="Times New Roman" w:hAnsi="Times New Roman"/>
      <w:sz w:val="18"/>
      <w:szCs w:val="18"/>
    </w:rPr>
  </w:style>
  <w:style w:type="character" w:customStyle="1" w:styleId="35">
    <w:name w:val="标题 4 Char Char"/>
    <w:qFormat/>
    <w:uiPriority w:val="0"/>
    <w:rPr>
      <w:rFonts w:ascii="Calibri" w:hAnsi="Calibri"/>
      <w:b/>
      <w:bCs/>
      <w:sz w:val="28"/>
      <w:szCs w:val="28"/>
      <w:lang w:eastAsia="en-US" w:bidi="en-US"/>
    </w:rPr>
  </w:style>
  <w:style w:type="character" w:customStyle="1" w:styleId="36">
    <w:name w:val="文档结构图 Char Char"/>
    <w:basedOn w:val="12"/>
    <w:link w:val="5"/>
    <w:uiPriority w:val="0"/>
    <w:rPr>
      <w:rFonts w:ascii="宋体"/>
      <w:sz w:val="18"/>
      <w:szCs w:val="18"/>
    </w:rPr>
  </w:style>
  <w:style w:type="character" w:customStyle="1" w:styleId="37">
    <w:name w:val="批注文字 Char1"/>
    <w:basedOn w:val="12"/>
    <w:semiHidden/>
    <w:uiPriority w:val="99"/>
    <w:rPr>
      <w:kern w:val="2"/>
      <w:sz w:val="21"/>
      <w:szCs w:val="22"/>
    </w:rPr>
  </w:style>
  <w:style w:type="character" w:customStyle="1" w:styleId="38">
    <w:name w:val="Intense Emphasis"/>
    <w:basedOn w:val="12"/>
    <w:qFormat/>
    <w:uiPriority w:val="21"/>
    <w:rPr>
      <w:b/>
      <w:bCs/>
      <w:i/>
      <w:iCs/>
      <w:color w:val="4F81BD"/>
    </w:rPr>
  </w:style>
  <w:style w:type="character" w:customStyle="1" w:styleId="39">
    <w:name w:val="文档结构图 Char1"/>
    <w:basedOn w:val="12"/>
    <w:semiHidden/>
    <w:uiPriority w:val="99"/>
    <w:rPr>
      <w:rFonts w:ascii="宋体" w:eastAsia="宋体"/>
      <w:sz w:val="18"/>
      <w:szCs w:val="18"/>
    </w:rPr>
  </w:style>
  <w:style w:type="character" w:customStyle="1" w:styleId="40">
    <w:name w:val="脚注文本 Char2"/>
    <w:basedOn w:val="12"/>
    <w:semiHidden/>
    <w:uiPriority w:val="99"/>
    <w:rPr>
      <w:sz w:val="18"/>
      <w:szCs w:val="18"/>
    </w:rPr>
  </w:style>
  <w:style w:type="character" w:customStyle="1" w:styleId="41">
    <w:name w:val="font11"/>
    <w:uiPriority w:val="0"/>
    <w:rPr>
      <w:rFonts w:hint="eastAsia" w:ascii="仿宋" w:hAnsi="仿宋" w:eastAsia="仿宋" w:cs="仿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openxmlformats.org/officeDocument/2006/relationships/image" Target="media/image1.jpeg"/><Relationship Id="rId12" Type="http://schemas.openxmlformats.org/officeDocument/2006/relationships/customXml" Target="../customXml/item1.xml"/><Relationship Id="rId13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405</Words>
  <Characters>2315</Characters>
  <Lines>19</Lines>
  <Paragraphs>5</Paragraphs>
  <ScaleCrop>false</ScaleCrop>
  <LinksUpToDate>false</LinksUpToDate>
  <CharactersWithSpaces>0</CharactersWithSpaces>
  <Application>WPS Office 专业版_9.1.0.4337_{F1E327BC-269C-435d-A152-05C5408002CA}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2020-02-27T06:09:00Z</dcterms:created>
  <dc:creator>裴建君2</dc:creator>
  <cp:lastModifiedBy>杨宇辰</cp:lastModifiedBy>
  <cp:lastPrinted>2020-09-15T06:55:00Z</cp:lastPrinted>
  <dcterms:modified xsi:type="dcterms:W3CDTF">2021-09-08T02:02:16Z</dcterms:modified>
  <dc:title>编号：57017               _x0001_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2052-9.1.0.4337</vt:lpwstr>
  </property>
</Properties>
</file>