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编号：57016</w:t>
      </w:r>
      <w:r>
        <w:rPr>
          <w:rFonts w:hint="eastAsia" w:ascii="Times New Roman" w:hAnsi="Times New Roman" w:eastAsia="黑体" w:cs="Times New Roman"/>
          <w:sz w:val="48"/>
          <w:szCs w:val="48"/>
        </w:rPr>
        <w:t xml:space="preserve">               </w:t>
      </w: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pict>
          <v:shape id="图片 1" o:spid="_x0000_s1026" type="#_x0000_t75" style="height:69.75pt;width:87.0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hint="eastAsia"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“外币现钞提取、调运和携带出境</w:t>
      </w: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审核”行政审批服务指南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发布日期：20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实施日期：20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上海市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仿宋_GB2312" w:hAnsi="Times New Roman" w:eastAsia="仿宋_GB2312" w:cs="Times New Roman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/>
        </w:sectPr>
      </w:pPr>
    </w:p>
    <w:p>
      <w:pPr>
        <w:ind w:right="300"/>
        <w:jc w:val="left"/>
        <w:rPr>
          <w:rFonts w:ascii="Times New Roman" w:hAnsi="Times New Roman" w:eastAsia="黑体" w:cs="Times New Roman"/>
          <w:sz w:val="48"/>
          <w:szCs w:val="48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一、项目信息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项目名称：外币现钞提取、调运和携带出境审核；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项目编号：57016；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审批类别：行政许可。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本指南适用于“外币现钞提取、调运和携带出境审核”的申请和办理。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（一）《中华人民共和国外汇管理条例》（国务院令第532号）第十五条：“携带、申报外币现钞出入境的限额，由国务院外汇管理部门规定”；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（二）《国务院对确需保留的行政审批项目设定行政许可的决定》（国务院令第412号）附件第495项“机构单笔提取超过规定金额外币现钞审批”。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四、个人外币现钞携带出境审核（一人携带超过等值10000美元现钞出境）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（一）办理依据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1.《中华人民共和国外汇管理条例》（国务院令532号）；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2.《携带外币现钞出入境管理暂行办法》（汇发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〔2003〕</w:t>
      </w:r>
      <w:r>
        <w:rPr>
          <w:rFonts w:ascii="Times New Roman" w:hAnsi="Times New Roman" w:eastAsia="仿宋_GB2312" w:cs="Times New Roman"/>
          <w:sz w:val="30"/>
          <w:szCs w:val="30"/>
        </w:rPr>
        <w:t>102号）；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3.《关于印发〈携带外币现钞出入境管理操作规程〉的通知》（汇发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〔2004〕</w:t>
      </w:r>
      <w:r>
        <w:rPr>
          <w:rFonts w:ascii="Times New Roman" w:hAnsi="Times New Roman" w:eastAsia="仿宋_GB2312" w:cs="Times New Roman"/>
          <w:sz w:val="30"/>
          <w:szCs w:val="30"/>
        </w:rPr>
        <w:t>21号）。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（二）受理机构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申请人存款或购汇银行所在地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国家外汇管理局分支局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（三）决定机构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申请人存款或购汇银行所在地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国家外汇管理局分支局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（四）审批数量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（五）办事条件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申请人为拟出境个人，应符合以下条件之一：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1.人数较多的出境团组；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2.出境时间较长或旅途较长的科学考察团组；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3.政府领导人出访；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4.出境人员赴战乱、外汇管制严格、金融条件差或金融动乱的国家；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5.其他特殊情况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除此之外，出境人员不得携带超过等值10000美元的外币现钞出境。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禁止性要求：申请材料不齐全，不符合法规规定。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（六）申请材料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1.个人外币现钞携带出境审核新增（一人携带超过等值10000美元现钞出境）申请材料清单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20"/>
        <w:gridCol w:w="1670"/>
        <w:gridCol w:w="770"/>
        <w:gridCol w:w="1400"/>
        <w:gridCol w:w="578"/>
        <w:gridCol w:w="1218"/>
      </w:tblGrid>
      <w:tr>
        <w:tc>
          <w:tcPr>
            <w:tcW w:w="766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序号</w:t>
            </w:r>
          </w:p>
        </w:tc>
        <w:tc>
          <w:tcPr>
            <w:tcW w:w="212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提交材料名称</w:t>
            </w:r>
          </w:p>
        </w:tc>
        <w:tc>
          <w:tcPr>
            <w:tcW w:w="167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原件/复印件</w:t>
            </w:r>
          </w:p>
        </w:tc>
        <w:tc>
          <w:tcPr>
            <w:tcW w:w="77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份数</w:t>
            </w:r>
          </w:p>
        </w:tc>
        <w:tc>
          <w:tcPr>
            <w:tcW w:w="140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纸质/电子</w:t>
            </w:r>
          </w:p>
        </w:tc>
        <w:tc>
          <w:tcPr>
            <w:tcW w:w="578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要求</w:t>
            </w:r>
          </w:p>
        </w:tc>
        <w:tc>
          <w:tcPr>
            <w:tcW w:w="1218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备注</w:t>
            </w:r>
          </w:p>
        </w:tc>
      </w:tr>
      <w:tr>
        <w:tc>
          <w:tcPr>
            <w:tcW w:w="766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书面申请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7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</w:t>
            </w:r>
          </w:p>
        </w:tc>
        <w:tc>
          <w:tcPr>
            <w:tcW w:w="57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996" w:hRule="atLeast"/>
        </w:trPr>
        <w:tc>
          <w:tcPr>
            <w:tcW w:w="766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仿宋_GB2312" w:hAnsi="仿宋_GB2312" w:eastAsia="仿宋_GB2312" w:cs="仿宋_GB2312"/>
                <w:strike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4"/>
                <w:szCs w:val="24"/>
              </w:rPr>
              <w:t>护照等相关出境证件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原件和加盖签章的复印件</w:t>
            </w:r>
          </w:p>
        </w:tc>
        <w:tc>
          <w:tcPr>
            <w:tcW w:w="7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各1份</w:t>
            </w: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</w:t>
            </w:r>
          </w:p>
        </w:tc>
        <w:tc>
          <w:tcPr>
            <w:tcW w:w="57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c>
          <w:tcPr>
            <w:tcW w:w="766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有效签证或签注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原件和加盖签章的复印件</w:t>
            </w:r>
          </w:p>
        </w:tc>
        <w:tc>
          <w:tcPr>
            <w:tcW w:w="7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各1份</w:t>
            </w: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</w:t>
            </w:r>
          </w:p>
        </w:tc>
        <w:tc>
          <w:tcPr>
            <w:tcW w:w="57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c>
          <w:tcPr>
            <w:tcW w:w="766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存款证明（利息清单或取款凭条）或相关购汇凭证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原件和加盖企业公章的复印件</w:t>
            </w:r>
          </w:p>
        </w:tc>
        <w:tc>
          <w:tcPr>
            <w:tcW w:w="7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各1份</w:t>
            </w: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</w:t>
            </w:r>
          </w:p>
        </w:tc>
        <w:tc>
          <w:tcPr>
            <w:tcW w:w="57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c>
          <w:tcPr>
            <w:tcW w:w="766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确需携带超过等值1万美元外币现钞出境的证明材料</w:t>
            </w:r>
          </w:p>
        </w:tc>
        <w:tc>
          <w:tcPr>
            <w:tcW w:w="16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原件和加盖企业公章的复印件</w:t>
            </w:r>
          </w:p>
        </w:tc>
        <w:tc>
          <w:tcPr>
            <w:tcW w:w="77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各1份</w:t>
            </w:r>
          </w:p>
        </w:tc>
        <w:tc>
          <w:tcPr>
            <w:tcW w:w="140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纸质</w:t>
            </w:r>
          </w:p>
        </w:tc>
        <w:tc>
          <w:tcPr>
            <w:tcW w:w="57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2.个人外币现钞携带出境审核补办（一人携带超过等值10000美元现钞出境）申请材料清单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包括遗失《携带外汇出境许可证》的补办和逾期《携带外汇出境许可证》（等值1万美元以上）的补办（个人出境后不予补办）。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50"/>
        <w:gridCol w:w="1030"/>
        <w:gridCol w:w="650"/>
        <w:gridCol w:w="930"/>
        <w:gridCol w:w="640"/>
        <w:gridCol w:w="3196"/>
      </w:tblGrid>
      <w:tr>
        <w:tc>
          <w:tcPr>
            <w:tcW w:w="726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序号</w:t>
            </w:r>
          </w:p>
        </w:tc>
        <w:tc>
          <w:tcPr>
            <w:tcW w:w="135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提交材料名称</w:t>
            </w:r>
          </w:p>
        </w:tc>
        <w:tc>
          <w:tcPr>
            <w:tcW w:w="103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原件/复印件</w:t>
            </w:r>
          </w:p>
        </w:tc>
        <w:tc>
          <w:tcPr>
            <w:tcW w:w="65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份数</w:t>
            </w:r>
          </w:p>
        </w:tc>
        <w:tc>
          <w:tcPr>
            <w:tcW w:w="93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纸质/电子</w:t>
            </w:r>
          </w:p>
        </w:tc>
        <w:tc>
          <w:tcPr>
            <w:tcW w:w="640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要求</w:t>
            </w:r>
          </w:p>
        </w:tc>
        <w:tc>
          <w:tcPr>
            <w:tcW w:w="3196" w:type="dxa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备注</w:t>
            </w:r>
          </w:p>
        </w:tc>
      </w:tr>
      <w:tr>
        <w:tc>
          <w:tcPr>
            <w:tcW w:w="726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原申请办理《携带证》时出示的材料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原件和加盖企业公章的复印件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4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原《携带外汇出境许可证》由外汇局签发的，按此材料提交外汇局。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原《携带外汇出境许可证》由外汇局签发的，外汇局审核提供的材料和原留存的材料无误后，为其补办，并在补办的《携带外汇出境许可证》上加注“补办”字样。</w:t>
            </w:r>
          </w:p>
        </w:tc>
      </w:tr>
      <w:tr>
        <w:tc>
          <w:tcPr>
            <w:tcW w:w="726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银行出具的《补办证明》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原件和加盖企业公章的复印件</w:t>
            </w:r>
          </w:p>
        </w:tc>
        <w:tc>
          <w:tcPr>
            <w:tcW w:w="65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30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40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原《携带外汇出境许可证》由外汇局签发的，按此材料提交外汇局。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签发银行审核“原申请办理《携带外汇出境许可证》时出示的材料”和银行原留存材料无误后，向其出具《补办证明》，出入境人员凭银行出具的《补办证明》向银行所在地外汇局申请，凭外汇局的核准件到银行补办《携带外汇出境许可证》，银行应当在补办的《携带外汇出境许可证》上加注“补办”字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（七）申请接受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申请人可通过外汇局窗口提交材料。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（八）基本办理流程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sz w:val="30"/>
          <w:szCs w:val="30"/>
        </w:rPr>
        <w:t>申请人提交申请材料；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sz w:val="30"/>
          <w:szCs w:val="30"/>
        </w:rPr>
        <w:t>分支局受理；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sz w:val="30"/>
          <w:szCs w:val="30"/>
        </w:rPr>
        <w:t>分支局审查；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sz w:val="30"/>
          <w:szCs w:val="30"/>
        </w:rPr>
        <w:t>分支局审批；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</w:t>
      </w:r>
      <w:r>
        <w:rPr>
          <w:rFonts w:ascii="Times New Roman" w:hAnsi="Times New Roman" w:eastAsia="仿宋_GB2312" w:cs="Times New Roman"/>
          <w:sz w:val="30"/>
          <w:szCs w:val="30"/>
        </w:rPr>
        <w:t>材料齐全予以当场办理，材料不全或不符合其他法定形式的，一次性告知补正材料，并依法出具《行政许可补正通知书》或其他文书。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（九）办理方式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当场办理：申请、受理、审查、决定、出具《携带外汇出境许可证》或不予批准的行政许可书面决定。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（十）审批时限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当场办理。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（十一）审批收费依据及标准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（十二）审批结果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《携带外汇出境许可证》（一人一证）。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（十三）结果送达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当场告知申请人，现场领取。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（十四）申请人权利和义务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ind w:firstLine="600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（十五）</w:t>
      </w:r>
      <w:r>
        <w:rPr>
          <w:rFonts w:hint="eastAsia" w:ascii="Times New Roman" w:hAnsi="Times New Roman" w:eastAsia="黑体" w:cs="Times New Roman"/>
          <w:sz w:val="30"/>
          <w:szCs w:val="30"/>
        </w:rPr>
        <w:t>咨询途径、监督和投诉、办公地址和时间、公开查询方式等</w:t>
      </w:r>
    </w:p>
    <w:p>
      <w:pPr>
        <w:widowControl w:val="0"/>
        <w:wordWrap/>
        <w:autoSpaceDE w:val="0"/>
        <w:autoSpaceDN w:val="0"/>
        <w:adjustRightInd/>
        <w:snapToGrid/>
        <w:spacing w:before="0" w:after="0" w:line="360" w:lineRule="auto"/>
        <w:ind w:left="0" w:leftChars="0" w:right="0" w:firstLine="600" w:firstLineChars="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注册所在地外汇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局进行咨询、办理进程查询、监督和投诉等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可通过国家外汇管理局官方互联网站www.safe.gov.cn链接至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上海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分局“业务指南”栏目中公布的电话进行。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（十六）事项审查类型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即审即办。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（十七）示范文本及错误范例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个人申请携带超过等值10000美元现钞出境，应提交申请书，说明相关情况并证明其确有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携带外币现钞出境</w:t>
      </w:r>
      <w:r>
        <w:rPr>
          <w:rFonts w:ascii="Times New Roman" w:hAnsi="Times New Roman" w:eastAsia="仿宋_GB2312" w:cs="Times New Roman"/>
          <w:sz w:val="30"/>
          <w:szCs w:val="30"/>
        </w:rPr>
        <w:t>需求，并签字；涉及单位组团出境的，应由单位提交申请并盖单位公章。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例：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外汇局XXX分局：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本人某某，身份证号/护照号为XX，今因公务原因/回国/南北极考察……须前往XX国/地区，XX国/地区系战乱/金融管制/……国家，本人须携带外币现钞XXX元出境，币种为XX。本人外币现钞来源为XXX/用途为XXX，望批准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firstLine="5850" w:firstLineChars="19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签名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  日期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外汇局XX分支局：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今我单位XXX，身份证号/护照号为XX，因南北极考察/公务出国/……须前往XX国/地区，XX国/地区系战乱/金融管制/南北极特殊地区……,须携带外币现钞XXX元出境，币种为XX。用途主要为……，望你单位批准。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单位公章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日期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错误范例：金额、申请人名称、携钞用途/来源、携钞金额及币种等项目遗漏，未签章确认，或用途不符合外汇局携钞出境相关法规要求。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ind w:right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附录</w:t>
      </w: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基本流程图</w:t>
      </w: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AutoShape 636" o:spid="_x0000_s1027" type="#_x0000_t116" style="position:absolute;left:0;margin-left:0.15pt;margin-top:5.95pt;height:58.6pt;width:86.2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申请人提交申请材料</w:t>
                  </w:r>
                </w:p>
              </w:txbxContent>
            </v:textbox>
          </v:shape>
        </w:pict>
      </w:r>
    </w:p>
    <w:p>
      <w:pPr>
        <w:ind w:right="300"/>
        <w:rPr>
          <w:rFonts w:ascii="仿宋_GB2312" w:eastAsia="仿宋_GB2312"/>
          <w:sz w:val="30"/>
          <w:szCs w:val="30"/>
        </w:rPr>
      </w:pP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roundrect id="AutoShape 639" o:spid="_x0000_s1028" style="position:absolute;left:0;margin-left:144.95pt;margin-top:139.3pt;height:31.5pt;width:268.1pt;rotation:0f;z-index:251661312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材料齐全予以当场办理</w:t>
                  </w:r>
                </w:p>
                <w:p/>
              </w:txbxContent>
            </v:textbox>
          </v:roundrect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roundrect id="AutoShape 637" o:spid="_x0000_s1029" style="position:absolute;left:0;margin-left:273.6pt;margin-top:28.3pt;height:33.7pt;width:146.45pt;rotation:0f;z-index:251659264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申请人补全材料</w:t>
                  </w:r>
                </w:p>
              </w:txbxContent>
            </v:textbox>
          </v:roundrect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roundrect id="AutoShape 638" o:spid="_x0000_s1030" style="position:absolute;left:0;margin-left:144.95pt;margin-top:86.7pt;height:43.55pt;width:268.1pt;rotation:0f;z-index:251660288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材料不全或不符合其他法定形式的，一次性告知补正材料，并依法出具《行政许可补正通知书》或其他文书</w:t>
                  </w:r>
                </w:p>
              </w:txbxContent>
            </v:textbox>
          </v:roundrect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AutoShape 645" o:spid="_x0000_s1031" type="#_x0000_t110" style="position:absolute;left:0;margin-left:-33pt;margin-top:75.55pt;height:95.25pt;width:147.75pt;rotation:0f;z-index:251667456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分支局受理、审查、审批</w:t>
                  </w:r>
                </w:p>
              </w:txbxContent>
            </v:textbox>
          </v:shape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AutoShape 644" o:spid="_x0000_s1032" type="#_x0000_t32" style="position:absolute;left:0;flip:x;margin-left:41.45pt;margin-top:47.75pt;height:0.05pt;width:232.15pt;rotation:0f;z-index:251666432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AutoShape 643" o:spid="_x0000_s1033" type="#_x0000_t32" style="position:absolute;left:0;flip:y;margin-left:345.35pt;margin-top:62pt;height:24.7pt;width:0.05pt;rotation:0f;z-index:251665408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AutoShape 642" o:spid="_x0000_s1034" type="#_x0000_t32" style="position:absolute;left:0;margin-left:86.35pt;margin-top:142.2pt;height:0.05pt;width:58.6pt;rotation:0f;z-index:251664384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AutoShape 641" o:spid="_x0000_s1035" type="#_x0000_t32" style="position:absolute;left:0;margin-left:86.35pt;margin-top:104.7pt;height:0.05pt;width:58.6pt;rotation:0f;z-index:251663360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Calibri" w:eastAsia="仿宋_GB2312" w:cs="黑体"/>
          <w:kern w:val="2"/>
          <w:sz w:val="30"/>
          <w:szCs w:val="30"/>
          <w:lang w:val="en-US" w:eastAsia="zh-CN" w:bidi="ar-SA"/>
        </w:rPr>
        <w:pict>
          <v:shape id="AutoShape 640" o:spid="_x0000_s1036" type="#_x0000_t32" style="position:absolute;left:0;margin-left:40.6pt;margin-top:33.35pt;height:42.2pt;width:0.05pt;rotation:0f;z-index:251662336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ind w:right="3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85"/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roman"/>
    <w:pitch w:val="default"/>
    <w:sig w:usb0="00000000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3">
    <w:name w:val="Default Paragraph Font"/>
    <w:unhideWhenUsed/>
    <w:uiPriority w:val="1"/>
  </w:style>
  <w:style w:type="paragraph" w:styleId="5">
    <w:name w:val="Document Map"/>
    <w:basedOn w:val="1"/>
    <w:link w:val="37"/>
    <w:unhideWhenUsed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ody Text"/>
    <w:basedOn w:val="1"/>
    <w:unhideWhenUsed/>
    <w:uiPriority w:val="99"/>
    <w:pPr>
      <w:ind w:left="1360"/>
    </w:pPr>
    <w:rPr>
      <w:sz w:val="30"/>
      <w:szCs w:val="30"/>
    </w:rPr>
  </w:style>
  <w:style w:type="paragraph" w:styleId="8">
    <w:name w:val="Balloon Text"/>
    <w:basedOn w:val="1"/>
    <w:link w:val="29"/>
    <w:unhideWhenUsed/>
    <w:uiPriority w:val="0"/>
    <w:rPr>
      <w:sz w:val="18"/>
      <w:szCs w:val="18"/>
    </w:rPr>
  </w:style>
  <w:style w:type="paragraph" w:styleId="9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5"/>
    <w:semiHidden/>
    <w:qFormat/>
    <w:uiPriority w:val="0"/>
    <w:pPr>
      <w:snapToGrid w:val="0"/>
      <w:jc w:val="left"/>
    </w:pPr>
    <w:rPr>
      <w:kern w:val="2"/>
      <w:sz w:val="18"/>
      <w:szCs w:val="18"/>
    </w:rPr>
  </w:style>
  <w:style w:type="character" w:customStyle="1" w:styleId="12">
    <w:name w:val="脚注文本 Char"/>
    <w:basedOn w:val="13"/>
    <w:semiHidden/>
    <w:uiPriority w:val="99"/>
    <w:rPr>
      <w:kern w:val="2"/>
      <w:sz w:val="18"/>
      <w:szCs w:val="18"/>
    </w:rPr>
  </w:style>
  <w:style w:type="paragraph" w:styleId="14">
    <w:name w:val="HTML Preformatted"/>
    <w:basedOn w:val="1"/>
    <w:link w:val="3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Hyperlink"/>
    <w:basedOn w:val="13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7">
    <w:name w:val="annotation reference"/>
    <w:basedOn w:val="13"/>
    <w:unhideWhenUsed/>
    <w:qFormat/>
    <w:uiPriority w:val="0"/>
    <w:rPr>
      <w:sz w:val="21"/>
      <w:szCs w:val="21"/>
    </w:rPr>
  </w:style>
  <w:style w:type="character" w:styleId="18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juzho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7">
    <w:name w:val="页眉 Char Char"/>
    <w:basedOn w:val="13"/>
    <w:link w:val="10"/>
    <w:uiPriority w:val="99"/>
    <w:rPr>
      <w:sz w:val="18"/>
      <w:szCs w:val="18"/>
    </w:rPr>
  </w:style>
  <w:style w:type="character" w:customStyle="1" w:styleId="28">
    <w:name w:val="页脚 Char Char"/>
    <w:basedOn w:val="13"/>
    <w:link w:val="9"/>
    <w:uiPriority w:val="99"/>
    <w:rPr>
      <w:sz w:val="18"/>
      <w:szCs w:val="18"/>
    </w:rPr>
  </w:style>
  <w:style w:type="character" w:customStyle="1" w:styleId="29">
    <w:name w:val="批注框文本 Char Char"/>
    <w:basedOn w:val="13"/>
    <w:link w:val="8"/>
    <w:uiPriority w:val="0"/>
    <w:rPr>
      <w:sz w:val="18"/>
      <w:szCs w:val="18"/>
    </w:rPr>
  </w:style>
  <w:style w:type="character" w:customStyle="1" w:styleId="30">
    <w:name w:val="HTML 预设格式 Char Char"/>
    <w:basedOn w:val="13"/>
    <w:link w:val="14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文字 Char Char"/>
    <w:basedOn w:val="13"/>
    <w:link w:val="6"/>
    <w:uiPriority w:val="0"/>
    <w:rPr>
      <w:rFonts w:ascii="Calibri" w:hAnsi="Calibri" w:eastAsia="宋体" w:cs="Times New Roman"/>
    </w:rPr>
  </w:style>
  <w:style w:type="character" w:customStyle="1" w:styleId="32">
    <w:name w:val="标题 1 Char Char"/>
    <w:basedOn w:val="13"/>
    <w:link w:val="2"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3">
    <w:name w:val="标题 2 Char Char"/>
    <w:basedOn w:val="13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 Char"/>
    <w:basedOn w:val="13"/>
    <w:link w:val="4"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5">
    <w:name w:val="脚注文本 Char1"/>
    <w:basedOn w:val="13"/>
    <w:link w:val="11"/>
    <w:uiPriority w:val="0"/>
    <w:rPr>
      <w:rFonts w:ascii="Times New Roman" w:hAnsi="Times New Roman"/>
      <w:sz w:val="18"/>
      <w:szCs w:val="18"/>
    </w:rPr>
  </w:style>
  <w:style w:type="character" w:customStyle="1" w:styleId="36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7">
    <w:name w:val="文档结构图 Char Char"/>
    <w:basedOn w:val="13"/>
    <w:link w:val="5"/>
    <w:uiPriority w:val="0"/>
    <w:rPr>
      <w:rFonts w:ascii="宋体"/>
      <w:sz w:val="18"/>
      <w:szCs w:val="18"/>
    </w:rPr>
  </w:style>
  <w:style w:type="character" w:customStyle="1" w:styleId="38">
    <w:name w:val="批注文字 Char1"/>
    <w:basedOn w:val="13"/>
    <w:semiHidden/>
    <w:qFormat/>
    <w:uiPriority w:val="99"/>
    <w:rPr>
      <w:kern w:val="2"/>
      <w:sz w:val="21"/>
      <w:szCs w:val="22"/>
    </w:rPr>
  </w:style>
  <w:style w:type="character" w:customStyle="1" w:styleId="39">
    <w:name w:val="Intense Emphasis"/>
    <w:basedOn w:val="13"/>
    <w:qFormat/>
    <w:uiPriority w:val="21"/>
    <w:rPr>
      <w:b/>
      <w:bCs/>
      <w:i/>
      <w:iCs/>
      <w:color w:val="4F81BD"/>
    </w:rPr>
  </w:style>
  <w:style w:type="character" w:customStyle="1" w:styleId="40">
    <w:name w:val="文档结构图 Char1"/>
    <w:basedOn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41">
    <w:name w:val="脚注文本 Char2"/>
    <w:basedOn w:val="13"/>
    <w:semiHidden/>
    <w:qFormat/>
    <w:uiPriority w:val="99"/>
    <w:rPr>
      <w:sz w:val="18"/>
      <w:szCs w:val="18"/>
    </w:rPr>
  </w:style>
  <w:style w:type="character" w:customStyle="1" w:styleId="42">
    <w:name w:val="font11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420</Words>
  <Characters>2394</Characters>
  <Lines>19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2020-02-27T04:04:00Z</dcterms:created>
  <dc:creator>裴建君2</dc:creator>
  <cp:lastModifiedBy>杨宇辰</cp:lastModifiedBy>
  <cp:lastPrinted>2019-06-11T06:57:00Z</cp:lastPrinted>
  <dcterms:modified xsi:type="dcterms:W3CDTF">2021-09-08T02:01:04Z</dcterms:modified>
  <dc:title>编号：57016     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