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right="300" w:firstLine="585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hAnsi="Times New Roman" w:eastAsia="仿宋_GB2312"/>
          <w:sz w:val="30"/>
          <w:szCs w:val="30"/>
        </w:rPr>
        <w:t>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”</w:t>
      </w:r>
    </w:p>
    <w:p>
      <w:pPr>
        <w:ind w:right="300"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（一）《中华人民共和国外汇管理条例》（国务院令第532号）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（二）《国家外汇管理局关于印发货物贸易外汇管理法规有关问题的通知》（汇发〔2012〕38号）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（三）《国家外汇管理局关于印发〈跨国公司跨境资金集中运营管理规定〉的通知》（汇发〔2019〕7号）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（四）《国家外汇管理局关于优化外汇管理 支持涉外业务发展的通知》（汇发〔2020〕8号）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（五）《国家外汇管理局关于印发〈经常项目外汇业务指引（2020年版）〉的通知》（汇发〔2020〕14号）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件和复印件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sz w:val="30"/>
          <w:szCs w:val="30"/>
        </w:rPr>
        <w:t>注册所在地外汇局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提交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（三）不属于本机构受理范围的，出具不予受理行政许可通知书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" o:spid="_x0000_s1028" type="#_x0000_t32" style="position:absolute;left:0;margin-left:39.75pt;margin-top:6.65pt;height:54.9pt;width:0.85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4" o:spid="_x0000_s1029" type="#_x0000_t32" style="position:absolute;left:0;flip:x;margin-left:41.45pt;margin-top:21.05pt;height:0.05pt;width:232.15pt;rotation:0f;z-index:25167155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5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6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7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8" o:spid="_x0000_s1033" type="#_x0000_t32" style="position:absolute;left:0;margin-left:122.1pt;margin-top:318.35pt;height:52.85pt;width:0.05pt;rotation:0f;z-index:25167462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9" o:spid="_x0000_s1034" type="#_x0000_t32" style="position:absolute;left:0;margin-left:179.6pt;margin-top:233pt;height:30.55pt;width:0.05pt;rotation:0f;z-index:25167257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0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1" o:spid="_x0000_s1036" type="#_x0000_t32" style="position:absolute;left:0;margin-left:81.7pt;margin-top:109.6pt;height:0.05pt;width:70.25pt;rotation:0f;z-index:25166950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2" o:spid="_x0000_s1037" type="#_x0000_t32" style="position:absolute;left:0;margin-left:88.45pt;margin-top:61.45pt;height:0.05pt;width:63.5pt;rotation:0f;z-index:25166848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3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4" o:spid="_x0000_s1039" type="#_x0000_t32" style="position:absolute;left:0;margin-left:247.8pt;margin-top:318.35pt;height:52.85pt;width:0.85pt;rotation:0f;z-index:25167360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5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6" o:spid="_x0000_s1041" type="#_x0000_t32" style="position:absolute;left:0;margin-left:40.6pt;margin-top:132.2pt;height:50.65pt;width:0.0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7" o:spid="_x0000_s1042" type="#_x0000_t32" style="position:absolute;left:0;margin-left:40.6pt;margin-top:182.85pt;height:0.05pt;width:41.1pt;rotation:0f;z-index:25167667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8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9" o:spid="_x0000_s1044" type="#_x0000_t32" style="position:absolute;left:0;flip:y;margin-left:345.35pt;margin-top:4.1pt;height:44.75pt;width:0.0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0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 Char"/>
    <w:basedOn w:val="5"/>
    <w:link w:val="2"/>
    <w:uiPriority w:val="99"/>
    <w:rPr>
      <w:sz w:val="18"/>
      <w:szCs w:val="18"/>
    </w:rPr>
  </w:style>
  <w:style w:type="character" w:customStyle="1" w:styleId="10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pbc</cp:lastModifiedBy>
  <cp:lastPrinted>2020-05-07T10:41:00Z</cp:lastPrinted>
  <dcterms:modified xsi:type="dcterms:W3CDTF">2021-09-07T07:50:25Z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