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D9" w:rsidRDefault="001607D6">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57012</w:t>
      </w:r>
      <w:r>
        <w:rPr>
          <w:rFonts w:ascii="Times New Roman" w:eastAsia="黑体" w:hAnsi="Times New Roman" w:cs="Times New Roman" w:hint="eastAsia"/>
          <w:sz w:val="48"/>
          <w:szCs w:val="48"/>
        </w:rPr>
        <w:t xml:space="preserve">               </w:t>
      </w:r>
      <w:r>
        <w:rPr>
          <w:rFonts w:ascii="Times New Roman" w:eastAsia="黑体" w:hAnsi="Times New Roman" w:cs="Times New Roman"/>
          <w:noProof/>
          <w:sz w:val="48"/>
          <w:szCs w:val="48"/>
        </w:rPr>
        <w:drawing>
          <wp:inline distT="0" distB="0" distL="0" distR="0">
            <wp:extent cx="1105535" cy="885825"/>
            <wp:effectExtent l="1905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rsidR="002A3FD9" w:rsidRDefault="002A3FD9">
      <w:pPr>
        <w:ind w:right="300"/>
        <w:jc w:val="center"/>
        <w:rPr>
          <w:rFonts w:ascii="Times New Roman" w:eastAsia="黑体" w:hAnsi="Times New Roman" w:cs="Times New Roman"/>
          <w:sz w:val="30"/>
          <w:szCs w:val="30"/>
        </w:rPr>
      </w:pPr>
    </w:p>
    <w:p w:rsidR="002A3FD9" w:rsidRDefault="002A3FD9">
      <w:pPr>
        <w:ind w:right="300"/>
        <w:jc w:val="center"/>
        <w:rPr>
          <w:rFonts w:ascii="Times New Roman" w:eastAsia="黑体" w:hAnsi="Times New Roman" w:cs="Times New Roman"/>
          <w:sz w:val="30"/>
          <w:szCs w:val="30"/>
        </w:rPr>
      </w:pPr>
    </w:p>
    <w:p w:rsidR="002A3FD9" w:rsidRDefault="002A3FD9">
      <w:pPr>
        <w:ind w:right="300"/>
        <w:jc w:val="center"/>
        <w:rPr>
          <w:rFonts w:ascii="Times New Roman" w:eastAsia="黑体" w:hAnsi="Times New Roman" w:cs="Times New Roman"/>
          <w:sz w:val="30"/>
          <w:szCs w:val="30"/>
        </w:rPr>
      </w:pPr>
    </w:p>
    <w:p w:rsidR="002A3FD9" w:rsidRDefault="002A3FD9">
      <w:pPr>
        <w:ind w:right="300"/>
        <w:jc w:val="center"/>
        <w:rPr>
          <w:rFonts w:ascii="Times New Roman" w:eastAsia="黑体" w:hAnsi="Times New Roman" w:cs="Times New Roman"/>
          <w:sz w:val="52"/>
          <w:szCs w:val="52"/>
        </w:rPr>
      </w:pPr>
    </w:p>
    <w:p w:rsidR="002A3FD9" w:rsidRDefault="001607D6">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资本项目外汇资金结汇核准</w:t>
      </w:r>
      <w:r>
        <w:rPr>
          <w:rFonts w:ascii="Times New Roman" w:eastAsia="黑体" w:hAnsi="Times New Roman" w:cs="Times New Roman"/>
          <w:sz w:val="52"/>
          <w:szCs w:val="52"/>
        </w:rPr>
        <w:t xml:space="preserve">” </w:t>
      </w:r>
    </w:p>
    <w:p w:rsidR="002A3FD9" w:rsidRDefault="001607D6">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2A3FD9" w:rsidRDefault="002A3FD9">
      <w:pPr>
        <w:ind w:right="300"/>
        <w:jc w:val="center"/>
        <w:rPr>
          <w:rFonts w:ascii="Times New Roman" w:eastAsia="仿宋_GB2312" w:hAnsi="Times New Roman" w:cs="Times New Roman"/>
          <w:sz w:val="30"/>
          <w:szCs w:val="30"/>
        </w:rPr>
      </w:pPr>
    </w:p>
    <w:p w:rsidR="002A3FD9" w:rsidRDefault="002A3FD9">
      <w:pPr>
        <w:ind w:right="300"/>
        <w:jc w:val="center"/>
        <w:rPr>
          <w:rFonts w:ascii="Times New Roman" w:eastAsia="仿宋_GB2312" w:hAnsi="Times New Roman" w:cs="Times New Roman"/>
          <w:sz w:val="30"/>
          <w:szCs w:val="30"/>
        </w:rPr>
      </w:pPr>
    </w:p>
    <w:p w:rsidR="002A3FD9" w:rsidRDefault="002A3FD9">
      <w:pPr>
        <w:ind w:right="300"/>
        <w:jc w:val="center"/>
        <w:rPr>
          <w:rFonts w:ascii="Times New Roman" w:eastAsia="仿宋_GB2312" w:hAnsi="Times New Roman" w:cs="Times New Roman"/>
          <w:sz w:val="30"/>
          <w:szCs w:val="30"/>
        </w:rPr>
      </w:pPr>
    </w:p>
    <w:p w:rsidR="002A3FD9" w:rsidRDefault="002A3FD9">
      <w:pPr>
        <w:ind w:right="300"/>
        <w:jc w:val="center"/>
        <w:rPr>
          <w:rFonts w:ascii="Times New Roman" w:eastAsia="仿宋_GB2312" w:hAnsi="Times New Roman" w:cs="Times New Roman"/>
          <w:sz w:val="30"/>
          <w:szCs w:val="30"/>
        </w:rPr>
      </w:pPr>
    </w:p>
    <w:p w:rsidR="002A3FD9" w:rsidRDefault="002A3FD9">
      <w:pPr>
        <w:ind w:right="300"/>
        <w:jc w:val="center"/>
        <w:rPr>
          <w:rFonts w:ascii="Times New Roman" w:eastAsia="仿宋_GB2312" w:hAnsi="Times New Roman" w:cs="Times New Roman"/>
          <w:sz w:val="30"/>
          <w:szCs w:val="30"/>
        </w:rPr>
      </w:pPr>
    </w:p>
    <w:p w:rsidR="002A3FD9" w:rsidRDefault="002A3FD9">
      <w:pPr>
        <w:ind w:right="300"/>
        <w:jc w:val="center"/>
        <w:rPr>
          <w:rFonts w:ascii="Times New Roman" w:eastAsia="仿宋_GB2312" w:hAnsi="Times New Roman" w:cs="Times New Roman"/>
          <w:sz w:val="30"/>
          <w:szCs w:val="30"/>
        </w:rPr>
      </w:pPr>
    </w:p>
    <w:p w:rsidR="002A3FD9" w:rsidRDefault="002A3FD9">
      <w:pPr>
        <w:ind w:right="300"/>
        <w:jc w:val="center"/>
        <w:rPr>
          <w:rFonts w:ascii="Times New Roman" w:eastAsia="仿宋_GB2312" w:hAnsi="Times New Roman" w:cs="Times New Roman"/>
          <w:sz w:val="30"/>
          <w:szCs w:val="30"/>
        </w:rPr>
      </w:pPr>
    </w:p>
    <w:p w:rsidR="002A3FD9" w:rsidRDefault="002A3FD9">
      <w:pPr>
        <w:ind w:right="300"/>
        <w:jc w:val="center"/>
        <w:rPr>
          <w:rFonts w:ascii="Times New Roman" w:eastAsia="仿宋_GB2312" w:hAnsi="Times New Roman" w:cs="Times New Roman"/>
          <w:sz w:val="30"/>
          <w:szCs w:val="30"/>
        </w:rPr>
      </w:pPr>
    </w:p>
    <w:p w:rsidR="00587196" w:rsidRDefault="00587196" w:rsidP="00587196">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664E90">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587196" w:rsidRDefault="00587196" w:rsidP="00587196">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664E90">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2A3FD9" w:rsidRDefault="00587196" w:rsidP="00587196">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发布机构：国家外汇管理局上海市分局</w:t>
      </w:r>
    </w:p>
    <w:p w:rsidR="002A3FD9" w:rsidRDefault="002A3FD9">
      <w:pPr>
        <w:ind w:right="300"/>
        <w:rPr>
          <w:rFonts w:ascii="Times New Roman" w:eastAsia="仿宋_GB2312" w:hAnsi="Times New Roman" w:cs="Times New Roman"/>
          <w:sz w:val="30"/>
          <w:szCs w:val="30"/>
        </w:rPr>
        <w:sectPr w:rsidR="002A3FD9">
          <w:pgSz w:w="11906" w:h="16838"/>
          <w:pgMar w:top="1440" w:right="1800" w:bottom="1440" w:left="1800" w:header="851" w:footer="992" w:gutter="0"/>
          <w:cols w:space="720"/>
          <w:docGrid w:type="lines" w:linePitch="312"/>
        </w:sectPr>
      </w:pPr>
    </w:p>
    <w:p w:rsidR="002A3FD9" w:rsidRDefault="001607D6">
      <w:pPr>
        <w:adjustRightInd w:val="0"/>
        <w:snapToGrid w:val="0"/>
        <w:spacing w:line="360" w:lineRule="auto"/>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2A3FD9" w:rsidRDefault="001607D6">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项目名称：资本项目外汇资金结汇核准；</w:t>
      </w:r>
    </w:p>
    <w:p w:rsidR="002A3FD9" w:rsidRDefault="001607D6">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57012</w:t>
      </w:r>
      <w:r>
        <w:rPr>
          <w:rFonts w:ascii="Times New Roman" w:eastAsia="仿宋_GB2312" w:hAnsi="Times New Roman" w:cs="Times New Roman"/>
          <w:sz w:val="30"/>
          <w:szCs w:val="30"/>
        </w:rPr>
        <w:t>；</w:t>
      </w:r>
    </w:p>
    <w:p w:rsidR="002A3FD9" w:rsidRDefault="001607D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2A3FD9" w:rsidRDefault="001607D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2A3FD9" w:rsidRDefault="001607D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2A3FD9" w:rsidRDefault="001607D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资本项目外汇资金结汇核准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2A3FD9" w:rsidRDefault="001607D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2A3FD9" w:rsidRDefault="001607D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号）第二十一条：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资本项目外汇收入保留或者卖给经营结汇、售汇业务的金融机构，应当经外汇管理机关批准，但国家规定无需批准的除外</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2A3FD9" w:rsidRDefault="001607D6">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四、金融机构外债结汇核准</w:t>
      </w:r>
    </w:p>
    <w:p w:rsidR="002A3FD9" w:rsidRDefault="001607D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《外债统计监测暂行规定》（</w:t>
      </w:r>
      <w:r>
        <w:rPr>
          <w:rFonts w:ascii="Times New Roman" w:eastAsia="仿宋_GB2312" w:hAnsi="Times New Roman" w:cs="Times New Roman"/>
          <w:sz w:val="30"/>
          <w:szCs w:val="30"/>
        </w:rPr>
        <w:t>1987</w:t>
      </w:r>
      <w:r>
        <w:rPr>
          <w:rFonts w:ascii="Times New Roman" w:eastAsia="仿宋_GB2312" w:hAnsi="Times New Roman" w:cs="Times New Roman"/>
          <w:sz w:val="30"/>
          <w:szCs w:val="30"/>
        </w:rPr>
        <w:t>年公布）。</w:t>
      </w:r>
    </w:p>
    <w:p w:rsidR="002A3FD9" w:rsidRDefault="001607D6">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《境内机构借用国际商业贷款管理办法》（〔</w:t>
      </w:r>
      <w:r>
        <w:rPr>
          <w:rFonts w:ascii="Times New Roman" w:eastAsia="仿宋_GB2312" w:hAnsi="Times New Roman" w:cs="Times New Roman"/>
          <w:sz w:val="30"/>
          <w:szCs w:val="30"/>
        </w:rPr>
        <w:t>97</w:t>
      </w:r>
      <w:r>
        <w:rPr>
          <w:rFonts w:ascii="Times New Roman" w:eastAsia="仿宋_GB2312" w:hAnsi="Times New Roman" w:cs="Times New Roman"/>
          <w:sz w:val="30"/>
          <w:szCs w:val="30"/>
        </w:rPr>
        <w:t>〕汇政发字</w:t>
      </w:r>
      <w:r>
        <w:rPr>
          <w:rFonts w:ascii="Times New Roman" w:eastAsia="仿宋_GB2312" w:hAnsi="Times New Roman" w:cs="Times New Roman"/>
          <w:sz w:val="30"/>
          <w:szCs w:val="30"/>
        </w:rPr>
        <w:t>06</w:t>
      </w:r>
      <w:r>
        <w:rPr>
          <w:rFonts w:ascii="Times New Roman" w:eastAsia="仿宋_GB2312" w:hAnsi="Times New Roman" w:cs="Times New Roman"/>
          <w:sz w:val="30"/>
          <w:szCs w:val="30"/>
        </w:rPr>
        <w:t>号）。</w:t>
      </w:r>
    </w:p>
    <w:p w:rsidR="002A3FD9" w:rsidRDefault="001607D6">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《境内外资银行外债管理办法》（国家发展和改革委员会</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中国人民银行</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中国银行业监督管理委员会令</w:t>
      </w:r>
      <w:r>
        <w:rPr>
          <w:rFonts w:ascii="Times New Roman" w:eastAsia="仿宋_GB2312" w:hAnsi="Times New Roman" w:cs="Times New Roman"/>
          <w:sz w:val="30"/>
          <w:szCs w:val="30"/>
        </w:rPr>
        <w:t>2004</w:t>
      </w:r>
      <w:r>
        <w:rPr>
          <w:rFonts w:ascii="Times New Roman" w:eastAsia="仿宋_GB2312" w:hAnsi="Times New Roman" w:cs="Times New Roman"/>
          <w:sz w:val="30"/>
          <w:szCs w:val="30"/>
        </w:rPr>
        <w:t>年第</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《国家外汇管理局关于发布〈外债登记管理办法〉的通知》（汇发〔</w:t>
      </w:r>
      <w:r>
        <w:rPr>
          <w:rFonts w:ascii="Times New Roman" w:eastAsia="仿宋_GB2312" w:hAnsi="Times New Roman" w:cs="Times New Roman"/>
          <w:sz w:val="30"/>
          <w:szCs w:val="30"/>
        </w:rPr>
        <w:t>2013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19</w:t>
      </w:r>
      <w:r>
        <w:rPr>
          <w:rFonts w:ascii="Times New Roman" w:eastAsia="仿宋_GB2312" w:hAnsi="Times New Roman" w:cs="Times New Roman"/>
          <w:sz w:val="30"/>
          <w:szCs w:val="30"/>
        </w:rPr>
        <w:t>号）。</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《国家外汇管理局关于废止和修改涉及注册资本登记制度改革相关规范性文件的通知》（汇发〔</w:t>
      </w:r>
      <w:r>
        <w:rPr>
          <w:rFonts w:ascii="Times New Roman" w:eastAsia="仿宋_GB2312" w:hAnsi="Times New Roman" w:cs="Times New Roman"/>
          <w:sz w:val="30"/>
          <w:szCs w:val="30"/>
        </w:rPr>
        <w:t>2015</w:t>
      </w:r>
      <w:r>
        <w:rPr>
          <w:rFonts w:ascii="Times New Roman" w:eastAsia="仿宋_GB2312" w:hAnsi="Times New Roman" w:cs="Times New Roman"/>
          <w:sz w:val="30"/>
          <w:szCs w:val="30"/>
        </w:rPr>
        <w:t>〕</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号）。</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《中国人民银行关于全口径跨境融资宏观审慎管理有关事宜的通知》（银发〔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8</w:t>
      </w:r>
      <w:r>
        <w:rPr>
          <w:rFonts w:ascii="Times New Roman" w:eastAsia="仿宋_GB2312" w:hAnsi="Times New Roman" w:cs="Times New Roman"/>
          <w:sz w:val="30"/>
          <w:szCs w:val="30"/>
        </w:rPr>
        <w:t>．其他相关法规。</w:t>
      </w:r>
    </w:p>
    <w:p w:rsidR="002A3FD9" w:rsidRDefault="001607D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2A3FD9" w:rsidRDefault="001607D6">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申请人所在地外汇局。</w:t>
      </w:r>
    </w:p>
    <w:p w:rsidR="002A3FD9" w:rsidRDefault="001607D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2A3FD9" w:rsidRDefault="001607D6">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国家外汇管理局或申请人所在地外汇分局。</w:t>
      </w:r>
    </w:p>
    <w:p w:rsidR="002A3FD9" w:rsidRDefault="001607D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2A3FD9" w:rsidRDefault="001607D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2A3FD9" w:rsidRDefault="001607D6">
      <w:pPr>
        <w:adjustRightInd w:val="0"/>
        <w:snapToGrid w:val="0"/>
        <w:spacing w:line="360" w:lineRule="auto"/>
        <w:ind w:firstLineChars="150" w:firstLine="45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．金融机构融入资金可用于补充资本金，服务实体经济发展，并符合国家产业宏观调控方向，经国家外汇管理局批准，金融机构融入外汇资金可结汇使用。</w:t>
      </w:r>
    </w:p>
    <w:p w:rsidR="002A3FD9" w:rsidRDefault="001607D6">
      <w:pPr>
        <w:adjustRightInd w:val="0"/>
        <w:snapToGrid w:val="0"/>
        <w:spacing w:line="360" w:lineRule="auto"/>
        <w:ind w:firstLineChars="150" w:firstLine="45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．禁止性要求：如符合上述条件，不存在不予许可的情况。</w:t>
      </w:r>
    </w:p>
    <w:p w:rsidR="002A3FD9" w:rsidRDefault="001607D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（六）</w:t>
      </w:r>
      <w:r>
        <w:rPr>
          <w:rFonts w:ascii="Times New Roman" w:eastAsia="黑体" w:hAnsi="Times New Roman" w:cs="Times New Roman" w:hint="eastAsia"/>
          <w:sz w:val="30"/>
          <w:szCs w:val="30"/>
        </w:rPr>
        <w:t>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410"/>
        <w:gridCol w:w="2127"/>
        <w:gridCol w:w="567"/>
        <w:gridCol w:w="992"/>
        <w:gridCol w:w="567"/>
        <w:gridCol w:w="1326"/>
      </w:tblGrid>
      <w:tr w:rsidR="002A3FD9">
        <w:tc>
          <w:tcPr>
            <w:tcW w:w="533" w:type="dxa"/>
            <w:vAlign w:val="center"/>
          </w:tcPr>
          <w:p w:rsidR="002A3FD9" w:rsidRDefault="001607D6">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410" w:type="dxa"/>
            <w:vAlign w:val="center"/>
          </w:tcPr>
          <w:p w:rsidR="002A3FD9" w:rsidRDefault="001607D6">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2127" w:type="dxa"/>
            <w:vAlign w:val="center"/>
          </w:tcPr>
          <w:p w:rsidR="002A3FD9" w:rsidRDefault="001607D6">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2A3FD9" w:rsidRDefault="001607D6">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2" w:type="dxa"/>
            <w:vAlign w:val="center"/>
          </w:tcPr>
          <w:p w:rsidR="002A3FD9" w:rsidRDefault="001607D6">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2A3FD9" w:rsidRDefault="001607D6">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326" w:type="dxa"/>
            <w:vAlign w:val="center"/>
          </w:tcPr>
          <w:p w:rsidR="002A3FD9" w:rsidRDefault="001607D6">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2A3FD9">
        <w:trPr>
          <w:trHeight w:val="473"/>
        </w:trPr>
        <w:tc>
          <w:tcPr>
            <w:tcW w:w="533" w:type="dxa"/>
            <w:vAlign w:val="center"/>
          </w:tcPr>
          <w:p w:rsidR="002A3FD9" w:rsidRDefault="001607D6">
            <w:pPr>
              <w:ind w:right="300"/>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410" w:type="dxa"/>
            <w:vAlign w:val="center"/>
          </w:tcPr>
          <w:p w:rsidR="002A3FD9" w:rsidRDefault="001607D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p>
        </w:tc>
        <w:tc>
          <w:tcPr>
            <w:tcW w:w="2127" w:type="dxa"/>
            <w:vAlign w:val="center"/>
          </w:tcPr>
          <w:p w:rsidR="002A3FD9" w:rsidRDefault="001607D6">
            <w:pPr>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2A3FD9" w:rsidRDefault="001607D6">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vAlign w:val="center"/>
          </w:tcPr>
          <w:p w:rsidR="002A3FD9" w:rsidRDefault="001607D6">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A3FD9" w:rsidRDefault="002A3FD9">
            <w:pPr>
              <w:rPr>
                <w:rFonts w:ascii="Times New Roman" w:eastAsia="仿宋_GB2312" w:hAnsi="Times New Roman" w:cs="Times New Roman"/>
                <w:sz w:val="24"/>
                <w:szCs w:val="24"/>
              </w:rPr>
            </w:pPr>
          </w:p>
        </w:tc>
        <w:tc>
          <w:tcPr>
            <w:tcW w:w="1326" w:type="dxa"/>
            <w:vAlign w:val="center"/>
          </w:tcPr>
          <w:p w:rsidR="002A3FD9" w:rsidRDefault="002A3FD9">
            <w:pPr>
              <w:rPr>
                <w:rFonts w:ascii="Times New Roman" w:eastAsia="仿宋_GB2312" w:hAnsi="Times New Roman" w:cs="Times New Roman"/>
                <w:sz w:val="24"/>
                <w:szCs w:val="24"/>
              </w:rPr>
            </w:pPr>
          </w:p>
        </w:tc>
      </w:tr>
      <w:tr w:rsidR="002A3FD9">
        <w:trPr>
          <w:trHeight w:val="378"/>
        </w:trPr>
        <w:tc>
          <w:tcPr>
            <w:tcW w:w="533" w:type="dxa"/>
            <w:vAlign w:val="center"/>
          </w:tcPr>
          <w:p w:rsidR="002A3FD9" w:rsidRDefault="001607D6">
            <w:pPr>
              <w:ind w:right="300"/>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410" w:type="dxa"/>
            <w:vAlign w:val="center"/>
          </w:tcPr>
          <w:p w:rsidR="002A3FD9" w:rsidRDefault="001607D6">
            <w:pPr>
              <w:rPr>
                <w:rFonts w:ascii="Times New Roman" w:eastAsia="仿宋_GB2312" w:hAnsi="Times New Roman" w:cs="Times New Roman"/>
                <w:sz w:val="24"/>
                <w:szCs w:val="24"/>
              </w:rPr>
            </w:pPr>
            <w:r>
              <w:rPr>
                <w:rFonts w:ascii="Times New Roman" w:eastAsia="仿宋_GB2312" w:hAnsi="Times New Roman" w:cs="Times New Roman" w:hint="eastAsia"/>
                <w:color w:val="000000"/>
                <w:sz w:val="24"/>
                <w:szCs w:val="24"/>
              </w:rPr>
              <w:t>资金需结汇使用相关真实性证明</w:t>
            </w:r>
            <w:r>
              <w:rPr>
                <w:rFonts w:ascii="Times New Roman" w:eastAsia="仿宋_GB2312" w:hAnsi="Times New Roman" w:cs="Times New Roman"/>
                <w:color w:val="000000"/>
                <w:sz w:val="24"/>
                <w:szCs w:val="24"/>
              </w:rPr>
              <w:t>材料</w:t>
            </w:r>
          </w:p>
        </w:tc>
        <w:tc>
          <w:tcPr>
            <w:tcW w:w="2127" w:type="dxa"/>
            <w:vAlign w:val="center"/>
          </w:tcPr>
          <w:p w:rsidR="002A3FD9" w:rsidRDefault="001607D6">
            <w:pP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2A3FD9" w:rsidRDefault="001607D6">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vAlign w:val="center"/>
          </w:tcPr>
          <w:p w:rsidR="002A3FD9" w:rsidRDefault="001607D6">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A3FD9" w:rsidRDefault="002A3FD9">
            <w:pPr>
              <w:rPr>
                <w:rFonts w:ascii="Times New Roman" w:eastAsia="仿宋_GB2312" w:hAnsi="Times New Roman" w:cs="Times New Roman"/>
                <w:sz w:val="24"/>
                <w:szCs w:val="24"/>
              </w:rPr>
            </w:pPr>
          </w:p>
        </w:tc>
        <w:tc>
          <w:tcPr>
            <w:tcW w:w="1326" w:type="dxa"/>
            <w:vAlign w:val="center"/>
          </w:tcPr>
          <w:p w:rsidR="002A3FD9" w:rsidRDefault="001607D6">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2A3FD9" w:rsidRDefault="002A3FD9">
      <w:pPr>
        <w:adjustRightInd w:val="0"/>
        <w:snapToGrid w:val="0"/>
        <w:spacing w:line="360" w:lineRule="auto"/>
        <w:ind w:firstLineChars="150" w:firstLine="450"/>
        <w:rPr>
          <w:rFonts w:ascii="Times New Roman" w:eastAsia="黑体" w:hAnsi="Times New Roman" w:cs="Times New Roman"/>
          <w:sz w:val="30"/>
          <w:szCs w:val="30"/>
        </w:rPr>
      </w:pPr>
    </w:p>
    <w:p w:rsidR="002A3FD9" w:rsidRDefault="001607D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664E90" w:rsidRDefault="00664E90">
      <w:pPr>
        <w:adjustRightInd w:val="0"/>
        <w:snapToGrid w:val="0"/>
        <w:spacing w:line="360" w:lineRule="auto"/>
        <w:ind w:firstLineChars="200" w:firstLine="600"/>
        <w:rPr>
          <w:rFonts w:ascii="Times New Roman" w:eastAsia="仿宋_GB2312" w:hAnsi="Times New Roman" w:cs="Times New Roman"/>
          <w:sz w:val="30"/>
          <w:szCs w:val="30"/>
        </w:rPr>
      </w:pPr>
    </w:p>
    <w:p w:rsidR="002A3FD9" w:rsidRDefault="001607D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2A3FD9" w:rsidRDefault="001607D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2A3FD9" w:rsidRDefault="001607D6">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一般程序：申请、告知补正、受理、审核、办理登记或不予许可、出具相关业务办理凭证。</w:t>
      </w:r>
    </w:p>
    <w:p w:rsidR="002A3FD9" w:rsidRDefault="001607D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2A3FD9" w:rsidRDefault="001607D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2A3FD9" w:rsidRDefault="001607D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出具相关业务办理凭证。</w:t>
      </w:r>
    </w:p>
    <w:p w:rsidR="002A3FD9" w:rsidRDefault="001607D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2A3FD9" w:rsidRDefault="001607D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2A3FD9" w:rsidRDefault="001607D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2A3FD9" w:rsidRDefault="001607D6">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587196" w:rsidRDefault="001607D6" w:rsidP="00587196">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黑体" w:cs="Times New Roman"/>
          <w:sz w:val="30"/>
          <w:szCs w:val="30"/>
        </w:rPr>
        <w:t>（十五）</w:t>
      </w:r>
      <w:r w:rsidR="00587196">
        <w:rPr>
          <w:rFonts w:ascii="Times New Roman" w:eastAsia="黑体" w:hAnsi="Times New Roman" w:cs="Times New Roman" w:hint="eastAsia"/>
          <w:sz w:val="30"/>
          <w:szCs w:val="30"/>
        </w:rPr>
        <w:t>上海市分局业务咨询途径、监督和投诉、办公地址和时间、公开查询方式</w:t>
      </w: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w:t>
      </w:r>
      <w:r>
        <w:rPr>
          <w:rFonts w:ascii="Times New Roman" w:eastAsia="仿宋_GB2312" w:hAnsi="Times New Roman" w:cs="Times New Roman" w:hint="eastAsia"/>
          <w:sz w:val="30"/>
          <w:szCs w:val="30"/>
        </w:rPr>
        <w:t>265</w:t>
      </w:r>
      <w:r>
        <w:rPr>
          <w:rFonts w:ascii="Times New Roman" w:eastAsia="仿宋_GB2312" w:hAnsi="Times New Roman" w:cs="Times New Roman" w:hint="eastAsia"/>
          <w:sz w:val="30"/>
          <w:szCs w:val="30"/>
        </w:rPr>
        <w:t>；</w:t>
      </w: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办公地址：上海市浦东新区陆家嘴东路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号二楼；</w:t>
      </w: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办公时间：工作日的</w:t>
      </w:r>
      <w:r>
        <w:rPr>
          <w:rFonts w:ascii="Times New Roman" w:eastAsia="仿宋_GB2312" w:hAnsi="Times New Roman" w:cs="Times New Roman"/>
          <w:sz w:val="30"/>
          <w:szCs w:val="30"/>
        </w:rPr>
        <w:t>9:00-11:30, 13:30-1</w:t>
      </w:r>
      <w:r w:rsidR="00A80AE2">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hyperlink r:id="rId9" w:history="1">
        <w:r w:rsidRPr="00587196">
          <w:rPr>
            <w:rFonts w:ascii="Times New Roman" w:eastAsia="仿宋_GB2312" w:hAnsi="Times New Roman" w:cs="Times New Roman"/>
            <w:sz w:val="30"/>
            <w:szCs w:val="30"/>
          </w:rPr>
          <w:t>www.safe.gov.cn/shanghai/</w:t>
        </w:r>
      </w:hyperlink>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p>
    <w:p w:rsidR="00587196" w:rsidRDefault="00587196" w:rsidP="00587196">
      <w:pPr>
        <w:adjustRightInd w:val="0"/>
        <w:snapToGrid w:val="0"/>
        <w:spacing w:line="360" w:lineRule="auto"/>
        <w:ind w:firstLine="600"/>
        <w:rPr>
          <w:rFonts w:ascii="Times New Roman" w:eastAsia="仿宋_GB2312" w:hAnsi="Times New Roman" w:cs="Times New Roman"/>
          <w:sz w:val="30"/>
          <w:szCs w:val="30"/>
        </w:rPr>
      </w:pPr>
    </w:p>
    <w:p w:rsidR="002A3FD9" w:rsidRDefault="001607D6" w:rsidP="0058719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附录一</w:t>
      </w:r>
    </w:p>
    <w:p w:rsidR="002A3FD9" w:rsidRDefault="001607D6">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2A3FD9" w:rsidRDefault="002D3111">
      <w:pPr>
        <w:ind w:right="300"/>
        <w:rPr>
          <w:rFonts w:ascii="Times New Roman" w:eastAsia="仿宋_GB2312" w:hAnsi="Times New Roman" w:cs="Times New Roman"/>
          <w:sz w:val="30"/>
          <w:szCs w:val="30"/>
        </w:rPr>
      </w:pPr>
      <w:r>
        <w:rPr>
          <w:rFonts w:ascii="Times New Roman" w:eastAsia="仿宋_GB2312" w:hAnsi="Times New Roman" w:cs="Times New Roman"/>
          <w:noProof/>
          <w:sz w:val="30"/>
          <w:szCs w:val="30"/>
        </w:rPr>
        <w:pict>
          <v:group id="组合 1026" o:spid="_x0000_s1061" style="position:absolute;left:0;text-align:left;margin-left:-18pt;margin-top:30.25pt;width:453.65pt;height:586.05pt;z-index:251658240" coordorigin="1195,3000" coordsize="9073,11721">
            <v:rect id="Rectangle 6" o:spid="_x0000_s1062" style="position:absolute;left:4255;top:11319;width:2985;height:534" o:preferrelative="t">
              <v:stroke miterlimit="2"/>
              <v:textbox>
                <w:txbxContent>
                  <w:p w:rsidR="00587196" w:rsidRDefault="00587196" w:rsidP="00587196">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63" type="#_x0000_t116" style="position:absolute;left:5767;top:13681;width:3675;height:1037" o:preferrelative="t">
              <v:stroke miterlimit="2"/>
              <v:textbox>
                <w:txbxContent>
                  <w:p w:rsidR="00587196" w:rsidRDefault="00587196" w:rsidP="00587196">
                    <w:pPr>
                      <w:jc w:val="center"/>
                    </w:pPr>
                    <w:r>
                      <w:rPr>
                        <w:rFonts w:hint="eastAsia"/>
                      </w:rPr>
                      <w:t>依法作出不予许可决定，</w:t>
                    </w:r>
                  </w:p>
                  <w:p w:rsidR="00587196" w:rsidRDefault="00587196" w:rsidP="00587196">
                    <w:pPr>
                      <w:jc w:val="center"/>
                    </w:pPr>
                    <w:r>
                      <w:rPr>
                        <w:rFonts w:hint="eastAsia"/>
                      </w:rPr>
                      <w:t>并送达</w:t>
                    </w:r>
                  </w:p>
                </w:txbxContent>
              </v:textbox>
            </v:shape>
            <v:shape id="AutoShape 8" o:spid="_x0000_s1064" type="#_x0000_t116" style="position:absolute;left:2042;top:13663;width:3461;height:1058" o:preferrelative="t">
              <v:stroke miterlimit="2"/>
              <v:textbox>
                <w:txbxContent>
                  <w:p w:rsidR="00587196" w:rsidRDefault="00587196" w:rsidP="00587196">
                    <w:pPr>
                      <w:jc w:val="center"/>
                    </w:pPr>
                    <w:r>
                      <w:rPr>
                        <w:rFonts w:hint="eastAsia"/>
                      </w:rPr>
                      <w:t>依法予以许可，出具相关</w:t>
                    </w:r>
                  </w:p>
                  <w:p w:rsidR="00587196" w:rsidRDefault="00587196" w:rsidP="00587196">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65" type="#_x0000_t32" style="position:absolute;left:5729;top:10693;width:1;height:626" o:preferrelative="t">
              <v:stroke endarrow="block" miterlimit="2"/>
            </v:shape>
            <v:shape id="AutoShape 10" o:spid="_x0000_s1066" type="#_x0000_t32" style="position:absolute;left:7678;top:12568;width:17;height:1095" o:preferrelative="t">
              <v:stroke endarrow="block" miterlimit="2"/>
            </v:shape>
            <v:shape id="AutoShape 11" o:spid="_x0000_s1067" type="#_x0000_t32" style="position:absolute;left:3705;top:12568;width:1;height:1035" o:preferrelative="t">
              <v:stroke endarrow="block" miterlimit="2"/>
            </v:shape>
            <v:shape id="AutoShape 12" o:spid="_x0000_s1068" type="#_x0000_t32" style="position:absolute;left:5730;top:11853;width:1;height:715" o:preferrelative="t">
              <v:stroke miterlimit="2"/>
            </v:shape>
            <v:shape id="AutoShape 13" o:spid="_x0000_s1069" type="#_x0000_t32" style="position:absolute;left:3706;top:12568;width:3972;height:0" o:preferrelative="t">
              <v:stroke miterlimit="2"/>
            </v:shape>
            <v:group id="组合 1035" o:spid="_x0000_s1070" style="position:absolute;left:1195;top:3000;width:9073;height:7693" coordorigin="1195,3000" coordsize="9073,7693">
              <v:shape id="AutoShape 15" o:spid="_x0000_s1071" type="#_x0000_t32" style="position:absolute;left:7240;top:9566;width:0;height:608" o:preferrelative="t">
                <v:stroke endarrow="block" miterlimit="2"/>
              </v:shape>
              <v:group id="组合 1037" o:spid="_x0000_s1072"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73" type="#_x0000_t34" style="position:absolute;left:7714;top:6155;width:3823;height:1285;rotation:270" o:preferrelative="t" adj="33">
                  <v:stroke miterlimit="2"/>
                </v:shape>
                <v:shapetype id="_x0000_t202" coordsize="21600,21600" o:spt="202" path="m,l,21600r21600,l21600,xe">
                  <v:stroke joinstyle="miter"/>
                  <v:path gradientshapeok="t" o:connecttype="rect"/>
                </v:shapetype>
                <v:shape id="Text Box 18" o:spid="_x0000_s1074" type="#_x0000_t202" style="position:absolute;left:9343;top:5297;width:754;height:2553" o:preferrelative="t" strokecolor="white">
                  <v:stroke miterlimit="2"/>
                  <v:textbox>
                    <w:txbxContent>
                      <w:p w:rsidR="00587196" w:rsidRDefault="00587196" w:rsidP="00587196">
                        <w:pPr>
                          <w:jc w:val="center"/>
                        </w:pPr>
                        <w:r>
                          <w:rPr>
                            <w:rFonts w:hint="eastAsia"/>
                          </w:rPr>
                          <w:t>不能提供符合受理要求的材料</w:t>
                        </w:r>
                      </w:p>
                    </w:txbxContent>
                  </v:textbox>
                </v:shape>
                <v:shape id="AutoShape 19" o:spid="_x0000_s1075" type="#_x0000_t32" style="position:absolute;left:7240;top:7472;width:0;height:378" o:preferrelative="t">
                  <v:stroke endarrow="block" miterlimit="2"/>
                </v:shape>
                <v:shape id="Text Box 20" o:spid="_x0000_s1076" type="#_x0000_t202" style="position:absolute;left:3915;top:9566;width:2737;height:477" o:preferrelative="t" strokecolor="white">
                  <v:stroke miterlimit="2"/>
                  <v:textbox>
                    <w:txbxContent>
                      <w:p w:rsidR="00587196" w:rsidRDefault="00587196" w:rsidP="00587196">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77" type="#_x0000_t4" style="position:absolute;left:5346;top:7833;width:3637;height:1733" o:preferrelative="t">
                  <v:stroke miterlimit="2"/>
                  <v:textbox>
                    <w:txbxContent>
                      <w:p w:rsidR="00587196" w:rsidRDefault="00587196" w:rsidP="00587196">
                        <w:r>
                          <w:rPr>
                            <w:rFonts w:hint="eastAsia"/>
                          </w:rPr>
                          <w:t>申请人补充材料</w:t>
                        </w:r>
                      </w:p>
                    </w:txbxContent>
                  </v:textbox>
                </v:shape>
                <v:rect id="Rectangle 22" o:spid="_x0000_s1078" style="position:absolute;left:3915;top:10174;width:4816;height:519" o:preferrelative="t">
                  <v:stroke miterlimit="2"/>
                  <v:textbox>
                    <w:txbxContent>
                      <w:p w:rsidR="00587196" w:rsidRDefault="00587196" w:rsidP="00587196">
                        <w:pPr>
                          <w:jc w:val="center"/>
                        </w:pPr>
                        <w:r>
                          <w:rPr>
                            <w:rFonts w:hint="eastAsia"/>
                          </w:rPr>
                          <w:t>依法应予受理，出具行政审批受理单</w:t>
                        </w:r>
                      </w:p>
                      <w:p w:rsidR="00587196" w:rsidRDefault="00587196" w:rsidP="00587196">
                        <w:pPr>
                          <w:jc w:val="center"/>
                        </w:pPr>
                      </w:p>
                    </w:txbxContent>
                  </v:textbox>
                </v:rect>
                <v:rect id="Rectangle 23" o:spid="_x0000_s1079" style="position:absolute;left:5913;top:6341;width:3190;height:1114" o:preferrelative="t">
                  <v:stroke miterlimit="2"/>
                  <v:textbox>
                    <w:txbxContent>
                      <w:p w:rsidR="00587196" w:rsidRDefault="00587196" w:rsidP="00587196">
                        <w:pPr>
                          <w:jc w:val="center"/>
                        </w:pPr>
                        <w:r>
                          <w:rPr>
                            <w:rFonts w:hint="eastAsia"/>
                          </w:rPr>
                          <w:t>材料不全或不符合法定形式的，一次性告知补正材料，</w:t>
                        </w:r>
                      </w:p>
                      <w:p w:rsidR="00587196" w:rsidRDefault="00587196" w:rsidP="00587196">
                        <w:pPr>
                          <w:jc w:val="center"/>
                        </w:pPr>
                        <w:r>
                          <w:rPr>
                            <w:rFonts w:hint="eastAsia"/>
                          </w:rPr>
                          <w:t>出具行政审批补正材料通知书</w:t>
                        </w:r>
                      </w:p>
                      <w:p w:rsidR="00587196" w:rsidRDefault="00587196" w:rsidP="00587196"/>
                    </w:txbxContent>
                  </v:textbox>
                </v:rect>
                <v:shape id="AutoShape 24" o:spid="_x0000_s1080" type="#_x0000_t116" style="position:absolute;left:5913;top:4050;width:2922;height:1710" o:preferrelative="t">
                  <v:stroke miterlimit="2"/>
                  <v:textbox>
                    <w:txbxContent>
                      <w:p w:rsidR="00587196" w:rsidRDefault="00587196" w:rsidP="00587196">
                        <w:pPr>
                          <w:jc w:val="center"/>
                        </w:pPr>
                        <w:r>
                          <w:rPr>
                            <w:rFonts w:hint="eastAsia"/>
                          </w:rPr>
                          <w:t>依法不予受理的，作出不予受理决定，出具不予受理行政审批申请通知书</w:t>
                        </w:r>
                      </w:p>
                      <w:p w:rsidR="00587196" w:rsidRDefault="00587196" w:rsidP="00587196">
                        <w:pPr>
                          <w:jc w:val="center"/>
                        </w:pPr>
                      </w:p>
                    </w:txbxContent>
                  </v:textbox>
                </v:shape>
                <v:group id="组合 1046" o:spid="_x0000_s1081" style="position:absolute;left:1195;top:3000;width:4746;height:7424" coordorigin="1195,3000" coordsize="4746,7424">
                  <v:shape id="AutoShape 26" o:spid="_x0000_s1082" type="#_x0000_t32" style="position:absolute;left:5010;top:6910;width:931;height:0" o:preferrelative="t">
                    <v:stroke endarrow="block" miterlimit="2"/>
                  </v:shape>
                  <v:shape id="AutoShape 27" o:spid="_x0000_s1083" type="#_x0000_t32" style="position:absolute;left:2702;top:6986;width:1;height:3437" o:preferrelative="t">
                    <v:stroke miterlimit="2"/>
                  </v:shape>
                  <v:group id="组合 1049" o:spid="_x0000_s1084" style="position:absolute;left:1195;top:3000;width:3781;height:4066" coordorigin="1195,3000" coordsize="3781,4066">
                    <v:shape id="AutoShape 29" o:spid="_x0000_s1085" type="#_x0000_t32" style="position:absolute;left:2743;top:4172;width:1;height:764" o:preferrelative="t">
                      <v:stroke endarrow="block" miterlimit="2"/>
                    </v:shape>
                    <v:shape id="AutoShape 30" o:spid="_x0000_s1086" type="#_x0000_t32" style="position:absolute;left:4188;top:5967;width:788;height:26;flip:y" o:preferrelative="t">
                      <v:stroke miterlimit="2"/>
                    </v:shape>
                    <v:shape id="AutoShape 31" o:spid="_x0000_s1087" type="#_x0000_t4" style="position:absolute;left:1195;top:4919;width:2993;height:2147" o:preferrelative="t">
                      <v:stroke miterlimit="2"/>
                      <v:textbox>
                        <w:txbxContent>
                          <w:p w:rsidR="00587196" w:rsidRDefault="00587196" w:rsidP="00587196">
                            <w:r>
                              <w:rPr>
                                <w:rFonts w:hint="eastAsia"/>
                              </w:rPr>
                              <w:t>接件（</w:t>
                            </w:r>
                            <w:r>
                              <w:t>5</w:t>
                            </w:r>
                            <w:r>
                              <w:rPr>
                                <w:rFonts w:hint="eastAsia"/>
                              </w:rPr>
                              <w:t>个工作日）作出是否受理决定</w:t>
                            </w:r>
                          </w:p>
                          <w:p w:rsidR="00587196" w:rsidRDefault="00587196" w:rsidP="00587196"/>
                        </w:txbxContent>
                      </v:textbox>
                    </v:shape>
                    <v:shape id="AutoShape 32" o:spid="_x0000_s1088" type="#_x0000_t116" style="position:absolute;left:1531;top:3000;width:2724;height:1172" o:preferrelative="t">
                      <v:stroke miterlimit="2"/>
                      <v:textbox>
                        <w:txbxContent>
                          <w:p w:rsidR="00587196" w:rsidRDefault="00587196" w:rsidP="00587196">
                            <w:pPr>
                              <w:jc w:val="center"/>
                            </w:pPr>
                            <w:r>
                              <w:rPr>
                                <w:rFonts w:hint="eastAsia"/>
                              </w:rPr>
                              <w:t>申请人提出书面申请，并提交材料</w:t>
                            </w:r>
                          </w:p>
                        </w:txbxContent>
                      </v:textbox>
                    </v:shape>
                  </v:group>
                  <v:shape id="AutoShape 33" o:spid="_x0000_s1089" type="#_x0000_t32" style="position:absolute;left:2702;top:10423;width:1213;height:1" o:preferrelative="t">
                    <v:stroke endarrow="block" miterlimit="2"/>
                  </v:shape>
                  <v:shape id="AutoShape 34" o:spid="_x0000_s1090" type="#_x0000_t32" style="position:absolute;left:5010;top:4999;width:0;height:1921" o:preferrelative="t">
                    <v:stroke miterlimit="2"/>
                  </v:shape>
                  <v:shape id="AutoShape 35" o:spid="_x0000_s1091" type="#_x0000_t32" style="position:absolute;left:5010;top:4989;width:903;height:1" o:preferrelative="t">
                    <v:stroke endarrow="block" miterlimit="2"/>
                  </v:shape>
                  <v:shape id="Text Box 36" o:spid="_x0000_s1092" type="#_x0000_t202" style="position:absolute;left:1944;top:8280;width:508;height:1152" o:preferrelative="t" strokecolor="white">
                    <v:stroke miterlimit="2"/>
                    <v:textbox>
                      <w:txbxContent>
                        <w:p w:rsidR="00587196" w:rsidRDefault="00587196" w:rsidP="00587196">
                          <w:r>
                            <w:rPr>
                              <w:rFonts w:hint="eastAsia"/>
                            </w:rPr>
                            <w:t>是</w:t>
                          </w:r>
                        </w:p>
                      </w:txbxContent>
                    </v:textbox>
                  </v:shape>
                  <v:shape id="Text Box 37" o:spid="_x0000_s1093" type="#_x0000_t202" style="position:absolute;left:4146;top:5220;width:508;height:471" o:preferrelative="t" strokecolor="white">
                    <v:stroke miterlimit="2"/>
                    <v:textbox style="mso-fit-shape-to-text:t">
                      <w:txbxContent>
                        <w:p w:rsidR="00587196" w:rsidRDefault="00587196" w:rsidP="00587196">
                          <w:r>
                            <w:rPr>
                              <w:rFonts w:hint="eastAsia"/>
                            </w:rPr>
                            <w:t>否</w:t>
                          </w:r>
                        </w:p>
                      </w:txbxContent>
                    </v:textbox>
                  </v:shape>
                </v:group>
                <v:shape id="AutoShape 38" o:spid="_x0000_s1094" type="#_x0000_t32" style="position:absolute;left:8927;top:4886;width:1341;height:0;flip:x" o:preferrelative="t">
                  <v:stroke endarrow="block" miterlimit="2"/>
                </v:shape>
              </v:group>
            </v:group>
          </v:group>
        </w:pict>
      </w:r>
    </w:p>
    <w:p w:rsidR="002A3FD9" w:rsidRDefault="002A3FD9">
      <w:pPr>
        <w:ind w:right="300"/>
        <w:rPr>
          <w:rFonts w:ascii="Times New Roman" w:eastAsia="仿宋_GB2312" w:hAnsi="Times New Roman" w:cs="Times New Roman"/>
          <w:sz w:val="30"/>
          <w:szCs w:val="30"/>
        </w:rPr>
      </w:pPr>
    </w:p>
    <w:p w:rsidR="002A3FD9" w:rsidRDefault="002A3FD9">
      <w:pPr>
        <w:ind w:right="300"/>
        <w:rPr>
          <w:rFonts w:ascii="Times New Roman" w:eastAsia="仿宋_GB2312" w:hAnsi="Times New Roman" w:cs="Times New Roman"/>
          <w:sz w:val="30"/>
          <w:szCs w:val="30"/>
        </w:rPr>
      </w:pPr>
    </w:p>
    <w:p w:rsidR="002A3FD9" w:rsidRDefault="002A3FD9">
      <w:pPr>
        <w:ind w:right="300"/>
        <w:rPr>
          <w:rFonts w:ascii="Times New Roman" w:eastAsia="仿宋_GB2312" w:hAnsi="Times New Roman" w:cs="Times New Roman"/>
          <w:sz w:val="30"/>
          <w:szCs w:val="30"/>
        </w:rPr>
      </w:pPr>
    </w:p>
    <w:p w:rsidR="002A3FD9" w:rsidRDefault="002A3FD9">
      <w:pPr>
        <w:ind w:right="300"/>
        <w:rPr>
          <w:rFonts w:ascii="Times New Roman" w:eastAsia="仿宋_GB2312" w:hAnsi="Times New Roman" w:cs="Times New Roman"/>
          <w:sz w:val="30"/>
          <w:szCs w:val="30"/>
        </w:rPr>
      </w:pPr>
    </w:p>
    <w:p w:rsidR="002A3FD9" w:rsidRDefault="001607D6">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2A3FD9" w:rsidRDefault="002A3FD9">
      <w:pPr>
        <w:ind w:right="300"/>
        <w:rPr>
          <w:rFonts w:ascii="Times New Roman" w:eastAsia="仿宋_GB2312" w:hAnsi="Times New Roman" w:cs="Times New Roman"/>
          <w:sz w:val="30"/>
          <w:szCs w:val="30"/>
        </w:rPr>
      </w:pPr>
    </w:p>
    <w:p w:rsidR="002A3FD9" w:rsidRDefault="002A3FD9">
      <w:pPr>
        <w:ind w:right="300"/>
        <w:rPr>
          <w:rFonts w:ascii="Times New Roman" w:eastAsia="仿宋_GB2312" w:hAnsi="Times New Roman" w:cs="Times New Roman"/>
          <w:sz w:val="30"/>
          <w:szCs w:val="30"/>
        </w:rPr>
      </w:pPr>
    </w:p>
    <w:p w:rsidR="002A3FD9" w:rsidRDefault="002A3FD9">
      <w:pPr>
        <w:ind w:right="300"/>
        <w:rPr>
          <w:rFonts w:ascii="Times New Roman" w:eastAsia="仿宋_GB2312" w:hAnsi="Times New Roman" w:cs="Times New Roman"/>
          <w:sz w:val="30"/>
          <w:szCs w:val="30"/>
        </w:rPr>
      </w:pPr>
    </w:p>
    <w:p w:rsidR="002A3FD9" w:rsidRDefault="002A3FD9">
      <w:pPr>
        <w:ind w:right="300"/>
        <w:rPr>
          <w:rFonts w:ascii="Times New Roman" w:eastAsia="仿宋_GB2312" w:hAnsi="Times New Roman" w:cs="Times New Roman"/>
          <w:sz w:val="30"/>
          <w:szCs w:val="30"/>
        </w:rPr>
      </w:pPr>
    </w:p>
    <w:p w:rsidR="002A3FD9" w:rsidRDefault="002A3FD9">
      <w:pPr>
        <w:ind w:right="300"/>
        <w:rPr>
          <w:rFonts w:ascii="Times New Roman" w:eastAsia="仿宋_GB2312" w:hAnsi="Times New Roman" w:cs="Times New Roman"/>
          <w:sz w:val="30"/>
          <w:szCs w:val="30"/>
        </w:rPr>
      </w:pPr>
    </w:p>
    <w:p w:rsidR="002A3FD9" w:rsidRDefault="002A3FD9">
      <w:pPr>
        <w:ind w:right="300"/>
        <w:rPr>
          <w:rFonts w:ascii="Times New Roman" w:eastAsia="仿宋_GB2312" w:hAnsi="Times New Roman" w:cs="Times New Roman"/>
          <w:sz w:val="30"/>
          <w:szCs w:val="30"/>
        </w:rPr>
      </w:pPr>
    </w:p>
    <w:p w:rsidR="002A3FD9" w:rsidRDefault="002A3FD9">
      <w:pPr>
        <w:ind w:right="300"/>
        <w:rPr>
          <w:rFonts w:ascii="Times New Roman" w:eastAsia="仿宋_GB2312" w:hAnsi="Times New Roman" w:cs="Times New Roman"/>
          <w:sz w:val="30"/>
          <w:szCs w:val="30"/>
        </w:rPr>
      </w:pPr>
    </w:p>
    <w:p w:rsidR="002A3FD9" w:rsidRDefault="002A3FD9">
      <w:pPr>
        <w:ind w:right="300"/>
        <w:rPr>
          <w:rFonts w:ascii="Times New Roman" w:eastAsia="仿宋_GB2312" w:hAnsi="Times New Roman" w:cs="Times New Roman"/>
          <w:sz w:val="30"/>
          <w:szCs w:val="30"/>
        </w:rPr>
      </w:pPr>
    </w:p>
    <w:p w:rsidR="002A3FD9" w:rsidRDefault="002A3FD9">
      <w:pPr>
        <w:ind w:right="300"/>
        <w:rPr>
          <w:rFonts w:ascii="Times New Roman" w:eastAsia="仿宋_GB2312" w:hAnsi="Times New Roman" w:cs="Times New Roman"/>
          <w:sz w:val="30"/>
          <w:szCs w:val="30"/>
        </w:rPr>
      </w:pPr>
    </w:p>
    <w:p w:rsidR="002A3FD9" w:rsidRDefault="002A3FD9">
      <w:pPr>
        <w:ind w:right="300"/>
        <w:rPr>
          <w:rFonts w:ascii="Times New Roman" w:eastAsia="仿宋_GB2312" w:hAnsi="Times New Roman" w:cs="Times New Roman"/>
          <w:sz w:val="30"/>
          <w:szCs w:val="30"/>
        </w:rPr>
      </w:pPr>
    </w:p>
    <w:p w:rsidR="002A3FD9" w:rsidRDefault="002A3FD9">
      <w:pPr>
        <w:ind w:right="300"/>
        <w:rPr>
          <w:rFonts w:ascii="Times New Roman" w:eastAsia="仿宋_GB2312" w:hAnsi="Times New Roman" w:cs="Times New Roman"/>
          <w:sz w:val="30"/>
          <w:szCs w:val="30"/>
        </w:rPr>
      </w:pPr>
    </w:p>
    <w:p w:rsidR="002A3FD9" w:rsidRDefault="002A3FD9">
      <w:pPr>
        <w:ind w:right="300"/>
        <w:rPr>
          <w:rFonts w:ascii="Times New Roman" w:eastAsia="仿宋_GB2312" w:hAnsi="Times New Roman" w:cs="Times New Roman"/>
          <w:sz w:val="30"/>
          <w:szCs w:val="30"/>
        </w:rPr>
      </w:pPr>
    </w:p>
    <w:p w:rsidR="002A3FD9" w:rsidRDefault="002A3FD9">
      <w:pPr>
        <w:ind w:right="300"/>
        <w:rPr>
          <w:rFonts w:ascii="Times New Roman" w:eastAsia="仿宋_GB2312" w:hAnsi="Times New Roman" w:cs="Times New Roman"/>
          <w:sz w:val="30"/>
          <w:szCs w:val="30"/>
        </w:rPr>
      </w:pPr>
    </w:p>
    <w:p w:rsidR="002A3FD9" w:rsidRDefault="002A3FD9">
      <w:pPr>
        <w:ind w:right="300"/>
        <w:rPr>
          <w:rFonts w:ascii="Times New Roman" w:eastAsia="仿宋_GB2312" w:hAnsi="Times New Roman" w:cs="Times New Roman"/>
          <w:sz w:val="30"/>
          <w:szCs w:val="30"/>
        </w:rPr>
      </w:pPr>
    </w:p>
    <w:p w:rsidR="002A3FD9" w:rsidRDefault="001607D6">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附录二</w:t>
      </w:r>
    </w:p>
    <w:p w:rsidR="002A3FD9" w:rsidRDefault="002A3FD9">
      <w:pPr>
        <w:adjustRightInd w:val="0"/>
        <w:snapToGrid w:val="0"/>
        <w:spacing w:line="360" w:lineRule="auto"/>
        <w:jc w:val="center"/>
        <w:rPr>
          <w:rFonts w:ascii="Times New Roman" w:eastAsia="黑体" w:hAnsi="Times New Roman" w:cs="Times New Roman"/>
          <w:sz w:val="30"/>
          <w:szCs w:val="30"/>
        </w:rPr>
      </w:pPr>
    </w:p>
    <w:p w:rsidR="002A3FD9" w:rsidRDefault="001607D6">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2A3FD9" w:rsidRDefault="002A3FD9">
      <w:pPr>
        <w:adjustRightInd w:val="0"/>
        <w:snapToGrid w:val="0"/>
        <w:spacing w:line="360" w:lineRule="auto"/>
        <w:jc w:val="center"/>
        <w:rPr>
          <w:rFonts w:ascii="Times New Roman" w:eastAsia="黑体" w:hAnsi="Times New Roman" w:cs="Times New Roman"/>
          <w:sz w:val="30"/>
          <w:szCs w:val="30"/>
        </w:rPr>
      </w:pP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．问：不具备吸存放贷业务资格的非存款类金融机构外债资金是否可以意愿结汇？</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答：不具备吸存放贷业务资格的非存款类金融机构外债资金，用于服务实体经济发展，并符合国家产业宏观调控方向，经所在地外汇分局批准可结汇使用。</w:t>
      </w:r>
    </w:p>
    <w:p w:rsidR="002A3FD9" w:rsidRDefault="001607D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．问：银行的外债可以结汇吗？</w:t>
      </w:r>
    </w:p>
    <w:p w:rsidR="002A3FD9" w:rsidRDefault="001607D6">
      <w:pPr>
        <w:adjustRightInd w:val="0"/>
        <w:snapToGrid w:val="0"/>
        <w:spacing w:line="360" w:lineRule="auto"/>
        <w:ind w:firstLineChars="200" w:firstLine="600"/>
        <w:rPr>
          <w:rFonts w:ascii="Times New Roman" w:eastAsia="黑体" w:hAnsi="Times New Roman" w:cs="Times New Roman"/>
          <w:sz w:val="48"/>
          <w:szCs w:val="48"/>
        </w:rPr>
      </w:pPr>
      <w:r>
        <w:rPr>
          <w:rFonts w:ascii="Times New Roman" w:eastAsia="仿宋_GB2312" w:hAnsi="Times New Roman" w:cs="Times New Roman"/>
          <w:sz w:val="30"/>
          <w:szCs w:val="30"/>
        </w:rPr>
        <w:t>答：服务实体经济发展，并符合国家产业宏观调控方向，经国家外汇管理局批准，金融机构融入外汇资金可结汇使用。</w:t>
      </w:r>
    </w:p>
    <w:sectPr w:rsidR="002A3FD9" w:rsidSect="00664E90">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23E" w:rsidRDefault="0008723E" w:rsidP="002A3FD9">
      <w:r>
        <w:separator/>
      </w:r>
    </w:p>
  </w:endnote>
  <w:endnote w:type="continuationSeparator" w:id="1">
    <w:p w:rsidR="0008723E" w:rsidRDefault="0008723E" w:rsidP="002A3F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D9" w:rsidRDefault="002D3111">
    <w:pPr>
      <w:pStyle w:val="a6"/>
      <w:jc w:val="center"/>
    </w:pPr>
    <w:r>
      <w:fldChar w:fldCharType="begin"/>
    </w:r>
    <w:r w:rsidR="001607D6">
      <w:instrText xml:space="preserve"> PAGE   \* MERGEFORMAT </w:instrText>
    </w:r>
    <w:r>
      <w:fldChar w:fldCharType="separate"/>
    </w:r>
    <w:r w:rsidR="00A80AE2" w:rsidRPr="00A80AE2">
      <w:rPr>
        <w:noProof/>
        <w:lang w:val="zh-CN"/>
      </w:rPr>
      <w:t>4</w:t>
    </w:r>
    <w:r>
      <w:fldChar w:fldCharType="end"/>
    </w:r>
  </w:p>
  <w:p w:rsidR="002A3FD9" w:rsidRDefault="002A3F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23E" w:rsidRDefault="0008723E" w:rsidP="002A3FD9">
      <w:r>
        <w:separator/>
      </w:r>
    </w:p>
  </w:footnote>
  <w:footnote w:type="continuationSeparator" w:id="1">
    <w:p w:rsidR="0008723E" w:rsidRDefault="0008723E" w:rsidP="002A3F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04509"/>
    <w:rsid w:val="00022191"/>
    <w:rsid w:val="00023783"/>
    <w:rsid w:val="00041960"/>
    <w:rsid w:val="00041E69"/>
    <w:rsid w:val="00041F4C"/>
    <w:rsid w:val="00042B58"/>
    <w:rsid w:val="00054B00"/>
    <w:rsid w:val="00054F8B"/>
    <w:rsid w:val="00055270"/>
    <w:rsid w:val="000572EF"/>
    <w:rsid w:val="00057F76"/>
    <w:rsid w:val="0006560A"/>
    <w:rsid w:val="00072F8A"/>
    <w:rsid w:val="000750C8"/>
    <w:rsid w:val="00080630"/>
    <w:rsid w:val="0008723E"/>
    <w:rsid w:val="00091661"/>
    <w:rsid w:val="00092D53"/>
    <w:rsid w:val="00096CBB"/>
    <w:rsid w:val="00097F7B"/>
    <w:rsid w:val="000A3B03"/>
    <w:rsid w:val="000B6901"/>
    <w:rsid w:val="000B728B"/>
    <w:rsid w:val="000B7620"/>
    <w:rsid w:val="000C15B3"/>
    <w:rsid w:val="000C2B33"/>
    <w:rsid w:val="000D1995"/>
    <w:rsid w:val="000D7478"/>
    <w:rsid w:val="001135E5"/>
    <w:rsid w:val="0012271F"/>
    <w:rsid w:val="00130519"/>
    <w:rsid w:val="00132D03"/>
    <w:rsid w:val="00135BEE"/>
    <w:rsid w:val="0014667A"/>
    <w:rsid w:val="00154B58"/>
    <w:rsid w:val="00157C64"/>
    <w:rsid w:val="00157E81"/>
    <w:rsid w:val="001607D6"/>
    <w:rsid w:val="00170126"/>
    <w:rsid w:val="00177059"/>
    <w:rsid w:val="00181D3E"/>
    <w:rsid w:val="00196FAE"/>
    <w:rsid w:val="001A3E49"/>
    <w:rsid w:val="001A7211"/>
    <w:rsid w:val="001A72AA"/>
    <w:rsid w:val="001B0681"/>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23D3"/>
    <w:rsid w:val="0024527E"/>
    <w:rsid w:val="00253F7B"/>
    <w:rsid w:val="00263B1F"/>
    <w:rsid w:val="00291C17"/>
    <w:rsid w:val="0029313A"/>
    <w:rsid w:val="002A3FD9"/>
    <w:rsid w:val="002B0B1C"/>
    <w:rsid w:val="002B598D"/>
    <w:rsid w:val="002B61C1"/>
    <w:rsid w:val="002D3111"/>
    <w:rsid w:val="002E1323"/>
    <w:rsid w:val="002F3868"/>
    <w:rsid w:val="00302119"/>
    <w:rsid w:val="00302E87"/>
    <w:rsid w:val="00306280"/>
    <w:rsid w:val="00310261"/>
    <w:rsid w:val="00343044"/>
    <w:rsid w:val="00344B01"/>
    <w:rsid w:val="00353AC4"/>
    <w:rsid w:val="003616B4"/>
    <w:rsid w:val="003751DB"/>
    <w:rsid w:val="003A57B2"/>
    <w:rsid w:val="003C7132"/>
    <w:rsid w:val="003D77A5"/>
    <w:rsid w:val="003E1D32"/>
    <w:rsid w:val="003E6BF6"/>
    <w:rsid w:val="003F221D"/>
    <w:rsid w:val="003F3097"/>
    <w:rsid w:val="003F4E58"/>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4D5EEE"/>
    <w:rsid w:val="004E4568"/>
    <w:rsid w:val="004E56E2"/>
    <w:rsid w:val="005056D4"/>
    <w:rsid w:val="005151F3"/>
    <w:rsid w:val="00526B2B"/>
    <w:rsid w:val="005362B0"/>
    <w:rsid w:val="00542447"/>
    <w:rsid w:val="00542ACD"/>
    <w:rsid w:val="00564312"/>
    <w:rsid w:val="00587196"/>
    <w:rsid w:val="005A2981"/>
    <w:rsid w:val="005C6937"/>
    <w:rsid w:val="005C7F02"/>
    <w:rsid w:val="005D6B44"/>
    <w:rsid w:val="005F0A86"/>
    <w:rsid w:val="005F144A"/>
    <w:rsid w:val="005F1C00"/>
    <w:rsid w:val="0061621E"/>
    <w:rsid w:val="00630AA8"/>
    <w:rsid w:val="00630B2E"/>
    <w:rsid w:val="00643D2A"/>
    <w:rsid w:val="00664E11"/>
    <w:rsid w:val="00664E90"/>
    <w:rsid w:val="00673B30"/>
    <w:rsid w:val="006864FA"/>
    <w:rsid w:val="00696E5D"/>
    <w:rsid w:val="006B386B"/>
    <w:rsid w:val="006B5B86"/>
    <w:rsid w:val="006C5908"/>
    <w:rsid w:val="006C633E"/>
    <w:rsid w:val="006D56AB"/>
    <w:rsid w:val="006D734F"/>
    <w:rsid w:val="006E043F"/>
    <w:rsid w:val="006E4695"/>
    <w:rsid w:val="006E4B8B"/>
    <w:rsid w:val="006E5901"/>
    <w:rsid w:val="007033AD"/>
    <w:rsid w:val="00703F39"/>
    <w:rsid w:val="0071091C"/>
    <w:rsid w:val="00714961"/>
    <w:rsid w:val="00744BD5"/>
    <w:rsid w:val="00745748"/>
    <w:rsid w:val="00750E36"/>
    <w:rsid w:val="00753CB0"/>
    <w:rsid w:val="00755460"/>
    <w:rsid w:val="00761FB7"/>
    <w:rsid w:val="00762107"/>
    <w:rsid w:val="00764CB9"/>
    <w:rsid w:val="00765055"/>
    <w:rsid w:val="00765B05"/>
    <w:rsid w:val="0077269F"/>
    <w:rsid w:val="00785F45"/>
    <w:rsid w:val="00790518"/>
    <w:rsid w:val="007A092F"/>
    <w:rsid w:val="007A2780"/>
    <w:rsid w:val="007A68EA"/>
    <w:rsid w:val="007A7BCC"/>
    <w:rsid w:val="007B06FC"/>
    <w:rsid w:val="007B0FEF"/>
    <w:rsid w:val="007B2DB5"/>
    <w:rsid w:val="007C465E"/>
    <w:rsid w:val="007D2C11"/>
    <w:rsid w:val="007D6171"/>
    <w:rsid w:val="007D69EA"/>
    <w:rsid w:val="007E2C7B"/>
    <w:rsid w:val="007E411B"/>
    <w:rsid w:val="007F0863"/>
    <w:rsid w:val="007F2F3B"/>
    <w:rsid w:val="00802307"/>
    <w:rsid w:val="0082168E"/>
    <w:rsid w:val="00821968"/>
    <w:rsid w:val="008471B6"/>
    <w:rsid w:val="00851521"/>
    <w:rsid w:val="00851989"/>
    <w:rsid w:val="0085686A"/>
    <w:rsid w:val="00860878"/>
    <w:rsid w:val="008622E8"/>
    <w:rsid w:val="008712CB"/>
    <w:rsid w:val="008731FF"/>
    <w:rsid w:val="0088294A"/>
    <w:rsid w:val="0089282A"/>
    <w:rsid w:val="008A3757"/>
    <w:rsid w:val="008A4538"/>
    <w:rsid w:val="008A704B"/>
    <w:rsid w:val="008B08D2"/>
    <w:rsid w:val="008B4EE5"/>
    <w:rsid w:val="008B5807"/>
    <w:rsid w:val="008D5FA0"/>
    <w:rsid w:val="008E2D38"/>
    <w:rsid w:val="008F5724"/>
    <w:rsid w:val="008F5900"/>
    <w:rsid w:val="00902633"/>
    <w:rsid w:val="009027D8"/>
    <w:rsid w:val="0090372F"/>
    <w:rsid w:val="00911E27"/>
    <w:rsid w:val="0092129A"/>
    <w:rsid w:val="00925BB2"/>
    <w:rsid w:val="00930C8C"/>
    <w:rsid w:val="009360EA"/>
    <w:rsid w:val="00941CA2"/>
    <w:rsid w:val="00947C57"/>
    <w:rsid w:val="00951149"/>
    <w:rsid w:val="00960EDB"/>
    <w:rsid w:val="009622DB"/>
    <w:rsid w:val="009664BC"/>
    <w:rsid w:val="009723A6"/>
    <w:rsid w:val="0097320B"/>
    <w:rsid w:val="00980F02"/>
    <w:rsid w:val="00991B77"/>
    <w:rsid w:val="00997523"/>
    <w:rsid w:val="009A0C5D"/>
    <w:rsid w:val="009C4672"/>
    <w:rsid w:val="009C491B"/>
    <w:rsid w:val="009D0911"/>
    <w:rsid w:val="009D24F8"/>
    <w:rsid w:val="009D688C"/>
    <w:rsid w:val="009E67AD"/>
    <w:rsid w:val="009F3074"/>
    <w:rsid w:val="009F7A36"/>
    <w:rsid w:val="00A249C2"/>
    <w:rsid w:val="00A24FAB"/>
    <w:rsid w:val="00A301E7"/>
    <w:rsid w:val="00A42E69"/>
    <w:rsid w:val="00A45CA7"/>
    <w:rsid w:val="00A51415"/>
    <w:rsid w:val="00A54A5A"/>
    <w:rsid w:val="00A6014E"/>
    <w:rsid w:val="00A60356"/>
    <w:rsid w:val="00A75425"/>
    <w:rsid w:val="00A80AE2"/>
    <w:rsid w:val="00A81DF1"/>
    <w:rsid w:val="00A8457E"/>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F4EF0"/>
    <w:rsid w:val="00C024D6"/>
    <w:rsid w:val="00C02E44"/>
    <w:rsid w:val="00C147D2"/>
    <w:rsid w:val="00C2075F"/>
    <w:rsid w:val="00C23799"/>
    <w:rsid w:val="00C267BD"/>
    <w:rsid w:val="00C274C9"/>
    <w:rsid w:val="00C31E02"/>
    <w:rsid w:val="00C54291"/>
    <w:rsid w:val="00C672C3"/>
    <w:rsid w:val="00C712B2"/>
    <w:rsid w:val="00C84F9D"/>
    <w:rsid w:val="00C94325"/>
    <w:rsid w:val="00C97FED"/>
    <w:rsid w:val="00CA0243"/>
    <w:rsid w:val="00CA1DBB"/>
    <w:rsid w:val="00CA2622"/>
    <w:rsid w:val="00CA7F2C"/>
    <w:rsid w:val="00CA7FF8"/>
    <w:rsid w:val="00CB5DE7"/>
    <w:rsid w:val="00CC068D"/>
    <w:rsid w:val="00CC4922"/>
    <w:rsid w:val="00CD1FF6"/>
    <w:rsid w:val="00CE25C7"/>
    <w:rsid w:val="00CE3335"/>
    <w:rsid w:val="00CE4849"/>
    <w:rsid w:val="00CE5C8E"/>
    <w:rsid w:val="00CE5F49"/>
    <w:rsid w:val="00CF0C4E"/>
    <w:rsid w:val="00D01626"/>
    <w:rsid w:val="00D2058A"/>
    <w:rsid w:val="00D33A4D"/>
    <w:rsid w:val="00D33F76"/>
    <w:rsid w:val="00D41F5E"/>
    <w:rsid w:val="00D43DC0"/>
    <w:rsid w:val="00D54E56"/>
    <w:rsid w:val="00D6407D"/>
    <w:rsid w:val="00D909FB"/>
    <w:rsid w:val="00D93E78"/>
    <w:rsid w:val="00DC6E91"/>
    <w:rsid w:val="00DC7514"/>
    <w:rsid w:val="00DD3845"/>
    <w:rsid w:val="00DE2A32"/>
    <w:rsid w:val="00DE531B"/>
    <w:rsid w:val="00E1687A"/>
    <w:rsid w:val="00E20A2E"/>
    <w:rsid w:val="00E277DE"/>
    <w:rsid w:val="00E27EE9"/>
    <w:rsid w:val="00E3239D"/>
    <w:rsid w:val="00E3439B"/>
    <w:rsid w:val="00E42C5F"/>
    <w:rsid w:val="00E56824"/>
    <w:rsid w:val="00E65A1B"/>
    <w:rsid w:val="00E72F1F"/>
    <w:rsid w:val="00E7627E"/>
    <w:rsid w:val="00E8543C"/>
    <w:rsid w:val="00E934AB"/>
    <w:rsid w:val="00EA06AC"/>
    <w:rsid w:val="00EA08BF"/>
    <w:rsid w:val="00EA24FB"/>
    <w:rsid w:val="00EA387F"/>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09D4"/>
    <w:rsid w:val="00FE3157"/>
    <w:rsid w:val="00FE6865"/>
    <w:rsid w:val="00FE6993"/>
    <w:rsid w:val="671807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rules v:ext="edit">
        <o:r id="V:Rule17" type="connector" idref="#AutoShape 11"/>
        <o:r id="V:Rule18" type="connector" idref="#AutoShape 26"/>
        <o:r id="V:Rule19" type="connector" idref="#AutoShape 12"/>
        <o:r id="V:Rule20" type="connector" idref="#AutoShape 38"/>
        <o:r id="V:Rule21" type="connector" idref="#AutoShape 27"/>
        <o:r id="V:Rule22" type="connector" idref="#AutoShape 29"/>
        <o:r id="V:Rule23" type="connector" idref="#AutoShape 19"/>
        <o:r id="V:Rule24" type="connector" idref="#AutoShape 15"/>
        <o:r id="V:Rule25" type="connector" idref="#AutoShape 34"/>
        <o:r id="V:Rule26" type="connector" idref="#AutoShape 13"/>
        <o:r id="V:Rule27" type="connector" idref="#AutoShape 35"/>
        <o:r id="V:Rule28" type="connector" idref="#AutoShape 9"/>
        <o:r id="V:Rule29" type="connector" idref="#AutoShape 30"/>
        <o:r id="V:Rule30" type="connector" idref="#AutoShape 17"/>
        <o:r id="V:Rule31" type="connector" idref="#AutoShape 10"/>
        <o:r id="V:Rule32"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FD9"/>
    <w:pPr>
      <w:widowControl w:val="0"/>
      <w:jc w:val="both"/>
    </w:pPr>
    <w:rPr>
      <w:kern w:val="2"/>
      <w:sz w:val="21"/>
      <w:szCs w:val="22"/>
    </w:rPr>
  </w:style>
  <w:style w:type="paragraph" w:styleId="1">
    <w:name w:val="heading 1"/>
    <w:basedOn w:val="a"/>
    <w:next w:val="a"/>
    <w:link w:val="1Char"/>
    <w:uiPriority w:val="9"/>
    <w:qFormat/>
    <w:rsid w:val="002A3FD9"/>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2A3FD9"/>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2A3FD9"/>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2A3FD9"/>
    <w:rPr>
      <w:rFonts w:ascii="宋体"/>
      <w:sz w:val="18"/>
      <w:szCs w:val="18"/>
    </w:rPr>
  </w:style>
  <w:style w:type="paragraph" w:styleId="a4">
    <w:name w:val="annotation text"/>
    <w:basedOn w:val="a"/>
    <w:link w:val="Char0"/>
    <w:uiPriority w:val="99"/>
    <w:unhideWhenUsed/>
    <w:qFormat/>
    <w:rsid w:val="002A3FD9"/>
    <w:pPr>
      <w:jc w:val="left"/>
    </w:pPr>
    <w:rPr>
      <w:rFonts w:ascii="Calibri" w:eastAsia="宋体" w:hAnsi="Calibri" w:cs="Times New Roman"/>
    </w:rPr>
  </w:style>
  <w:style w:type="paragraph" w:styleId="a5">
    <w:name w:val="Balloon Text"/>
    <w:basedOn w:val="a"/>
    <w:link w:val="Char1"/>
    <w:unhideWhenUsed/>
    <w:rsid w:val="002A3FD9"/>
    <w:rPr>
      <w:sz w:val="18"/>
      <w:szCs w:val="18"/>
    </w:rPr>
  </w:style>
  <w:style w:type="paragraph" w:styleId="a6">
    <w:name w:val="footer"/>
    <w:basedOn w:val="a"/>
    <w:link w:val="Char2"/>
    <w:uiPriority w:val="99"/>
    <w:unhideWhenUsed/>
    <w:rsid w:val="002A3FD9"/>
    <w:pPr>
      <w:tabs>
        <w:tab w:val="center" w:pos="4153"/>
        <w:tab w:val="right" w:pos="8306"/>
      </w:tabs>
      <w:snapToGrid w:val="0"/>
      <w:jc w:val="left"/>
    </w:pPr>
    <w:rPr>
      <w:sz w:val="18"/>
      <w:szCs w:val="18"/>
    </w:rPr>
  </w:style>
  <w:style w:type="paragraph" w:styleId="a7">
    <w:name w:val="header"/>
    <w:basedOn w:val="a"/>
    <w:link w:val="Char3"/>
    <w:uiPriority w:val="99"/>
    <w:unhideWhenUsed/>
    <w:rsid w:val="002A3FD9"/>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2A3FD9"/>
    <w:pPr>
      <w:snapToGrid w:val="0"/>
      <w:jc w:val="left"/>
    </w:pPr>
    <w:rPr>
      <w:rFonts w:ascii="Times New Roman" w:hAnsi="Times New Roman"/>
      <w:sz w:val="18"/>
      <w:szCs w:val="18"/>
    </w:rPr>
  </w:style>
  <w:style w:type="paragraph" w:styleId="HTML">
    <w:name w:val="HTML Preformatted"/>
    <w:basedOn w:val="a"/>
    <w:link w:val="HTMLChar"/>
    <w:uiPriority w:val="99"/>
    <w:unhideWhenUsed/>
    <w:rsid w:val="002A3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2A3FD9"/>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2A3F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2A3FD9"/>
    <w:rPr>
      <w:rFonts w:ascii="ˎ̥" w:hAnsi="ˎ̥" w:hint="default"/>
      <w:color w:val="0453CC"/>
      <w:sz w:val="20"/>
      <w:szCs w:val="20"/>
      <w:u w:val="none"/>
    </w:rPr>
  </w:style>
  <w:style w:type="character" w:styleId="ac">
    <w:name w:val="annotation reference"/>
    <w:basedOn w:val="a0"/>
    <w:semiHidden/>
    <w:unhideWhenUsed/>
    <w:qFormat/>
    <w:rsid w:val="002A3FD9"/>
    <w:rPr>
      <w:sz w:val="21"/>
      <w:szCs w:val="21"/>
    </w:rPr>
  </w:style>
  <w:style w:type="character" w:styleId="ad">
    <w:name w:val="footnote reference"/>
    <w:unhideWhenUsed/>
    <w:qFormat/>
    <w:rsid w:val="002A3FD9"/>
    <w:rPr>
      <w:rFonts w:ascii="Times New Roman" w:hAnsi="Times New Roman" w:cs="Times New Roman"/>
      <w:vertAlign w:val="superscript"/>
    </w:rPr>
  </w:style>
  <w:style w:type="character" w:customStyle="1" w:styleId="Char3">
    <w:name w:val="页眉 Char"/>
    <w:basedOn w:val="a0"/>
    <w:link w:val="a7"/>
    <w:uiPriority w:val="99"/>
    <w:rsid w:val="002A3FD9"/>
    <w:rPr>
      <w:sz w:val="18"/>
      <w:szCs w:val="18"/>
    </w:rPr>
  </w:style>
  <w:style w:type="character" w:customStyle="1" w:styleId="Char2">
    <w:name w:val="页脚 Char"/>
    <w:basedOn w:val="a0"/>
    <w:link w:val="a6"/>
    <w:uiPriority w:val="99"/>
    <w:rsid w:val="002A3FD9"/>
    <w:rPr>
      <w:sz w:val="18"/>
      <w:szCs w:val="18"/>
    </w:rPr>
  </w:style>
  <w:style w:type="paragraph" w:styleId="ae">
    <w:name w:val="List Paragraph"/>
    <w:basedOn w:val="a"/>
    <w:uiPriority w:val="34"/>
    <w:qFormat/>
    <w:rsid w:val="002A3FD9"/>
    <w:pPr>
      <w:ind w:firstLineChars="200" w:firstLine="420"/>
    </w:pPr>
  </w:style>
  <w:style w:type="character" w:customStyle="1" w:styleId="Char1">
    <w:name w:val="批注框文本 Char"/>
    <w:basedOn w:val="a0"/>
    <w:link w:val="a5"/>
    <w:semiHidden/>
    <w:rsid w:val="002A3FD9"/>
    <w:rPr>
      <w:sz w:val="18"/>
      <w:szCs w:val="18"/>
    </w:rPr>
  </w:style>
  <w:style w:type="character" w:customStyle="1" w:styleId="HTMLChar">
    <w:name w:val="HTML 预设格式 Char"/>
    <w:basedOn w:val="a0"/>
    <w:link w:val="HTML"/>
    <w:uiPriority w:val="99"/>
    <w:rsid w:val="002A3FD9"/>
    <w:rPr>
      <w:rFonts w:ascii="宋体" w:eastAsia="宋体" w:hAnsi="宋体" w:cs="宋体"/>
      <w:kern w:val="0"/>
      <w:sz w:val="24"/>
      <w:szCs w:val="24"/>
    </w:rPr>
  </w:style>
  <w:style w:type="paragraph" w:customStyle="1" w:styleId="Default">
    <w:name w:val="Default"/>
    <w:uiPriority w:val="99"/>
    <w:qFormat/>
    <w:rsid w:val="002A3FD9"/>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2A3FD9"/>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2A3FD9"/>
    <w:rPr>
      <w:rFonts w:ascii="Calibri" w:eastAsia="宋体" w:hAnsi="Calibri" w:cs="Times New Roman"/>
    </w:rPr>
  </w:style>
  <w:style w:type="paragraph" w:customStyle="1" w:styleId="10">
    <w:name w:val="修订1"/>
    <w:hidden/>
    <w:uiPriority w:val="99"/>
    <w:semiHidden/>
    <w:qFormat/>
    <w:rsid w:val="002A3FD9"/>
    <w:rPr>
      <w:kern w:val="2"/>
      <w:sz w:val="21"/>
      <w:szCs w:val="22"/>
    </w:rPr>
  </w:style>
  <w:style w:type="character" w:customStyle="1" w:styleId="1Char">
    <w:name w:val="标题 1 Char"/>
    <w:basedOn w:val="a0"/>
    <w:link w:val="1"/>
    <w:uiPriority w:val="9"/>
    <w:qFormat/>
    <w:rsid w:val="002A3FD9"/>
    <w:rPr>
      <w:rFonts w:ascii="黑体" w:eastAsia="黑体" w:hAnsi="黑体" w:cs="宋体"/>
      <w:color w:val="000000"/>
      <w:kern w:val="0"/>
      <w:sz w:val="30"/>
      <w:szCs w:val="30"/>
    </w:rPr>
  </w:style>
  <w:style w:type="character" w:customStyle="1" w:styleId="2Char">
    <w:name w:val="标题 2 Char"/>
    <w:basedOn w:val="a0"/>
    <w:link w:val="2"/>
    <w:qFormat/>
    <w:rsid w:val="002A3FD9"/>
    <w:rPr>
      <w:rFonts w:ascii="Cambria" w:eastAsia="宋体" w:hAnsi="Cambria" w:cs="Times New Roman"/>
      <w:b/>
      <w:bCs/>
      <w:sz w:val="32"/>
      <w:szCs w:val="32"/>
    </w:rPr>
  </w:style>
  <w:style w:type="character" w:customStyle="1" w:styleId="3Char">
    <w:name w:val="标题 3 Char"/>
    <w:basedOn w:val="a0"/>
    <w:link w:val="3"/>
    <w:uiPriority w:val="9"/>
    <w:qFormat/>
    <w:rsid w:val="002A3FD9"/>
    <w:rPr>
      <w:rFonts w:ascii="仿宋_GB2312" w:eastAsia="仿宋_GB2312" w:hAnsi="Calibri" w:cs="Times New Roman"/>
      <w:sz w:val="30"/>
      <w:szCs w:val="30"/>
    </w:rPr>
  </w:style>
  <w:style w:type="character" w:customStyle="1" w:styleId="Char4">
    <w:name w:val="脚注文本 Char"/>
    <w:basedOn w:val="a0"/>
    <w:uiPriority w:val="99"/>
    <w:semiHidden/>
    <w:qFormat/>
    <w:rsid w:val="002A3FD9"/>
    <w:rPr>
      <w:kern w:val="2"/>
      <w:sz w:val="18"/>
      <w:szCs w:val="18"/>
    </w:rPr>
  </w:style>
  <w:style w:type="character" w:customStyle="1" w:styleId="Char10">
    <w:name w:val="脚注文本 Char1"/>
    <w:basedOn w:val="a0"/>
    <w:link w:val="a8"/>
    <w:semiHidden/>
    <w:qFormat/>
    <w:rsid w:val="002A3FD9"/>
    <w:rPr>
      <w:rFonts w:ascii="Times New Roman" w:hAnsi="Times New Roman"/>
      <w:sz w:val="18"/>
      <w:szCs w:val="18"/>
    </w:rPr>
  </w:style>
  <w:style w:type="character" w:customStyle="1" w:styleId="4CharChar">
    <w:name w:val="标题 4 Char Char"/>
    <w:qFormat/>
    <w:rsid w:val="002A3FD9"/>
    <w:rPr>
      <w:rFonts w:ascii="Calibri" w:hAnsi="Calibri"/>
      <w:b/>
      <w:bCs/>
      <w:sz w:val="28"/>
      <w:szCs w:val="28"/>
      <w:lang w:eastAsia="en-US" w:bidi="en-US"/>
    </w:rPr>
  </w:style>
  <w:style w:type="character" w:customStyle="1" w:styleId="Char">
    <w:name w:val="文档结构图 Char"/>
    <w:basedOn w:val="a0"/>
    <w:link w:val="a3"/>
    <w:qFormat/>
    <w:rsid w:val="002A3FD9"/>
    <w:rPr>
      <w:rFonts w:ascii="宋体"/>
      <w:sz w:val="18"/>
      <w:szCs w:val="18"/>
    </w:rPr>
  </w:style>
  <w:style w:type="character" w:customStyle="1" w:styleId="Char11">
    <w:name w:val="批注文字 Char1"/>
    <w:basedOn w:val="a0"/>
    <w:uiPriority w:val="99"/>
    <w:semiHidden/>
    <w:qFormat/>
    <w:rsid w:val="002A3FD9"/>
    <w:rPr>
      <w:kern w:val="2"/>
      <w:sz w:val="21"/>
      <w:szCs w:val="22"/>
    </w:rPr>
  </w:style>
  <w:style w:type="character" w:customStyle="1" w:styleId="11">
    <w:name w:val="明显强调1"/>
    <w:basedOn w:val="a0"/>
    <w:uiPriority w:val="21"/>
    <w:qFormat/>
    <w:rsid w:val="002A3FD9"/>
    <w:rPr>
      <w:b/>
      <w:bCs/>
      <w:i/>
      <w:iCs/>
      <w:color w:val="4F81BD"/>
    </w:rPr>
  </w:style>
  <w:style w:type="character" w:customStyle="1" w:styleId="Char12">
    <w:name w:val="文档结构图 Char1"/>
    <w:basedOn w:val="a0"/>
    <w:uiPriority w:val="99"/>
    <w:semiHidden/>
    <w:qFormat/>
    <w:rsid w:val="002A3FD9"/>
    <w:rPr>
      <w:rFonts w:ascii="宋体" w:eastAsia="宋体"/>
      <w:sz w:val="18"/>
      <w:szCs w:val="18"/>
    </w:rPr>
  </w:style>
  <w:style w:type="character" w:customStyle="1" w:styleId="Char20">
    <w:name w:val="脚注文本 Char2"/>
    <w:basedOn w:val="a0"/>
    <w:uiPriority w:val="99"/>
    <w:semiHidden/>
    <w:qFormat/>
    <w:rsid w:val="002A3FD9"/>
    <w:rPr>
      <w:sz w:val="18"/>
      <w:szCs w:val="18"/>
    </w:rPr>
  </w:style>
  <w:style w:type="paragraph" w:customStyle="1" w:styleId="12">
    <w:name w:val="列出段落1"/>
    <w:basedOn w:val="a"/>
    <w:uiPriority w:val="34"/>
    <w:qFormat/>
    <w:rsid w:val="002A3FD9"/>
    <w:pPr>
      <w:ind w:firstLineChars="200" w:firstLine="420"/>
    </w:pPr>
    <w:rPr>
      <w:rFonts w:ascii="Calibri" w:eastAsia="宋体" w:hAnsi="Calibri" w:cs="Times New Roman"/>
    </w:rPr>
  </w:style>
  <w:style w:type="paragraph" w:customStyle="1" w:styleId="4">
    <w:name w:val="列出段落4"/>
    <w:basedOn w:val="a"/>
    <w:qFormat/>
    <w:rsid w:val="002A3FD9"/>
    <w:pPr>
      <w:ind w:firstLineChars="200" w:firstLine="200"/>
    </w:pPr>
    <w:rPr>
      <w:rFonts w:ascii="Calibri" w:eastAsia="宋体" w:hAnsi="Calibri" w:cs="Times New Roman"/>
    </w:rPr>
  </w:style>
  <w:style w:type="paragraph" w:customStyle="1" w:styleId="30">
    <w:name w:val="列出段落3"/>
    <w:basedOn w:val="a"/>
    <w:qFormat/>
    <w:rsid w:val="002A3FD9"/>
    <w:pPr>
      <w:ind w:firstLineChars="200" w:firstLine="420"/>
    </w:pPr>
    <w:rPr>
      <w:rFonts w:ascii="Times New Roman" w:eastAsia="宋体" w:hAnsi="Times New Roman" w:cs="Times New Roman"/>
      <w:szCs w:val="24"/>
    </w:rPr>
  </w:style>
  <w:style w:type="paragraph" w:customStyle="1" w:styleId="p0">
    <w:name w:val="p0"/>
    <w:basedOn w:val="a"/>
    <w:qFormat/>
    <w:rsid w:val="002A3FD9"/>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fe.gov.cn/shangha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C4DFB4-8573-4B22-AD84-6DACE911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蔡群</cp:lastModifiedBy>
  <cp:revision>22</cp:revision>
  <cp:lastPrinted>2020-07-02T09:04:00Z</cp:lastPrinted>
  <dcterms:created xsi:type="dcterms:W3CDTF">2020-03-18T05:48:00Z</dcterms:created>
  <dcterms:modified xsi:type="dcterms:W3CDTF">2021-09-22T06:44:00Z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