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05" w:rsidRPr="007D2083" w:rsidRDefault="00355505" w:rsidP="00355505">
      <w:pPr>
        <w:jc w:val="center"/>
        <w:rPr>
          <w:rFonts w:eastAsia="宋体"/>
          <w:b/>
          <w:bCs/>
          <w:sz w:val="28"/>
          <w:szCs w:val="28"/>
        </w:rPr>
      </w:pPr>
      <w:r w:rsidRPr="007D2083">
        <w:rPr>
          <w:rFonts w:hint="eastAsia"/>
          <w:b/>
          <w:bCs/>
          <w:sz w:val="28"/>
          <w:szCs w:val="28"/>
        </w:rPr>
        <w:t>直接投资存量权益登记操作手册</w:t>
      </w:r>
    </w:p>
    <w:p w:rsidR="00355505" w:rsidRDefault="00355505" w:rsidP="00355505">
      <w:pPr>
        <w:rPr>
          <w:b/>
          <w:bCs/>
          <w:sz w:val="24"/>
          <w:szCs w:val="24"/>
        </w:rPr>
      </w:pPr>
    </w:p>
    <w:p w:rsidR="00355505" w:rsidRPr="007D2083" w:rsidRDefault="00355505" w:rsidP="00355505">
      <w:pPr>
        <w:rPr>
          <w:b/>
          <w:bCs/>
          <w:sz w:val="24"/>
          <w:szCs w:val="24"/>
        </w:rPr>
      </w:pPr>
      <w:r w:rsidRPr="007D2083">
        <w:rPr>
          <w:rFonts w:hint="eastAsia"/>
          <w:b/>
          <w:bCs/>
          <w:sz w:val="24"/>
          <w:szCs w:val="24"/>
        </w:rPr>
        <w:t>一、登记流程</w:t>
      </w:r>
    </w:p>
    <w:p w:rsidR="00355505" w:rsidRPr="007D2083" w:rsidRDefault="00355505" w:rsidP="007D2083">
      <w:pPr>
        <w:ind w:firstLineChars="200" w:firstLine="420"/>
        <w:rPr>
          <w:szCs w:val="21"/>
        </w:rPr>
      </w:pPr>
      <w:r w:rsidRPr="007D2083">
        <w:rPr>
          <w:rFonts w:hint="eastAsia"/>
          <w:szCs w:val="21"/>
        </w:rPr>
        <w:t>1</w:t>
      </w:r>
      <w:r w:rsidRPr="007D2083">
        <w:rPr>
          <w:rFonts w:hint="eastAsia"/>
          <w:szCs w:val="21"/>
        </w:rPr>
        <w:t>、登陆国家外汇管理局应用服务平台（</w:t>
      </w:r>
      <w:r w:rsidRPr="007D2083">
        <w:rPr>
          <w:rFonts w:hint="eastAsia"/>
          <w:szCs w:val="21"/>
        </w:rPr>
        <w:t>http://asone.safesvc.gov.cn/asone/</w:t>
      </w:r>
      <w:r w:rsidRPr="007D2083">
        <w:rPr>
          <w:rFonts w:hint="eastAsia"/>
          <w:szCs w:val="21"/>
        </w:rPr>
        <w:t>）。</w:t>
      </w:r>
    </w:p>
    <w:p w:rsidR="00355505" w:rsidRPr="007D2083" w:rsidRDefault="00355505" w:rsidP="007D2083">
      <w:pPr>
        <w:ind w:firstLineChars="200" w:firstLine="420"/>
        <w:rPr>
          <w:szCs w:val="21"/>
        </w:rPr>
      </w:pPr>
      <w:r w:rsidRPr="007D2083">
        <w:rPr>
          <w:rFonts w:hint="eastAsia"/>
          <w:szCs w:val="21"/>
        </w:rPr>
        <w:t>2</w:t>
      </w:r>
      <w:r w:rsidRPr="007D2083">
        <w:rPr>
          <w:rFonts w:hint="eastAsia"/>
          <w:szCs w:val="21"/>
        </w:rPr>
        <w:t>、输入机构代码、用户代码、用户密码和验证码。</w:t>
      </w:r>
    </w:p>
    <w:p w:rsidR="00355505" w:rsidRPr="007D2083" w:rsidRDefault="00355505" w:rsidP="007D2083">
      <w:pPr>
        <w:ind w:firstLineChars="200" w:firstLine="420"/>
        <w:rPr>
          <w:szCs w:val="21"/>
        </w:rPr>
      </w:pPr>
      <w:r w:rsidRPr="007D2083">
        <w:rPr>
          <w:rFonts w:hint="eastAsia"/>
          <w:szCs w:val="21"/>
        </w:rPr>
        <w:t>注：为便于企业访问资本项目信息系统，解决往年存在的密码遗失和反复重置问题，外汇局统一给每个企业增加了专用的存量权益登记工作的业务操作员用户：用户代码为</w:t>
      </w:r>
      <w:r w:rsidRPr="007D2083">
        <w:rPr>
          <w:rFonts w:hint="eastAsia"/>
          <w:szCs w:val="21"/>
        </w:rPr>
        <w:t>quanyidj</w:t>
      </w:r>
      <w:r w:rsidRPr="007D2083">
        <w:rPr>
          <w:rFonts w:hint="eastAsia"/>
          <w:szCs w:val="21"/>
        </w:rPr>
        <w:t>，用户名称为存量登记专用操作员，登陆密码为</w:t>
      </w:r>
      <w:r w:rsidRPr="007D2083">
        <w:rPr>
          <w:rFonts w:hint="eastAsia"/>
          <w:szCs w:val="21"/>
        </w:rPr>
        <w:t>20150101Aa</w:t>
      </w:r>
      <w:r w:rsidRPr="007D2083">
        <w:rPr>
          <w:rFonts w:hint="eastAsia"/>
          <w:szCs w:val="21"/>
        </w:rPr>
        <w:t>。企业端已经存在的具有存量权益登记功能的用户仍可继续使用。</w:t>
      </w:r>
    </w:p>
    <w:p w:rsidR="00355505" w:rsidRPr="007D2083" w:rsidRDefault="00355505" w:rsidP="007D2083">
      <w:pPr>
        <w:numPr>
          <w:ilvl w:val="0"/>
          <w:numId w:val="1"/>
        </w:numPr>
        <w:ind w:firstLineChars="200" w:firstLine="420"/>
        <w:rPr>
          <w:szCs w:val="21"/>
        </w:rPr>
      </w:pPr>
      <w:r w:rsidRPr="007D2083">
        <w:rPr>
          <w:rFonts w:hint="eastAsia"/>
          <w:szCs w:val="21"/>
        </w:rPr>
        <w:t>登陆后，进入“资本项目信息系统（企业版）”，点击“</w:t>
      </w:r>
      <w:r w:rsidRPr="007D2083">
        <w:rPr>
          <w:rFonts w:hint="eastAsia"/>
          <w:szCs w:val="21"/>
        </w:rPr>
        <w:t>FDI</w:t>
      </w:r>
      <w:r w:rsidRPr="007D2083">
        <w:rPr>
          <w:rFonts w:hint="eastAsia"/>
          <w:szCs w:val="21"/>
        </w:rPr>
        <w:t>存量权益—存量权益报告”，见下图。</w:t>
      </w:r>
      <w:r w:rsidRPr="007D2083">
        <w:rPr>
          <w:rFonts w:hint="eastAsia"/>
          <w:szCs w:val="21"/>
        </w:rPr>
        <w:t xml:space="preserve"> </w:t>
      </w:r>
    </w:p>
    <w:p w:rsidR="00355505" w:rsidRDefault="00355505" w:rsidP="00355505">
      <w:r>
        <w:rPr>
          <w:noProof/>
        </w:rPr>
        <w:drawing>
          <wp:inline distT="0" distB="0" distL="0" distR="0">
            <wp:extent cx="5267325" cy="1352550"/>
            <wp:effectExtent l="19050" t="0" r="9525" b="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8"/>
                    <a:srcRect t="18585" b="47267"/>
                    <a:stretch>
                      <a:fillRect/>
                    </a:stretch>
                  </pic:blipFill>
                  <pic:spPr bwMode="auto">
                    <a:xfrm>
                      <a:off x="0" y="0"/>
                      <a:ext cx="5267325" cy="1352550"/>
                    </a:xfrm>
                    <a:prstGeom prst="rect">
                      <a:avLst/>
                    </a:prstGeom>
                    <a:noFill/>
                    <a:ln w="9525">
                      <a:noFill/>
                      <a:miter lim="800000"/>
                      <a:headEnd/>
                      <a:tailEnd/>
                    </a:ln>
                  </pic:spPr>
                </pic:pic>
              </a:graphicData>
            </a:graphic>
          </wp:inline>
        </w:drawing>
      </w:r>
    </w:p>
    <w:p w:rsidR="00355505" w:rsidRDefault="00355505" w:rsidP="00355505">
      <w:r>
        <w:rPr>
          <w:rFonts w:hint="eastAsia"/>
        </w:rPr>
        <w:t xml:space="preserve">    4</w:t>
      </w:r>
      <w:r>
        <w:rPr>
          <w:rFonts w:hint="eastAsia"/>
        </w:rPr>
        <w:t>、根据企业实际情况，选择“</w:t>
      </w:r>
      <w:r>
        <w:rPr>
          <w:rFonts w:hint="eastAsia"/>
        </w:rPr>
        <w:t>FDI</w:t>
      </w:r>
      <w:r>
        <w:rPr>
          <w:rFonts w:hint="eastAsia"/>
        </w:rPr>
        <w:t>存量权益报告”或“</w:t>
      </w:r>
      <w:r>
        <w:rPr>
          <w:rFonts w:hint="eastAsia"/>
        </w:rPr>
        <w:t>ODI</w:t>
      </w:r>
      <w:r>
        <w:rPr>
          <w:rFonts w:hint="eastAsia"/>
        </w:rPr>
        <w:t>存量权益报告”。</w:t>
      </w:r>
    </w:p>
    <w:p w:rsidR="00355505" w:rsidRDefault="00355505" w:rsidP="00355505">
      <w:r>
        <w:rPr>
          <w:rFonts w:hint="eastAsia"/>
        </w:rPr>
        <w:t xml:space="preserve">    </w:t>
      </w:r>
      <w:r>
        <w:rPr>
          <w:rFonts w:hint="eastAsia"/>
        </w:rPr>
        <w:t>（</w:t>
      </w:r>
      <w:r>
        <w:rPr>
          <w:rFonts w:hint="eastAsia"/>
        </w:rPr>
        <w:t>1</w:t>
      </w:r>
      <w:r>
        <w:rPr>
          <w:rFonts w:hint="eastAsia"/>
        </w:rPr>
        <w:t>）以</w:t>
      </w:r>
      <w:r>
        <w:rPr>
          <w:rFonts w:hint="eastAsia"/>
          <w:color w:val="000000"/>
        </w:rPr>
        <w:t>外商投资企业</w:t>
      </w:r>
      <w:r>
        <w:rPr>
          <w:rFonts w:hint="eastAsia"/>
        </w:rPr>
        <w:t>FDI</w:t>
      </w:r>
      <w:r>
        <w:rPr>
          <w:rFonts w:hint="eastAsia"/>
        </w:rPr>
        <w:t>存量权益登记为例，点击“</w:t>
      </w:r>
      <w:r>
        <w:rPr>
          <w:rFonts w:hint="eastAsia"/>
        </w:rPr>
        <w:t>FDI</w:t>
      </w:r>
      <w:r>
        <w:rPr>
          <w:rFonts w:hint="eastAsia"/>
        </w:rPr>
        <w:t>存量权益报告—</w:t>
      </w:r>
      <w:r>
        <w:rPr>
          <w:rFonts w:hint="eastAsia"/>
        </w:rPr>
        <w:t>FDI</w:t>
      </w:r>
      <w:r>
        <w:rPr>
          <w:rFonts w:hint="eastAsia"/>
        </w:rPr>
        <w:t>存量权益登记”，见下图。年度选择“</w:t>
      </w:r>
      <w:r>
        <w:rPr>
          <w:rFonts w:hint="eastAsia"/>
        </w:rPr>
        <w:t>2015</w:t>
      </w:r>
      <w:r>
        <w:rPr>
          <w:rFonts w:hint="eastAsia"/>
        </w:rPr>
        <w:t>”，点击“查询”按钮，跳出未申报的信息，再点击“小圆点”—“申报</w:t>
      </w:r>
      <w:r>
        <w:rPr>
          <w:rFonts w:hint="eastAsia"/>
        </w:rPr>
        <w:t>/</w:t>
      </w:r>
      <w:r>
        <w:rPr>
          <w:rFonts w:hint="eastAsia"/>
        </w:rPr>
        <w:t>修改”。</w:t>
      </w:r>
    </w:p>
    <w:p w:rsidR="00355505" w:rsidRDefault="00355505" w:rsidP="00355505">
      <w:pPr>
        <w:numPr>
          <w:ilvl w:val="0"/>
          <w:numId w:val="2"/>
        </w:numPr>
        <w:ind w:firstLineChars="200" w:firstLine="420"/>
      </w:pPr>
      <w:r>
        <w:rPr>
          <w:rFonts w:hint="eastAsia"/>
        </w:rPr>
        <w:t>以</w:t>
      </w:r>
      <w:r>
        <w:rPr>
          <w:rFonts w:hint="eastAsia"/>
          <w:color w:val="000000"/>
        </w:rPr>
        <w:t>境外投资企业</w:t>
      </w:r>
      <w:r>
        <w:rPr>
          <w:rFonts w:hint="eastAsia"/>
        </w:rPr>
        <w:t>ODI</w:t>
      </w:r>
      <w:r>
        <w:rPr>
          <w:rFonts w:hint="eastAsia"/>
        </w:rPr>
        <w:t>存量权益登记为例，点击“</w:t>
      </w:r>
      <w:r>
        <w:rPr>
          <w:rFonts w:hint="eastAsia"/>
        </w:rPr>
        <w:t>ODI</w:t>
      </w:r>
      <w:r>
        <w:rPr>
          <w:rFonts w:hint="eastAsia"/>
        </w:rPr>
        <w:t>存量权益报告—</w:t>
      </w:r>
      <w:r>
        <w:rPr>
          <w:rFonts w:hint="eastAsia"/>
        </w:rPr>
        <w:t>ODI</w:t>
      </w:r>
      <w:r>
        <w:rPr>
          <w:rFonts w:hint="eastAsia"/>
        </w:rPr>
        <w:t>存量权益登记”，后续方法同上。</w:t>
      </w:r>
    </w:p>
    <w:p w:rsidR="00355505" w:rsidRDefault="00063A76" w:rsidP="00355505">
      <w:r>
        <w:pict>
          <v:rect id="_x0000_s2058" style="position:absolute;left:0;text-align:left;margin-left:119.95pt;margin-top:107.95pt;width:58.55pt;height:7.45pt;z-index:251653632" fillcolor="#9cbee0" strokecolor="#739cc3" strokeweight="1.25pt">
            <v:fill color2="#bbd5f0" type="gradient">
              <o:fill v:ext="view" type="gradientUnscaled"/>
            </v:fill>
          </v:rect>
        </w:pict>
      </w:r>
      <w:r>
        <w:pict>
          <v:rect id="_x0000_s2051" style="position:absolute;left:0;text-align:left;margin-left:133.45pt;margin-top:50.85pt;width:62.2pt;height:6pt;z-index:251654656" fillcolor="#9cbee0" strokecolor="#739cc3" strokeweight="1.25pt">
            <v:fill color2="#bbd5f0" type="gradient">
              <o:fill v:ext="view" type="gradientUnscaled"/>
            </v:fill>
          </v:rect>
        </w:pict>
      </w:r>
      <w:r>
        <w:pict>
          <v:rect id="矩形 11" o:spid="_x0000_s2050" style="position:absolute;left:0;text-align:left;margin-left:131.9pt;margin-top:40.3pt;width:27.75pt;height:5.95pt;z-index:251655680" fillcolor="#9cbee0" strokecolor="#739cc3" strokeweight="1.25pt">
            <v:fill color2="#bbd5f0" type="gradient">
              <o:fill v:ext="view" type="gradientUnscaled"/>
            </v:fill>
          </v:rect>
        </w:pict>
      </w:r>
      <w:r w:rsidR="00355505">
        <w:rPr>
          <w:noProof/>
        </w:rPr>
        <w:drawing>
          <wp:inline distT="0" distB="0" distL="0" distR="0">
            <wp:extent cx="5267325" cy="1628775"/>
            <wp:effectExtent l="19050" t="0" r="9525" b="0"/>
            <wp:docPr id="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9">
                      <a:clrChange>
                        <a:clrFrom>
                          <a:srgbClr val="206FCC"/>
                        </a:clrFrom>
                        <a:clrTo>
                          <a:srgbClr val="206FCC">
                            <a:alpha val="0"/>
                          </a:srgbClr>
                        </a:clrTo>
                      </a:clrChange>
                    </a:blip>
                    <a:srcRect t="31383" b="27492"/>
                    <a:stretch>
                      <a:fillRect/>
                    </a:stretch>
                  </pic:blipFill>
                  <pic:spPr bwMode="auto">
                    <a:xfrm>
                      <a:off x="0" y="0"/>
                      <a:ext cx="5267325" cy="1628775"/>
                    </a:xfrm>
                    <a:prstGeom prst="rect">
                      <a:avLst/>
                    </a:prstGeom>
                    <a:noFill/>
                    <a:ln w="9525">
                      <a:noFill/>
                      <a:miter lim="800000"/>
                      <a:headEnd/>
                      <a:tailEnd/>
                    </a:ln>
                  </pic:spPr>
                </pic:pic>
              </a:graphicData>
            </a:graphic>
          </wp:inline>
        </w:drawing>
      </w:r>
    </w:p>
    <w:p w:rsidR="00355505" w:rsidRDefault="00355505" w:rsidP="00355505">
      <w:pPr>
        <w:rPr>
          <w:rFonts w:eastAsia="宋体"/>
        </w:rPr>
      </w:pPr>
      <w:r>
        <w:rPr>
          <w:rFonts w:hint="eastAsia"/>
        </w:rPr>
        <w:t xml:space="preserve">    5</w:t>
      </w:r>
      <w:r>
        <w:rPr>
          <w:rFonts w:hint="eastAsia"/>
        </w:rPr>
        <w:t>、填写基本信息，打※的必填。然后点击“下一步”或者“导入表格”。</w:t>
      </w:r>
    </w:p>
    <w:p w:rsidR="00355505" w:rsidRDefault="00063A76" w:rsidP="00355505">
      <w:r>
        <w:pict>
          <v:rect id="_x0000_s2057" style="position:absolute;left:0;text-align:left;margin-left:304.45pt;margin-top:72.7pt;width:58.55pt;height:7.45pt;z-index:251656704" fillcolor="#9cbee0" strokecolor="#739cc3" strokeweight="1.25pt">
            <v:fill color2="#bbd5f0" type="gradient">
              <o:fill v:ext="view" type="gradientUnscaled"/>
            </v:fill>
          </v:rect>
        </w:pict>
      </w:r>
      <w:r>
        <w:pict>
          <v:rect id="_x0000_s2056" style="position:absolute;left:0;text-align:left;margin-left:303.7pt;margin-top:25.45pt;width:58.55pt;height:7.45pt;z-index:251657728" fillcolor="#9cbee0" strokecolor="#739cc3" strokeweight="1.25pt">
            <v:fill color2="#bbd5f0" type="gradient">
              <o:fill v:ext="view" type="gradientUnscaled"/>
            </v:fill>
          </v:rect>
        </w:pict>
      </w:r>
      <w:r>
        <w:pict>
          <v:rect id="_x0000_s2053" style="position:absolute;left:0;text-align:left;margin-left:136.4pt;margin-top:72.55pt;width:27.75pt;height:5.95pt;z-index:251658752" fillcolor="#9cbee0" strokecolor="#739cc3" strokeweight="1.25pt">
            <v:fill color2="#bbd5f0" type="gradient">
              <o:fill v:ext="view" type="gradientUnscaled"/>
            </v:fill>
          </v:rect>
        </w:pict>
      </w:r>
      <w:r>
        <w:pict>
          <v:rect id="_x0000_s2052" style="position:absolute;left:0;text-align:left;margin-left:137.9pt;margin-top:26.05pt;width:27.75pt;height:5.95pt;z-index:251659776" fillcolor="#9cbee0" strokecolor="#739cc3" strokeweight="1.25pt">
            <v:fill color2="#bbd5f0" type="gradient">
              <o:fill v:ext="view" type="gradientUnscaled"/>
            </v:fill>
          </v:rect>
        </w:pict>
      </w:r>
      <w:r w:rsidR="00355505">
        <w:rPr>
          <w:noProof/>
        </w:rPr>
        <w:drawing>
          <wp:inline distT="0" distB="0" distL="0" distR="0">
            <wp:extent cx="5267325" cy="1762125"/>
            <wp:effectExtent l="19050" t="0" r="9525"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0"/>
                    <a:srcRect t="34276" b="21222"/>
                    <a:stretch>
                      <a:fillRect/>
                    </a:stretch>
                  </pic:blipFill>
                  <pic:spPr bwMode="auto">
                    <a:xfrm>
                      <a:off x="0" y="0"/>
                      <a:ext cx="5267325" cy="1762125"/>
                    </a:xfrm>
                    <a:prstGeom prst="rect">
                      <a:avLst/>
                    </a:prstGeom>
                    <a:noFill/>
                    <a:ln w="9525">
                      <a:noFill/>
                      <a:miter lim="800000"/>
                      <a:headEnd/>
                      <a:tailEnd/>
                    </a:ln>
                  </pic:spPr>
                </pic:pic>
              </a:graphicData>
            </a:graphic>
          </wp:inline>
        </w:drawing>
      </w:r>
    </w:p>
    <w:p w:rsidR="00355505" w:rsidRDefault="00355505" w:rsidP="00355505">
      <w:pPr>
        <w:ind w:firstLineChars="200" w:firstLine="420"/>
      </w:pPr>
      <w:r>
        <w:rPr>
          <w:rFonts w:hint="eastAsia"/>
        </w:rPr>
        <w:lastRenderedPageBreak/>
        <w:t>6</w:t>
      </w:r>
      <w:r>
        <w:rPr>
          <w:rFonts w:hint="eastAsia"/>
        </w:rPr>
        <w:t>、根据填写须知，完成“境内直接投资外方权益统计表”的填写，见下图。数据核对无误后，点击“提交外汇局”。</w:t>
      </w:r>
    </w:p>
    <w:p w:rsidR="00355505" w:rsidRDefault="00063A76" w:rsidP="00355505">
      <w:r>
        <w:pict>
          <v:rect id="_x0000_s2055" style="position:absolute;left:0;text-align:left;margin-left:282.7pt;margin-top:25.45pt;width:58.55pt;height:7.45pt;z-index:251660800" fillcolor="#9cbee0" strokecolor="#739cc3" strokeweight="1.25pt">
            <v:fill color2="#bbd5f0" type="gradient">
              <o:fill v:ext="view" type="gradientUnscaled"/>
            </v:fill>
          </v:rect>
        </w:pict>
      </w:r>
      <w:r>
        <w:pict>
          <v:rect id="_x0000_s2054" style="position:absolute;left:0;text-align:left;margin-left:326.15pt;margin-top:33.55pt;width:27.75pt;height:5.95pt;z-index:251661824" fillcolor="#9cbee0" strokecolor="#739cc3" strokeweight="1.25pt">
            <v:fill color2="#bbd5f0" type="gradient">
              <o:fill v:ext="view" type="gradientUnscaled"/>
            </v:fill>
          </v:rect>
        </w:pict>
      </w:r>
      <w:r w:rsidR="00355505">
        <w:rPr>
          <w:noProof/>
        </w:rPr>
        <w:drawing>
          <wp:inline distT="0" distB="0" distL="0" distR="0">
            <wp:extent cx="5267325" cy="1838325"/>
            <wp:effectExtent l="19050" t="0" r="9525" b="0"/>
            <wp:docPr id="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1">
                      <a:clrChange>
                        <a:clrFrom>
                          <a:srgbClr val="EFEDDE"/>
                        </a:clrFrom>
                        <a:clrTo>
                          <a:srgbClr val="EFEDDE">
                            <a:alpha val="0"/>
                          </a:srgbClr>
                        </a:clrTo>
                      </a:clrChange>
                    </a:blip>
                    <a:srcRect t="35242" b="18167"/>
                    <a:stretch>
                      <a:fillRect/>
                    </a:stretch>
                  </pic:blipFill>
                  <pic:spPr bwMode="auto">
                    <a:xfrm>
                      <a:off x="0" y="0"/>
                      <a:ext cx="5267325" cy="1838325"/>
                    </a:xfrm>
                    <a:prstGeom prst="rect">
                      <a:avLst/>
                    </a:prstGeom>
                    <a:noFill/>
                    <a:ln w="9525">
                      <a:noFill/>
                      <a:miter lim="800000"/>
                      <a:headEnd/>
                      <a:tailEnd/>
                    </a:ln>
                  </pic:spPr>
                </pic:pic>
              </a:graphicData>
            </a:graphic>
          </wp:inline>
        </w:drawing>
      </w:r>
      <w:r w:rsidR="00355505">
        <w:rPr>
          <w:noProof/>
        </w:rPr>
        <w:drawing>
          <wp:inline distT="0" distB="0" distL="0" distR="0">
            <wp:extent cx="5267325" cy="942975"/>
            <wp:effectExtent l="19050" t="0" r="9525" b="0"/>
            <wp:docPr id="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2"/>
                    <a:srcRect t="69003" b="7234"/>
                    <a:stretch>
                      <a:fillRect/>
                    </a:stretch>
                  </pic:blipFill>
                  <pic:spPr bwMode="auto">
                    <a:xfrm>
                      <a:off x="0" y="0"/>
                      <a:ext cx="5267325" cy="942975"/>
                    </a:xfrm>
                    <a:prstGeom prst="rect">
                      <a:avLst/>
                    </a:prstGeom>
                    <a:noFill/>
                    <a:ln w="9525">
                      <a:noFill/>
                      <a:miter lim="800000"/>
                      <a:headEnd/>
                      <a:tailEnd/>
                    </a:ln>
                  </pic:spPr>
                </pic:pic>
              </a:graphicData>
            </a:graphic>
          </wp:inline>
        </w:drawing>
      </w:r>
    </w:p>
    <w:p w:rsidR="00355505" w:rsidRDefault="00355505" w:rsidP="00355505"/>
    <w:p w:rsidR="00355505" w:rsidRDefault="00355505" w:rsidP="00355505">
      <w:r>
        <w:rPr>
          <w:rFonts w:hint="eastAsia"/>
          <w:b/>
          <w:bCs/>
          <w:sz w:val="24"/>
          <w:szCs w:val="24"/>
        </w:rPr>
        <w:t>二、注意事项</w:t>
      </w:r>
    </w:p>
    <w:p w:rsidR="00355505" w:rsidRDefault="00355505" w:rsidP="00355505">
      <w:r>
        <w:rPr>
          <w:rFonts w:hint="eastAsia"/>
        </w:rPr>
        <w:t xml:space="preserve">    1</w:t>
      </w:r>
      <w:r>
        <w:rPr>
          <w:rFonts w:hint="eastAsia"/>
        </w:rPr>
        <w:t>、外商投资企业选择</w:t>
      </w:r>
      <w:r>
        <w:rPr>
          <w:rFonts w:hint="eastAsia"/>
        </w:rPr>
        <w:t>FDI</w:t>
      </w:r>
      <w:r>
        <w:rPr>
          <w:rFonts w:hint="eastAsia"/>
        </w:rPr>
        <w:t>存量权益报告；境外直接投资企业选择</w:t>
      </w:r>
      <w:r>
        <w:rPr>
          <w:rFonts w:hint="eastAsia"/>
        </w:rPr>
        <w:t>ODI</w:t>
      </w:r>
      <w:r>
        <w:rPr>
          <w:rFonts w:hint="eastAsia"/>
        </w:rPr>
        <w:t>存量权益报告；既是外商投资企业，又存在境外直接投资业务，则以上两个报告需要分别选择并填报。</w:t>
      </w:r>
    </w:p>
    <w:p w:rsidR="00355505" w:rsidRDefault="00355505" w:rsidP="00355505">
      <w:pPr>
        <w:ind w:firstLineChars="200" w:firstLine="420"/>
      </w:pPr>
      <w:r>
        <w:rPr>
          <w:rFonts w:hint="eastAsia"/>
        </w:rPr>
        <w:t>2</w:t>
      </w:r>
      <w:r>
        <w:rPr>
          <w:rFonts w:hint="eastAsia"/>
        </w:rPr>
        <w:t>、认真阅读填写须知，特别注意填报币种、折算汇率、数据统计口径等。</w:t>
      </w:r>
    </w:p>
    <w:p w:rsidR="00355505" w:rsidRDefault="00355505" w:rsidP="00355505">
      <w:pPr>
        <w:ind w:firstLineChars="200" w:firstLine="420"/>
      </w:pPr>
      <w:r>
        <w:rPr>
          <w:rFonts w:hint="eastAsia"/>
        </w:rPr>
        <w:t>3</w:t>
      </w:r>
      <w:r>
        <w:rPr>
          <w:rFonts w:hint="eastAsia"/>
        </w:rPr>
        <w:t>、可自行或委托会计师事务所、银行通过外汇局资本项目信息系统报送上年末境内直接投资和境外直接投资存量权益数据。</w:t>
      </w:r>
    </w:p>
    <w:p w:rsidR="00355505" w:rsidRDefault="00355505" w:rsidP="00355505">
      <w:pPr>
        <w:ind w:firstLineChars="200" w:firstLine="420"/>
      </w:pPr>
      <w:r>
        <w:rPr>
          <w:rFonts w:hint="eastAsia"/>
        </w:rPr>
        <w:t>4</w:t>
      </w:r>
      <w:r>
        <w:rPr>
          <w:rFonts w:hint="eastAsia"/>
        </w:rPr>
        <w:t>、直接投资存量权益登记时间：</w:t>
      </w:r>
      <w:r>
        <w:rPr>
          <w:rFonts w:hint="eastAsia"/>
        </w:rPr>
        <w:t>1</w:t>
      </w:r>
      <w:r>
        <w:rPr>
          <w:rFonts w:hint="eastAsia"/>
        </w:rPr>
        <w:t>月</w:t>
      </w:r>
      <w:r>
        <w:rPr>
          <w:rFonts w:hint="eastAsia"/>
        </w:rPr>
        <w:t>1</w:t>
      </w:r>
      <w:r>
        <w:rPr>
          <w:rFonts w:hint="eastAsia"/>
        </w:rPr>
        <w:t>日至</w:t>
      </w:r>
      <w:r>
        <w:rPr>
          <w:rFonts w:hint="eastAsia"/>
        </w:rPr>
        <w:t>6</w:t>
      </w:r>
      <w:r>
        <w:rPr>
          <w:rFonts w:hint="eastAsia"/>
        </w:rPr>
        <w:t>月</w:t>
      </w:r>
      <w:r>
        <w:rPr>
          <w:rFonts w:hint="eastAsia"/>
        </w:rPr>
        <w:t>30</w:t>
      </w:r>
      <w:r>
        <w:rPr>
          <w:rFonts w:hint="eastAsia"/>
        </w:rPr>
        <w:t>日。</w:t>
      </w:r>
    </w:p>
    <w:p w:rsidR="00355505" w:rsidRDefault="00355505" w:rsidP="00355505">
      <w:pPr>
        <w:ind w:firstLineChars="200" w:firstLine="420"/>
      </w:pPr>
      <w:r>
        <w:rPr>
          <w:rFonts w:hint="eastAsia"/>
        </w:rPr>
        <w:t>5</w:t>
      </w:r>
      <w:r>
        <w:rPr>
          <w:rFonts w:hint="eastAsia"/>
        </w:rPr>
        <w:t>、外汇局于每年</w:t>
      </w:r>
      <w:r>
        <w:rPr>
          <w:rFonts w:hint="eastAsia"/>
        </w:rPr>
        <w:t>6</w:t>
      </w:r>
      <w:r>
        <w:rPr>
          <w:rFonts w:hint="eastAsia"/>
        </w:rPr>
        <w:t>月</w:t>
      </w:r>
      <w:r>
        <w:rPr>
          <w:rFonts w:hint="eastAsia"/>
        </w:rPr>
        <w:t>30</w:t>
      </w:r>
      <w:r>
        <w:rPr>
          <w:rFonts w:hint="eastAsia"/>
        </w:rPr>
        <w:t>日</w:t>
      </w:r>
      <w:r w:rsidR="005D41C2">
        <w:rPr>
          <w:rFonts w:hint="eastAsia"/>
        </w:rPr>
        <w:t>（</w:t>
      </w:r>
      <w:r w:rsidR="005D41C2">
        <w:rPr>
          <w:rFonts w:hint="eastAsia"/>
        </w:rPr>
        <w:t>2017</w:t>
      </w:r>
      <w:r w:rsidR="005D41C2">
        <w:rPr>
          <w:rFonts w:hint="eastAsia"/>
        </w:rPr>
        <w:t>年为过渡年，可放宽至</w:t>
      </w:r>
      <w:r w:rsidR="005D41C2">
        <w:rPr>
          <w:rFonts w:hint="eastAsia"/>
        </w:rPr>
        <w:t>2017</w:t>
      </w:r>
      <w:r w:rsidR="005D41C2">
        <w:rPr>
          <w:rFonts w:hint="eastAsia"/>
        </w:rPr>
        <w:t>年</w:t>
      </w:r>
      <w:r w:rsidR="005D41C2">
        <w:rPr>
          <w:rFonts w:hint="eastAsia"/>
        </w:rPr>
        <w:t>9</w:t>
      </w:r>
      <w:r w:rsidR="005D41C2">
        <w:rPr>
          <w:rFonts w:hint="eastAsia"/>
        </w:rPr>
        <w:t>月</w:t>
      </w:r>
      <w:r w:rsidR="005D41C2">
        <w:rPr>
          <w:rFonts w:hint="eastAsia"/>
        </w:rPr>
        <w:t>30</w:t>
      </w:r>
      <w:r w:rsidR="005D41C2">
        <w:rPr>
          <w:rFonts w:hint="eastAsia"/>
        </w:rPr>
        <w:t>日）</w:t>
      </w:r>
      <w:r>
        <w:rPr>
          <w:rFonts w:hint="eastAsia"/>
        </w:rPr>
        <w:t>后对未按规定办理直接投资存量权益登记的企业进行业务管控，银行不得为其办理资本项下外汇业务。</w:t>
      </w:r>
    </w:p>
    <w:p w:rsidR="00355505" w:rsidRPr="009419D1" w:rsidRDefault="00355505" w:rsidP="00355505">
      <w:pPr>
        <w:ind w:firstLineChars="200" w:firstLine="420"/>
      </w:pPr>
    </w:p>
    <w:p w:rsidR="00355505" w:rsidRDefault="00355505" w:rsidP="00355505">
      <w:pPr>
        <w:ind w:firstLineChars="200" w:firstLine="420"/>
      </w:pPr>
    </w:p>
    <w:p w:rsidR="00355505" w:rsidRDefault="00355505" w:rsidP="00355505">
      <w:pPr>
        <w:ind w:firstLineChars="200" w:firstLine="420"/>
      </w:pPr>
    </w:p>
    <w:p w:rsidR="00355505" w:rsidRDefault="00355505" w:rsidP="00355505">
      <w:pPr>
        <w:ind w:firstLineChars="200" w:firstLine="420"/>
      </w:pPr>
    </w:p>
    <w:p w:rsidR="00355505" w:rsidRPr="00D56848" w:rsidRDefault="00355505" w:rsidP="00355505"/>
    <w:p w:rsidR="00494ECD" w:rsidRPr="00355505" w:rsidRDefault="00494ECD" w:rsidP="00355505">
      <w:pPr>
        <w:ind w:firstLineChars="247" w:firstLine="741"/>
        <w:rPr>
          <w:rFonts w:ascii="仿宋_GB2312" w:eastAsia="仿宋_GB2312"/>
          <w:sz w:val="30"/>
          <w:szCs w:val="30"/>
        </w:rPr>
      </w:pPr>
    </w:p>
    <w:sectPr w:rsidR="00494ECD" w:rsidRPr="00355505" w:rsidSect="00091948">
      <w:footerReference w:type="default" r:id="rId13"/>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8A8" w:rsidRDefault="00D858A8" w:rsidP="003C133E">
      <w:r>
        <w:separator/>
      </w:r>
    </w:p>
  </w:endnote>
  <w:endnote w:type="continuationSeparator" w:id="1">
    <w:p w:rsidR="00D858A8" w:rsidRDefault="00D858A8" w:rsidP="003C13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61704"/>
      <w:docPartObj>
        <w:docPartGallery w:val="Page Numbers (Bottom of Page)"/>
        <w:docPartUnique/>
      </w:docPartObj>
    </w:sdtPr>
    <w:sdtContent>
      <w:p w:rsidR="00B029BB" w:rsidRDefault="00063A76">
        <w:pPr>
          <w:pStyle w:val="a4"/>
          <w:jc w:val="center"/>
        </w:pPr>
        <w:fldSimple w:instr=" PAGE   \* MERGEFORMAT ">
          <w:r w:rsidR="005D41C2" w:rsidRPr="005D41C2">
            <w:rPr>
              <w:noProof/>
              <w:lang w:val="zh-CN"/>
            </w:rPr>
            <w:t>0</w:t>
          </w:r>
        </w:fldSimple>
      </w:p>
    </w:sdtContent>
  </w:sdt>
  <w:p w:rsidR="00B029BB" w:rsidRDefault="00B029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8A8" w:rsidRDefault="00D858A8" w:rsidP="003C133E">
      <w:r>
        <w:separator/>
      </w:r>
    </w:p>
  </w:footnote>
  <w:footnote w:type="continuationSeparator" w:id="1">
    <w:p w:rsidR="00D858A8" w:rsidRDefault="00D858A8" w:rsidP="003C1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C6624"/>
    <w:multiLevelType w:val="singleLevel"/>
    <w:tmpl w:val="55AC6624"/>
    <w:lvl w:ilvl="0">
      <w:start w:val="3"/>
      <w:numFmt w:val="decimal"/>
      <w:suff w:val="nothing"/>
      <w:lvlText w:val="%1、"/>
      <w:lvlJc w:val="left"/>
    </w:lvl>
  </w:abstractNum>
  <w:abstractNum w:abstractNumId="1">
    <w:nsid w:val="55ADAAB7"/>
    <w:multiLevelType w:val="singleLevel"/>
    <w:tmpl w:val="55ADAAB7"/>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33E"/>
    <w:rsid w:val="00003CCC"/>
    <w:rsid w:val="000105A0"/>
    <w:rsid w:val="000348CF"/>
    <w:rsid w:val="00043540"/>
    <w:rsid w:val="000556CC"/>
    <w:rsid w:val="000563E4"/>
    <w:rsid w:val="00057F93"/>
    <w:rsid w:val="00060A17"/>
    <w:rsid w:val="00063A76"/>
    <w:rsid w:val="000645A7"/>
    <w:rsid w:val="00071C76"/>
    <w:rsid w:val="0008224C"/>
    <w:rsid w:val="00091948"/>
    <w:rsid w:val="000959EF"/>
    <w:rsid w:val="00095D06"/>
    <w:rsid w:val="000A413B"/>
    <w:rsid w:val="000B7C70"/>
    <w:rsid w:val="000D0376"/>
    <w:rsid w:val="000D396E"/>
    <w:rsid w:val="000D6C99"/>
    <w:rsid w:val="000E1C90"/>
    <w:rsid w:val="000E243F"/>
    <w:rsid w:val="000E34F9"/>
    <w:rsid w:val="000F11A1"/>
    <w:rsid w:val="0010654A"/>
    <w:rsid w:val="00112C2F"/>
    <w:rsid w:val="00112CBF"/>
    <w:rsid w:val="0012713D"/>
    <w:rsid w:val="00127BD8"/>
    <w:rsid w:val="00131925"/>
    <w:rsid w:val="00137C9E"/>
    <w:rsid w:val="00145AB4"/>
    <w:rsid w:val="00146D8F"/>
    <w:rsid w:val="00153DDA"/>
    <w:rsid w:val="00154017"/>
    <w:rsid w:val="00160DB8"/>
    <w:rsid w:val="00162360"/>
    <w:rsid w:val="00165535"/>
    <w:rsid w:val="00165D88"/>
    <w:rsid w:val="001721AB"/>
    <w:rsid w:val="00174FF5"/>
    <w:rsid w:val="001762B9"/>
    <w:rsid w:val="001823C3"/>
    <w:rsid w:val="00184612"/>
    <w:rsid w:val="001930BB"/>
    <w:rsid w:val="00194FD4"/>
    <w:rsid w:val="001A5C3B"/>
    <w:rsid w:val="001B05BC"/>
    <w:rsid w:val="001C7C46"/>
    <w:rsid w:val="001D4F71"/>
    <w:rsid w:val="001E0628"/>
    <w:rsid w:val="001E25BD"/>
    <w:rsid w:val="001E2C60"/>
    <w:rsid w:val="001E518A"/>
    <w:rsid w:val="001E568A"/>
    <w:rsid w:val="001F5F78"/>
    <w:rsid w:val="00206B54"/>
    <w:rsid w:val="00216F2C"/>
    <w:rsid w:val="002203E9"/>
    <w:rsid w:val="00221EC5"/>
    <w:rsid w:val="00222E4A"/>
    <w:rsid w:val="0022399A"/>
    <w:rsid w:val="00233532"/>
    <w:rsid w:val="00234CE2"/>
    <w:rsid w:val="00243026"/>
    <w:rsid w:val="00247A03"/>
    <w:rsid w:val="0025018C"/>
    <w:rsid w:val="00252647"/>
    <w:rsid w:val="002550EE"/>
    <w:rsid w:val="002577C0"/>
    <w:rsid w:val="00260A7C"/>
    <w:rsid w:val="00262077"/>
    <w:rsid w:val="00264A79"/>
    <w:rsid w:val="00265271"/>
    <w:rsid w:val="00276E0E"/>
    <w:rsid w:val="002827CE"/>
    <w:rsid w:val="00284946"/>
    <w:rsid w:val="00287AAB"/>
    <w:rsid w:val="00290410"/>
    <w:rsid w:val="0029087E"/>
    <w:rsid w:val="00292A6A"/>
    <w:rsid w:val="002A090A"/>
    <w:rsid w:val="002A11BF"/>
    <w:rsid w:val="002B5D03"/>
    <w:rsid w:val="002B7617"/>
    <w:rsid w:val="002C1C20"/>
    <w:rsid w:val="002C218E"/>
    <w:rsid w:val="002C6DDA"/>
    <w:rsid w:val="002C7DEA"/>
    <w:rsid w:val="002D0F3E"/>
    <w:rsid w:val="002D3E61"/>
    <w:rsid w:val="002E150E"/>
    <w:rsid w:val="002E34A2"/>
    <w:rsid w:val="002E6A14"/>
    <w:rsid w:val="00300751"/>
    <w:rsid w:val="0031080E"/>
    <w:rsid w:val="00320251"/>
    <w:rsid w:val="003308CE"/>
    <w:rsid w:val="0035146A"/>
    <w:rsid w:val="00351920"/>
    <w:rsid w:val="00355505"/>
    <w:rsid w:val="00394AAB"/>
    <w:rsid w:val="00397AF2"/>
    <w:rsid w:val="003B1C4A"/>
    <w:rsid w:val="003B6539"/>
    <w:rsid w:val="003B69CD"/>
    <w:rsid w:val="003C133E"/>
    <w:rsid w:val="003C34E3"/>
    <w:rsid w:val="003C3DC2"/>
    <w:rsid w:val="003D3F9B"/>
    <w:rsid w:val="003E1272"/>
    <w:rsid w:val="003E34A3"/>
    <w:rsid w:val="004018E6"/>
    <w:rsid w:val="00402180"/>
    <w:rsid w:val="004155DA"/>
    <w:rsid w:val="004179DC"/>
    <w:rsid w:val="0042107F"/>
    <w:rsid w:val="0042271D"/>
    <w:rsid w:val="00422DD7"/>
    <w:rsid w:val="00441309"/>
    <w:rsid w:val="004452BE"/>
    <w:rsid w:val="00462DAD"/>
    <w:rsid w:val="00470826"/>
    <w:rsid w:val="00486C33"/>
    <w:rsid w:val="00490392"/>
    <w:rsid w:val="0049166C"/>
    <w:rsid w:val="00492583"/>
    <w:rsid w:val="00493AE0"/>
    <w:rsid w:val="00494ECD"/>
    <w:rsid w:val="00495D50"/>
    <w:rsid w:val="004974A8"/>
    <w:rsid w:val="004B3B8A"/>
    <w:rsid w:val="004B3D4B"/>
    <w:rsid w:val="004B7086"/>
    <w:rsid w:val="004B7C06"/>
    <w:rsid w:val="004C1695"/>
    <w:rsid w:val="004C56DE"/>
    <w:rsid w:val="004C75FA"/>
    <w:rsid w:val="004C7B25"/>
    <w:rsid w:val="004E1B67"/>
    <w:rsid w:val="004E2CFF"/>
    <w:rsid w:val="004F26EF"/>
    <w:rsid w:val="004F2F5B"/>
    <w:rsid w:val="004F5C2D"/>
    <w:rsid w:val="004F6C53"/>
    <w:rsid w:val="00504499"/>
    <w:rsid w:val="0050566A"/>
    <w:rsid w:val="00505E4B"/>
    <w:rsid w:val="0051692C"/>
    <w:rsid w:val="005322A3"/>
    <w:rsid w:val="00536C38"/>
    <w:rsid w:val="0054420B"/>
    <w:rsid w:val="00544893"/>
    <w:rsid w:val="00552888"/>
    <w:rsid w:val="00554655"/>
    <w:rsid w:val="00555E7B"/>
    <w:rsid w:val="00557F85"/>
    <w:rsid w:val="00561076"/>
    <w:rsid w:val="00564576"/>
    <w:rsid w:val="005655FF"/>
    <w:rsid w:val="00570509"/>
    <w:rsid w:val="00570C61"/>
    <w:rsid w:val="005747C6"/>
    <w:rsid w:val="00577FC8"/>
    <w:rsid w:val="00582DA4"/>
    <w:rsid w:val="0058573B"/>
    <w:rsid w:val="005905A2"/>
    <w:rsid w:val="0059267A"/>
    <w:rsid w:val="005973B0"/>
    <w:rsid w:val="005A25F9"/>
    <w:rsid w:val="005A2D8A"/>
    <w:rsid w:val="005A7D30"/>
    <w:rsid w:val="005B737F"/>
    <w:rsid w:val="005B75AC"/>
    <w:rsid w:val="005C16CF"/>
    <w:rsid w:val="005C7C7D"/>
    <w:rsid w:val="005D41C2"/>
    <w:rsid w:val="005E0533"/>
    <w:rsid w:val="005E16DC"/>
    <w:rsid w:val="005F7CDF"/>
    <w:rsid w:val="00603DDE"/>
    <w:rsid w:val="00605B84"/>
    <w:rsid w:val="0060796E"/>
    <w:rsid w:val="00610494"/>
    <w:rsid w:val="0061088B"/>
    <w:rsid w:val="00613148"/>
    <w:rsid w:val="00615479"/>
    <w:rsid w:val="006157F2"/>
    <w:rsid w:val="00625B33"/>
    <w:rsid w:val="00635F78"/>
    <w:rsid w:val="00647735"/>
    <w:rsid w:val="0066001F"/>
    <w:rsid w:val="00662C3D"/>
    <w:rsid w:val="00663B37"/>
    <w:rsid w:val="00673829"/>
    <w:rsid w:val="006739B4"/>
    <w:rsid w:val="006836D9"/>
    <w:rsid w:val="00690440"/>
    <w:rsid w:val="006907F4"/>
    <w:rsid w:val="0069094F"/>
    <w:rsid w:val="00696B13"/>
    <w:rsid w:val="006A7087"/>
    <w:rsid w:val="006B47D8"/>
    <w:rsid w:val="006B4AEA"/>
    <w:rsid w:val="006B4DC3"/>
    <w:rsid w:val="006B5969"/>
    <w:rsid w:val="006C2C51"/>
    <w:rsid w:val="006D323B"/>
    <w:rsid w:val="006D3588"/>
    <w:rsid w:val="006D3BFD"/>
    <w:rsid w:val="006D566D"/>
    <w:rsid w:val="006E0481"/>
    <w:rsid w:val="006E7879"/>
    <w:rsid w:val="007003DC"/>
    <w:rsid w:val="00700B62"/>
    <w:rsid w:val="00701E36"/>
    <w:rsid w:val="0070397C"/>
    <w:rsid w:val="0070535A"/>
    <w:rsid w:val="00707949"/>
    <w:rsid w:val="007114A2"/>
    <w:rsid w:val="00715B15"/>
    <w:rsid w:val="00717120"/>
    <w:rsid w:val="00726CF9"/>
    <w:rsid w:val="00730FAC"/>
    <w:rsid w:val="0073198A"/>
    <w:rsid w:val="00736DB6"/>
    <w:rsid w:val="007403E4"/>
    <w:rsid w:val="00751854"/>
    <w:rsid w:val="00753BC7"/>
    <w:rsid w:val="007618A6"/>
    <w:rsid w:val="00761CDD"/>
    <w:rsid w:val="007652DC"/>
    <w:rsid w:val="007653E5"/>
    <w:rsid w:val="00770271"/>
    <w:rsid w:val="00772176"/>
    <w:rsid w:val="0077521D"/>
    <w:rsid w:val="00783C91"/>
    <w:rsid w:val="00783DF8"/>
    <w:rsid w:val="00784C05"/>
    <w:rsid w:val="0079306A"/>
    <w:rsid w:val="0079405A"/>
    <w:rsid w:val="007A07A1"/>
    <w:rsid w:val="007A4C1A"/>
    <w:rsid w:val="007A69DB"/>
    <w:rsid w:val="007B1849"/>
    <w:rsid w:val="007B6915"/>
    <w:rsid w:val="007B6A68"/>
    <w:rsid w:val="007C0448"/>
    <w:rsid w:val="007C50FF"/>
    <w:rsid w:val="007C56DA"/>
    <w:rsid w:val="007D2083"/>
    <w:rsid w:val="007D3A7E"/>
    <w:rsid w:val="007E3241"/>
    <w:rsid w:val="007F0313"/>
    <w:rsid w:val="007F0591"/>
    <w:rsid w:val="007F249C"/>
    <w:rsid w:val="007F24F5"/>
    <w:rsid w:val="007F37F5"/>
    <w:rsid w:val="007F6B2B"/>
    <w:rsid w:val="008143A5"/>
    <w:rsid w:val="00817765"/>
    <w:rsid w:val="0082122F"/>
    <w:rsid w:val="00827FF7"/>
    <w:rsid w:val="00843B64"/>
    <w:rsid w:val="0084522C"/>
    <w:rsid w:val="00845B66"/>
    <w:rsid w:val="00846037"/>
    <w:rsid w:val="008501A8"/>
    <w:rsid w:val="008504BC"/>
    <w:rsid w:val="008539C7"/>
    <w:rsid w:val="008570C6"/>
    <w:rsid w:val="00864199"/>
    <w:rsid w:val="008760A7"/>
    <w:rsid w:val="00886589"/>
    <w:rsid w:val="00887A70"/>
    <w:rsid w:val="008A6D50"/>
    <w:rsid w:val="008A7A2E"/>
    <w:rsid w:val="008B5627"/>
    <w:rsid w:val="008C683F"/>
    <w:rsid w:val="008E1083"/>
    <w:rsid w:val="008E615F"/>
    <w:rsid w:val="009128C6"/>
    <w:rsid w:val="009144C1"/>
    <w:rsid w:val="00932DDE"/>
    <w:rsid w:val="00935AB3"/>
    <w:rsid w:val="00936C53"/>
    <w:rsid w:val="009520F3"/>
    <w:rsid w:val="00953730"/>
    <w:rsid w:val="009557C2"/>
    <w:rsid w:val="00955FD8"/>
    <w:rsid w:val="00956BBE"/>
    <w:rsid w:val="0095715D"/>
    <w:rsid w:val="0096085B"/>
    <w:rsid w:val="00982E1F"/>
    <w:rsid w:val="0098349F"/>
    <w:rsid w:val="00987A5C"/>
    <w:rsid w:val="00993DDE"/>
    <w:rsid w:val="00995F97"/>
    <w:rsid w:val="00997C91"/>
    <w:rsid w:val="009A149F"/>
    <w:rsid w:val="009B2D96"/>
    <w:rsid w:val="009B3D9A"/>
    <w:rsid w:val="009B3DE4"/>
    <w:rsid w:val="009B6860"/>
    <w:rsid w:val="009C11AB"/>
    <w:rsid w:val="009D02F1"/>
    <w:rsid w:val="009D038C"/>
    <w:rsid w:val="009D144F"/>
    <w:rsid w:val="009D348E"/>
    <w:rsid w:val="009D4BCC"/>
    <w:rsid w:val="009D65AA"/>
    <w:rsid w:val="009D6EDF"/>
    <w:rsid w:val="009E0052"/>
    <w:rsid w:val="009E55C8"/>
    <w:rsid w:val="009E7A02"/>
    <w:rsid w:val="009F1077"/>
    <w:rsid w:val="00A04CBE"/>
    <w:rsid w:val="00A13F6B"/>
    <w:rsid w:val="00A162FD"/>
    <w:rsid w:val="00A206AE"/>
    <w:rsid w:val="00A229AC"/>
    <w:rsid w:val="00A24503"/>
    <w:rsid w:val="00A300D9"/>
    <w:rsid w:val="00A4315B"/>
    <w:rsid w:val="00A50B2B"/>
    <w:rsid w:val="00A51983"/>
    <w:rsid w:val="00A60FD9"/>
    <w:rsid w:val="00A70320"/>
    <w:rsid w:val="00A74CE2"/>
    <w:rsid w:val="00A81812"/>
    <w:rsid w:val="00A82820"/>
    <w:rsid w:val="00A83670"/>
    <w:rsid w:val="00A84E1D"/>
    <w:rsid w:val="00A84FE5"/>
    <w:rsid w:val="00A90636"/>
    <w:rsid w:val="00A924EB"/>
    <w:rsid w:val="00A92638"/>
    <w:rsid w:val="00AA7430"/>
    <w:rsid w:val="00AB09BD"/>
    <w:rsid w:val="00AB347B"/>
    <w:rsid w:val="00AB3575"/>
    <w:rsid w:val="00AB49E0"/>
    <w:rsid w:val="00AB7336"/>
    <w:rsid w:val="00AD1281"/>
    <w:rsid w:val="00AD69F5"/>
    <w:rsid w:val="00AE74E6"/>
    <w:rsid w:val="00AF0BF7"/>
    <w:rsid w:val="00AF7681"/>
    <w:rsid w:val="00B029BB"/>
    <w:rsid w:val="00B07BF1"/>
    <w:rsid w:val="00B15081"/>
    <w:rsid w:val="00B168B9"/>
    <w:rsid w:val="00B17C1A"/>
    <w:rsid w:val="00B42735"/>
    <w:rsid w:val="00B429E0"/>
    <w:rsid w:val="00B43F3E"/>
    <w:rsid w:val="00B50968"/>
    <w:rsid w:val="00B54CAC"/>
    <w:rsid w:val="00B572E5"/>
    <w:rsid w:val="00B61585"/>
    <w:rsid w:val="00B62A15"/>
    <w:rsid w:val="00B81572"/>
    <w:rsid w:val="00B842FC"/>
    <w:rsid w:val="00BA7C6D"/>
    <w:rsid w:val="00BB5789"/>
    <w:rsid w:val="00BC0539"/>
    <w:rsid w:val="00BC5371"/>
    <w:rsid w:val="00BD0A6C"/>
    <w:rsid w:val="00BE6FC4"/>
    <w:rsid w:val="00BF59DE"/>
    <w:rsid w:val="00C1092A"/>
    <w:rsid w:val="00C11D4B"/>
    <w:rsid w:val="00C13BFF"/>
    <w:rsid w:val="00C2128A"/>
    <w:rsid w:val="00C2691C"/>
    <w:rsid w:val="00C307E5"/>
    <w:rsid w:val="00C52970"/>
    <w:rsid w:val="00C635D7"/>
    <w:rsid w:val="00C65347"/>
    <w:rsid w:val="00C66C7E"/>
    <w:rsid w:val="00C753E1"/>
    <w:rsid w:val="00C84C2B"/>
    <w:rsid w:val="00C853BB"/>
    <w:rsid w:val="00C90EC9"/>
    <w:rsid w:val="00CA1042"/>
    <w:rsid w:val="00CA690F"/>
    <w:rsid w:val="00CA778B"/>
    <w:rsid w:val="00CB0DBA"/>
    <w:rsid w:val="00CB142D"/>
    <w:rsid w:val="00CB1656"/>
    <w:rsid w:val="00CB23B6"/>
    <w:rsid w:val="00CB4A9E"/>
    <w:rsid w:val="00CC24C1"/>
    <w:rsid w:val="00CC544B"/>
    <w:rsid w:val="00CD31C3"/>
    <w:rsid w:val="00CD4958"/>
    <w:rsid w:val="00CE0E7D"/>
    <w:rsid w:val="00CE64E0"/>
    <w:rsid w:val="00CF0E4F"/>
    <w:rsid w:val="00CF578B"/>
    <w:rsid w:val="00CF7156"/>
    <w:rsid w:val="00D0616D"/>
    <w:rsid w:val="00D203A6"/>
    <w:rsid w:val="00D21FEB"/>
    <w:rsid w:val="00D23C75"/>
    <w:rsid w:val="00D45C72"/>
    <w:rsid w:val="00D53499"/>
    <w:rsid w:val="00D603E2"/>
    <w:rsid w:val="00D73391"/>
    <w:rsid w:val="00D757F1"/>
    <w:rsid w:val="00D858A8"/>
    <w:rsid w:val="00D86946"/>
    <w:rsid w:val="00D91FBB"/>
    <w:rsid w:val="00D95AD2"/>
    <w:rsid w:val="00D97709"/>
    <w:rsid w:val="00DA7B7F"/>
    <w:rsid w:val="00DB0752"/>
    <w:rsid w:val="00DB131E"/>
    <w:rsid w:val="00DB22DB"/>
    <w:rsid w:val="00DB2AFD"/>
    <w:rsid w:val="00DB2CCA"/>
    <w:rsid w:val="00DB4A53"/>
    <w:rsid w:val="00DC19DE"/>
    <w:rsid w:val="00DC2CC2"/>
    <w:rsid w:val="00DC2F8E"/>
    <w:rsid w:val="00DD5189"/>
    <w:rsid w:val="00DD7FEF"/>
    <w:rsid w:val="00DF02E4"/>
    <w:rsid w:val="00DF530E"/>
    <w:rsid w:val="00DF7F04"/>
    <w:rsid w:val="00E0059E"/>
    <w:rsid w:val="00E047E0"/>
    <w:rsid w:val="00E21B90"/>
    <w:rsid w:val="00E33241"/>
    <w:rsid w:val="00E552E2"/>
    <w:rsid w:val="00E55F3F"/>
    <w:rsid w:val="00E56B13"/>
    <w:rsid w:val="00E612F6"/>
    <w:rsid w:val="00E653DA"/>
    <w:rsid w:val="00E7567C"/>
    <w:rsid w:val="00E807B7"/>
    <w:rsid w:val="00E908BE"/>
    <w:rsid w:val="00E92951"/>
    <w:rsid w:val="00E959A1"/>
    <w:rsid w:val="00EA5B4E"/>
    <w:rsid w:val="00EA686A"/>
    <w:rsid w:val="00EB02A3"/>
    <w:rsid w:val="00EC561A"/>
    <w:rsid w:val="00EC5F60"/>
    <w:rsid w:val="00ED0115"/>
    <w:rsid w:val="00F00DE4"/>
    <w:rsid w:val="00F057B0"/>
    <w:rsid w:val="00F1089D"/>
    <w:rsid w:val="00F14AAC"/>
    <w:rsid w:val="00F24907"/>
    <w:rsid w:val="00F25C2A"/>
    <w:rsid w:val="00F33E2C"/>
    <w:rsid w:val="00F35CCE"/>
    <w:rsid w:val="00F41621"/>
    <w:rsid w:val="00F50265"/>
    <w:rsid w:val="00F51F17"/>
    <w:rsid w:val="00F54A14"/>
    <w:rsid w:val="00F6680F"/>
    <w:rsid w:val="00F7079C"/>
    <w:rsid w:val="00F756ED"/>
    <w:rsid w:val="00F932B4"/>
    <w:rsid w:val="00F95D24"/>
    <w:rsid w:val="00FA1910"/>
    <w:rsid w:val="00FA29DD"/>
    <w:rsid w:val="00FB27DC"/>
    <w:rsid w:val="00FB7FA4"/>
    <w:rsid w:val="00FC179D"/>
    <w:rsid w:val="00FC19CD"/>
    <w:rsid w:val="00FC7847"/>
    <w:rsid w:val="00FD37B8"/>
    <w:rsid w:val="00FD4439"/>
    <w:rsid w:val="00FD6596"/>
    <w:rsid w:val="00FE2D97"/>
    <w:rsid w:val="00FE703E"/>
    <w:rsid w:val="00FE77DD"/>
    <w:rsid w:val="00FF22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13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133E"/>
    <w:rPr>
      <w:sz w:val="18"/>
      <w:szCs w:val="18"/>
    </w:rPr>
  </w:style>
  <w:style w:type="paragraph" w:styleId="a4">
    <w:name w:val="footer"/>
    <w:basedOn w:val="a"/>
    <w:link w:val="Char0"/>
    <w:uiPriority w:val="99"/>
    <w:unhideWhenUsed/>
    <w:rsid w:val="003C133E"/>
    <w:pPr>
      <w:tabs>
        <w:tab w:val="center" w:pos="4153"/>
        <w:tab w:val="right" w:pos="8306"/>
      </w:tabs>
      <w:snapToGrid w:val="0"/>
      <w:jc w:val="left"/>
    </w:pPr>
    <w:rPr>
      <w:sz w:val="18"/>
      <w:szCs w:val="18"/>
    </w:rPr>
  </w:style>
  <w:style w:type="character" w:customStyle="1" w:styleId="Char0">
    <w:name w:val="页脚 Char"/>
    <w:basedOn w:val="a0"/>
    <w:link w:val="a4"/>
    <w:uiPriority w:val="99"/>
    <w:rsid w:val="003C133E"/>
    <w:rPr>
      <w:sz w:val="18"/>
      <w:szCs w:val="18"/>
    </w:rPr>
  </w:style>
  <w:style w:type="paragraph" w:styleId="a5">
    <w:name w:val="Balloon Text"/>
    <w:basedOn w:val="a"/>
    <w:link w:val="Char1"/>
    <w:uiPriority w:val="99"/>
    <w:semiHidden/>
    <w:unhideWhenUsed/>
    <w:rsid w:val="00FD4439"/>
    <w:rPr>
      <w:sz w:val="18"/>
      <w:szCs w:val="18"/>
    </w:rPr>
  </w:style>
  <w:style w:type="character" w:customStyle="1" w:styleId="Char1">
    <w:name w:val="批注框文本 Char"/>
    <w:basedOn w:val="a0"/>
    <w:link w:val="a5"/>
    <w:uiPriority w:val="99"/>
    <w:semiHidden/>
    <w:rsid w:val="00FD4439"/>
    <w:rPr>
      <w:sz w:val="18"/>
      <w:szCs w:val="18"/>
    </w:rPr>
  </w:style>
  <w:style w:type="table" w:styleId="a6">
    <w:name w:val="Table Grid"/>
    <w:basedOn w:val="a1"/>
    <w:uiPriority w:val="59"/>
    <w:rsid w:val="00997C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note text"/>
    <w:basedOn w:val="a"/>
    <w:link w:val="Char2"/>
    <w:uiPriority w:val="99"/>
    <w:semiHidden/>
    <w:unhideWhenUsed/>
    <w:rsid w:val="00CF0E4F"/>
    <w:pPr>
      <w:snapToGrid w:val="0"/>
      <w:jc w:val="left"/>
    </w:pPr>
    <w:rPr>
      <w:sz w:val="18"/>
      <w:szCs w:val="18"/>
    </w:rPr>
  </w:style>
  <w:style w:type="character" w:customStyle="1" w:styleId="Char2">
    <w:name w:val="脚注文本 Char"/>
    <w:basedOn w:val="a0"/>
    <w:link w:val="a7"/>
    <w:uiPriority w:val="99"/>
    <w:semiHidden/>
    <w:rsid w:val="00CF0E4F"/>
    <w:rPr>
      <w:sz w:val="18"/>
      <w:szCs w:val="18"/>
    </w:rPr>
  </w:style>
  <w:style w:type="character" w:styleId="a8">
    <w:name w:val="footnote reference"/>
    <w:basedOn w:val="a0"/>
    <w:semiHidden/>
    <w:unhideWhenUsed/>
    <w:rsid w:val="00CF0E4F"/>
    <w:rPr>
      <w:vertAlign w:val="superscript"/>
    </w:rPr>
  </w:style>
  <w:style w:type="paragraph" w:styleId="a9">
    <w:name w:val="Body Text"/>
    <w:basedOn w:val="a"/>
    <w:link w:val="Char3"/>
    <w:semiHidden/>
    <w:rsid w:val="00F51F17"/>
    <w:pPr>
      <w:spacing w:line="140" w:lineRule="atLeast"/>
      <w:jc w:val="center"/>
    </w:pPr>
    <w:rPr>
      <w:rFonts w:ascii="Times New Roman" w:eastAsia="仿宋_GB2312" w:hAnsi="Times New Roman" w:cs="Times New Roman"/>
      <w:b/>
      <w:sz w:val="30"/>
      <w:szCs w:val="36"/>
    </w:rPr>
  </w:style>
  <w:style w:type="character" w:customStyle="1" w:styleId="Char3">
    <w:name w:val="正文文本 Char"/>
    <w:basedOn w:val="a0"/>
    <w:link w:val="a9"/>
    <w:semiHidden/>
    <w:rsid w:val="00F51F17"/>
    <w:rPr>
      <w:rFonts w:ascii="Times New Roman" w:eastAsia="仿宋_GB2312" w:hAnsi="Times New Roman" w:cs="Times New Roman"/>
      <w:b/>
      <w:sz w:val="30"/>
      <w:szCs w:val="36"/>
    </w:rPr>
  </w:style>
  <w:style w:type="paragraph" w:styleId="aa">
    <w:name w:val="List Paragraph"/>
    <w:basedOn w:val="a"/>
    <w:uiPriority w:val="34"/>
    <w:qFormat/>
    <w:rsid w:val="008143A5"/>
    <w:pPr>
      <w:ind w:firstLineChars="200" w:firstLine="420"/>
    </w:pPr>
  </w:style>
</w:styles>
</file>

<file path=word/webSettings.xml><?xml version="1.0" encoding="utf-8"?>
<w:webSettings xmlns:r="http://schemas.openxmlformats.org/officeDocument/2006/relationships" xmlns:w="http://schemas.openxmlformats.org/wordprocessingml/2006/main">
  <w:divs>
    <w:div w:id="328219885">
      <w:bodyDiv w:val="1"/>
      <w:marLeft w:val="0"/>
      <w:marRight w:val="0"/>
      <w:marTop w:val="0"/>
      <w:marBottom w:val="0"/>
      <w:divBdr>
        <w:top w:val="none" w:sz="0" w:space="0" w:color="auto"/>
        <w:left w:val="none" w:sz="0" w:space="0" w:color="auto"/>
        <w:bottom w:val="none" w:sz="0" w:space="0" w:color="auto"/>
        <w:right w:val="none" w:sz="0" w:space="0" w:color="auto"/>
      </w:divBdr>
    </w:div>
    <w:div w:id="580986918">
      <w:bodyDiv w:val="1"/>
      <w:marLeft w:val="0"/>
      <w:marRight w:val="0"/>
      <w:marTop w:val="0"/>
      <w:marBottom w:val="0"/>
      <w:divBdr>
        <w:top w:val="none" w:sz="0" w:space="0" w:color="auto"/>
        <w:left w:val="none" w:sz="0" w:space="0" w:color="auto"/>
        <w:bottom w:val="none" w:sz="0" w:space="0" w:color="auto"/>
        <w:right w:val="none" w:sz="0" w:space="0" w:color="auto"/>
      </w:divBdr>
    </w:div>
    <w:div w:id="1344165993">
      <w:bodyDiv w:val="1"/>
      <w:marLeft w:val="0"/>
      <w:marRight w:val="0"/>
      <w:marTop w:val="0"/>
      <w:marBottom w:val="0"/>
      <w:divBdr>
        <w:top w:val="none" w:sz="0" w:space="0" w:color="auto"/>
        <w:left w:val="none" w:sz="0" w:space="0" w:color="auto"/>
        <w:bottom w:val="none" w:sz="0" w:space="0" w:color="auto"/>
        <w:right w:val="none" w:sz="0" w:space="0" w:color="auto"/>
      </w:divBdr>
    </w:div>
    <w:div w:id="1348023720">
      <w:bodyDiv w:val="1"/>
      <w:marLeft w:val="0"/>
      <w:marRight w:val="0"/>
      <w:marTop w:val="0"/>
      <w:marBottom w:val="0"/>
      <w:divBdr>
        <w:top w:val="none" w:sz="0" w:space="0" w:color="auto"/>
        <w:left w:val="none" w:sz="0" w:space="0" w:color="auto"/>
        <w:bottom w:val="none" w:sz="0" w:space="0" w:color="auto"/>
        <w:right w:val="none" w:sz="0" w:space="0" w:color="auto"/>
      </w:divBdr>
    </w:div>
    <w:div w:id="1448426327">
      <w:bodyDiv w:val="1"/>
      <w:marLeft w:val="0"/>
      <w:marRight w:val="0"/>
      <w:marTop w:val="0"/>
      <w:marBottom w:val="0"/>
      <w:divBdr>
        <w:top w:val="none" w:sz="0" w:space="0" w:color="auto"/>
        <w:left w:val="none" w:sz="0" w:space="0" w:color="auto"/>
        <w:bottom w:val="none" w:sz="0" w:space="0" w:color="auto"/>
        <w:right w:val="none" w:sz="0" w:space="0" w:color="auto"/>
      </w:divBdr>
    </w:div>
    <w:div w:id="1620378076">
      <w:bodyDiv w:val="1"/>
      <w:marLeft w:val="0"/>
      <w:marRight w:val="0"/>
      <w:marTop w:val="0"/>
      <w:marBottom w:val="0"/>
      <w:divBdr>
        <w:top w:val="none" w:sz="0" w:space="0" w:color="auto"/>
        <w:left w:val="none" w:sz="0" w:space="0" w:color="auto"/>
        <w:bottom w:val="none" w:sz="0" w:space="0" w:color="auto"/>
        <w:right w:val="none" w:sz="0" w:space="0" w:color="auto"/>
      </w:divBdr>
      <w:divsChild>
        <w:div w:id="1287393010">
          <w:marLeft w:val="0"/>
          <w:marRight w:val="0"/>
          <w:marTop w:val="134"/>
          <w:marBottom w:val="0"/>
          <w:divBdr>
            <w:top w:val="none" w:sz="0" w:space="0" w:color="auto"/>
            <w:left w:val="none" w:sz="0" w:space="0" w:color="auto"/>
            <w:bottom w:val="none" w:sz="0" w:space="0" w:color="auto"/>
            <w:right w:val="none" w:sz="0" w:space="0" w:color="auto"/>
          </w:divBdr>
        </w:div>
      </w:divsChild>
    </w:div>
    <w:div w:id="1622371757">
      <w:bodyDiv w:val="1"/>
      <w:marLeft w:val="0"/>
      <w:marRight w:val="0"/>
      <w:marTop w:val="0"/>
      <w:marBottom w:val="0"/>
      <w:divBdr>
        <w:top w:val="none" w:sz="0" w:space="0" w:color="auto"/>
        <w:left w:val="none" w:sz="0" w:space="0" w:color="auto"/>
        <w:bottom w:val="none" w:sz="0" w:space="0" w:color="auto"/>
        <w:right w:val="none" w:sz="0" w:space="0" w:color="auto"/>
      </w:divBdr>
    </w:div>
    <w:div w:id="1786659343">
      <w:bodyDiv w:val="1"/>
      <w:marLeft w:val="0"/>
      <w:marRight w:val="0"/>
      <w:marTop w:val="0"/>
      <w:marBottom w:val="0"/>
      <w:divBdr>
        <w:top w:val="none" w:sz="0" w:space="0" w:color="auto"/>
        <w:left w:val="none" w:sz="0" w:space="0" w:color="auto"/>
        <w:bottom w:val="none" w:sz="0" w:space="0" w:color="auto"/>
        <w:right w:val="none" w:sz="0" w:space="0" w:color="auto"/>
      </w:divBdr>
    </w:div>
    <w:div w:id="18240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E23BE-9138-4B50-B995-FA413721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133</Words>
  <Characters>762</Characters>
  <Application>Microsoft Office Word</Application>
  <DocSecurity>0</DocSecurity>
  <Lines>6</Lines>
  <Paragraphs>1</Paragraphs>
  <ScaleCrop>false</ScaleCrop>
  <Company>Lenovo (Beijing) Limited</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朱孜芊</dc:creator>
  <cp:keywords/>
  <dc:description/>
  <cp:lastModifiedBy>user</cp:lastModifiedBy>
  <cp:revision>5</cp:revision>
  <cp:lastPrinted>2016-06-24T07:58:00Z</cp:lastPrinted>
  <dcterms:created xsi:type="dcterms:W3CDTF">2016-08-30T03:02:00Z</dcterms:created>
  <dcterms:modified xsi:type="dcterms:W3CDTF">2017-02-09T06:16:00Z</dcterms:modified>
</cp:coreProperties>
</file>