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非银行金融机构（不含保险公司）结售汇业务资格审批（含初审）</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firstLine="2100" w:firstLineChars="7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bookmarkStart w:id="0" w:name="_GoBack"/>
      <w:bookmarkEnd w:id="0"/>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1.咨询窗口：国家外汇管理局资本项目管理司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2.咨询电话：（010）68402347</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3.咨询电子邮件：</w:t>
      </w:r>
      <w:r>
        <w:fldChar w:fldCharType="begin"/>
      </w:r>
      <w:r>
        <w:instrText xml:space="preserve"> HYPERLINK "mailto:zb-sc@mail.safe.gov.cn" </w:instrText>
      </w:r>
      <w:r>
        <w:fldChar w:fldCharType="separate"/>
      </w:r>
      <w:r>
        <w:rPr>
          <w:rFonts w:ascii="Times New Roman" w:hAnsi="Times New Roman" w:eastAsia="仿宋_GB2312" w:cs="Times New Roman"/>
          <w:sz w:val="30"/>
          <w:szCs w:val="30"/>
        </w:rPr>
        <w:t>zb-sc@mail.safe.gov.cn</w:t>
      </w:r>
      <w:r>
        <w:rPr>
          <w:rFonts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4.咨询信件邮寄地址：北京市海淀区阜成路18号华融大厦资本项目管理司，邮政编码100048。</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5.初审业务的咨询途径由所在地分局（外汇管理部）另行公布。</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（十六）监督和投诉渠道</w:t>
      </w:r>
    </w:p>
    <w:p>
      <w:pPr>
        <w:adjustRightInd w:val="0"/>
        <w:snapToGrid w:val="0"/>
        <w:spacing w:line="360" w:lineRule="auto"/>
        <w:ind w:firstLine="601"/>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color w:val="auto"/>
          <w:sz w:val="30"/>
          <w:szCs w:val="30"/>
        </w:rPr>
        <w:t>www.safe.gov.cn</w:t>
      </w:r>
      <w:r>
        <w:rPr>
          <w:rStyle w:val="14"/>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办理时限结束之日后，申请人可通过电话查询。初审业务的公开查询方式由所在地分局（外汇管理部）另行公布。</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 o:spid="_x0000_s1026" style="position:absolute;left:0;margin-left:-41.25pt;margin-top:27.05pt;height:681.4pt;width:470.35pt;rotation:0f;z-index:251658240;" coordorigin="1425,1526" coordsize="9407,13628">
            <o:lock v:ext="edit" position="f" selection="f" grouping="f" rotation="f" cropping="f" text="f" aspectratio="f"/>
            <v:shape id="AutoShape 3" o:spid="_x0000_s1027" type="#_x0000_t32" style="position:absolute;left:6601;top:11865;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 o:spid="_x0000_s1028" style="position:absolute;left:1425;top:1526;height:13628;width:9407;rotation:0f;" coordorigin="1425,1526" coordsize="9407,13628">
              <o:lock v:ext="edit" position="f" selection="f" grouping="f" rotation="f" cropping="f" text="f" aspectratio="f"/>
              <v:shape id="AutoShape 5" o:spid="_x0000_s1029" type="#_x0000_t32" style="position:absolute;left:9019;top:12580;height:62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 o:spid="_x0000_s1030" type="#_x0000_t32" style="position:absolute;left:4049;top:12580;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 o:spid="_x0000_s1031" style="position:absolute;left:1425;top:1526;height:13628;width:9407;rotation:0f;" coordorigin="1425,1526" coordsize="9407,13628">
                <o:lock v:ext="edit" position="f" selection="f" grouping="f" rotation="f" cropping="f" text="f" aspectratio="f"/>
                <v:rect id="Rectangle 8" o:spid="_x0000_s1032"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Group 9" o:spid="_x0000_s1033" style="position:absolute;left:1425;top:1526;height:13628;width:9407;rotation:0f;" coordorigin="1425,1526" coordsize="9407,13628">
                  <o:lock v:ext="edit" position="f" selection="f" grouping="f" rotation="f" cropping="f" text="f" aspectratio="f"/>
                  <v:shape id="AutoShape 10" o:spid="_x0000_s1034"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5"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6" type="#_x0000_t32" style="position:absolute;left:4035;top:12580;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13" o:spid="_x0000_s1037"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8" type="#_x0000_t32" style="position:absolute;left:4049;top:14006;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5" o:spid="_x0000_s1039" type="#_x0000_t32" style="position:absolute;left:6647;top:10960;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40" style="position:absolute;left:1425;top:1526;height:11606;width:9131;rotation:0f;" coordorigin="1425,1526" coordsize="9131,11606">
                    <o:lock v:ext="edit" position="f" selection="f" grouping="f" rotation="f" cropping="f" text="f" aspectratio="f"/>
                    <v:shape id="AutoShape 17" o:spid="_x0000_s1041"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8"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9" o:spid="_x0000_s1043" style="position:absolute;left:1425;top:2261;height:6416;width:9131;rotation:0f;" coordorigin="1425,2301" coordsize="9131,6416">
                      <o:lock v:ext="edit" position="f" selection="f" grouping="f" rotation="f" cropping="f" text="f" aspectratio="f"/>
                      <v:shape id="AutoShape 20" o:spid="_x0000_s1044" type="#_x0000_t34" style="position:absolute;left:8018;top:4171;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1" o:spid="_x0000_s1045" style="position:absolute;left:1425;top:2301;height:6416;width:9131;rotation:0f;" coordorigin="1446,3821" coordsize="9131,6416">
                        <o:lock v:ext="edit" position="f" selection="f" grouping="f" rotation="f" cropping="f" text="f" aspectratio="f"/>
                        <v:shape id="AutoShape 22" o:spid="_x0000_s1046"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3"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48"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5" o:spid="_x0000_s1049"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6"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1"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8"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30" o:spid="_x0000_s1054" type="#_x0000_t32" style="position:absolute;left:4668;top:5550;height:0;width:99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5"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7"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8"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5"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0"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1"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3" type="#_x0000_t32" style="position:absolute;left:9231;top:4464;flip:x;height:20;width:134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40" o:spid="_x0000_s1064"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1" o:spid="_x0000_s1065"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68" type="#_x0000_t32" style="position:absolute;left:9825;top:10105;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6388"/>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12475E89"/>
    <w:rsid w:val="17C04EB6"/>
    <w:rsid w:val="256D7E76"/>
    <w:rsid w:val="378429A7"/>
    <w:rsid w:val="39F379E1"/>
    <w:rsid w:val="3AF44AC4"/>
    <w:rsid w:val="3D394CFE"/>
    <w:rsid w:val="4309548A"/>
    <w:rsid w:val="434E48F9"/>
    <w:rsid w:val="476C21BB"/>
    <w:rsid w:val="50EF2D57"/>
    <w:rsid w:val="66061C70"/>
    <w:rsid w:val="6F7D559B"/>
    <w:rsid w:val="7F2003AD"/>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6"/>
        <o:r id="V:Rule4" type="connector" idref="#AutoShape 12"/>
        <o:r id="V:Rule5" type="connector" idref="#AutoShape 14"/>
        <o:r id="V:Rule6" type="connector" idref="#AutoShape 15"/>
        <o:r id="V:Rule7" type="connector" idref="#AutoShape 17"/>
        <o:r id="V:Rule8" type="connector" idref="#AutoShape 20"/>
        <o:r id="V:Rule9" type="connector" idref="#AutoShape 22"/>
        <o:r id="V:Rule10" type="connector" idref="#AutoShape 24"/>
        <o:r id="V:Rule11" type="connector" idref="#AutoShape 25"/>
        <o:r id="V:Rule12" type="connector" idref="#AutoShape 27"/>
        <o:r id="V:Rule13" type="connector" idref="#AutoShape 30"/>
        <o:r id="V:Rule14" type="connector" idref="#AutoShape 31"/>
        <o:r id="V:Rule15" type="connector" idref="#AutoShape 33"/>
        <o:r id="V:Rule16" type="connector" idref="#AutoShape 34"/>
        <o:r id="V:Rule17" type="connector" idref="#AutoShape 39"/>
        <o:r id="V:Rule18" type="connector" idref="#AutoShape 40"/>
        <o:r id="V:Rule19" type="connector" idref="#AutoShape 4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TotalTime>0</TotalTime>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陈炅炜</cp:lastModifiedBy>
  <cp:lastPrinted>2017-12-26T09:10:00Z</cp:lastPrinted>
  <dcterms:modified xsi:type="dcterms:W3CDTF">2021-04-01T06:20:01Z</dcterms:modified>
  <dc:title>“非银行金融机构（不含保险公司）结售汇业务资格审批（含初审）”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