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移民财产转移核准</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）申请人为取得外国永久居留权的中国籍公民的，应提供：①有效的中华人民共和国护照或居住国颁发的外侨证等有效身份证明。②中国驻外使领馆出具（或认证）的申请人在国外定居证明。</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）申请人为取得外国公民身份的，应提供：①申请人居住国居民身份证或其他有效身份证明（如护照）。②中国驻外使领馆出具（或认证）的申请人在国外定居证明。</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）申请人为香港特别行政区、澳门特别行政区居民的，应提供：①香港特别行政区、澳门特别行政区（永久）居民身份证或其他有效身份证明。②港澳居民来往内地通行证或者特区护照。</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）申请人为台湾地区居民的应提供：①台湾地区居民身份证或其他在台湾地区居住的有效身份证明。②台湾居民往来大陆通行证或其他出入境证件。</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3 \* GB3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③</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）对资本所得及变现：</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w:t>
            </w:r>
            <w:r>
              <w:rPr>
                <w:rFonts w:hint="eastAsia" w:ascii="Times New Roman" w:hAnsi="Times New Roman" w:eastAsia="仿宋_GB2312" w:cs="Times New Roman"/>
                <w:sz w:val="24"/>
                <w:szCs w:val="24"/>
              </w:rPr>
              <w:t>财产租赁、转让、特许权使用的合同或协议以及交易资金划转证明。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w:t>
            </w:r>
            <w:r>
              <w:rPr>
                <w:rFonts w:hint="eastAsia" w:ascii="Times New Roman" w:hAnsi="Times New Roman" w:eastAsia="仿宋_GB2312" w:cs="Times New Roman"/>
                <w:sz w:val="24"/>
                <w:szCs w:val="24"/>
              </w:rPr>
              <w:t>房屋产权证。</w:t>
            </w:r>
          </w:p>
          <w:p>
            <w:pPr>
              <w:ind w:firstLine="480" w:firstLineChars="200"/>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c.</w:t>
            </w:r>
            <w:r>
              <w:rPr>
                <w:rFonts w:hint="eastAsia" w:ascii="Times New Roman" w:hAnsi="Times New Roman" w:eastAsia="仿宋_GB2312" w:cs="Times New Roman"/>
                <w:sz w:val="24"/>
                <w:szCs w:val="24"/>
              </w:rPr>
              <w:t>房地产买卖契约或拆迁补偿安置协议以及交易资金划转证明。</w:t>
            </w:r>
          </w:p>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（4）偶然所得（包括合法的福利彩票、体育彩票等）及其他财产或收入需提交真实交易记录证明。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如个人确有需求，可在原件上加注业务办理情况，原件返还个人后，留存加注后的复印件。企业税务备案采用电子化方式的，可由银行在网上核验相关电子化税务凭证。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委托他人办理的应提供委托代理协议和代理人身份证明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1" w:name="_GoBack"/>
      <w:bookmarkEnd w:id="1"/>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6" style="position:absolute;left:0;margin-left:-0.65pt;margin-top:17.6pt;height:586.05pt;width:446.05pt;rotation:0f;z-index:251658240;" coordorigin="0,0" coordsize="8921,11721">
            <o:lock v:ext="edit" position="f" selection="f" grouping="f" rotation="f" cropping="f" text="f" aspectratio="f"/>
            <v:rect id="Rectangle 1252"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5" style="position:absolute;left:0;top:0;height:7693;width:8921;rotation:0f;" coordorigin="0,0" coordsize="8921,7693">
              <o:lock v:ext="edit" position="f" selection="f" grouping="f" rotation="f" cropping="f" text="f" aspectratio="f"/>
              <v:shape id="AutoShape 1261"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7" style="position:absolute;left:0;top:0;height:7693;width:8921;rotation:0f;" coordorigin="0,0" coordsize="8921,7693">
                <o:lock v:ext="edit" position="f" selection="f" grouping="f" rotation="f" cropping="f" text="f" aspectratio="f"/>
                <v:shape id="AutoShape 1263"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6" style="position:absolute;left:0;top:0;height:7424;width:4594;rotation:0f;" coordorigin="0,0" coordsize="4594,7424">
                  <o:lock v:ext="edit" position="f" selection="f" grouping="f" rotation="f" cropping="f" text="f" aspectratio="f"/>
                  <v:shape id="AutoShape 1272"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49" style="position:absolute;left:0;top:0;height:3986;width:3629;rotation:0f;" coordorigin="0,0" coordsize="3629,3986">
                    <o:lock v:ext="edit" position="f" selection="f" grouping="f" rotation="f" cropping="f" text="f" aspectratio="f"/>
                    <v:shape id="AutoShape 1275"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pStyle w:val="3"/>
        <w:widowControl w:val="0"/>
        <w:wordWrap/>
        <w:adjustRightInd/>
        <w:snapToGrid/>
        <w:spacing w:before="0" w:after="0" w:line="240" w:lineRule="atLeast"/>
        <w:jc w:val="center"/>
        <w:textAlignment w:val="auto"/>
        <w:rPr>
          <w:rFonts w:ascii="Times New Roman" w:hAnsi="Times New Roman"/>
          <w:sz w:val="28"/>
          <w:szCs w:val="28"/>
        </w:rPr>
      </w:pPr>
      <w:bookmarkStart w:id="0" w:name="_Toc54703086"/>
      <w:r>
        <w:rPr>
          <w:rFonts w:hint="eastAsia" w:ascii="Times New Roman" w:hAnsi="Times New Roman"/>
          <w:sz w:val="28"/>
          <w:szCs w:val="28"/>
        </w:rPr>
        <w:t>表</w:t>
      </w:r>
      <w:r>
        <w:rPr>
          <w:rFonts w:ascii="Times New Roman" w:hAnsi="Times New Roman"/>
          <w:sz w:val="28"/>
          <w:szCs w:val="28"/>
        </w:rPr>
        <w:t>9</w:t>
      </w:r>
      <w:r>
        <w:rPr>
          <w:rFonts w:hint="eastAsia" w:ascii="Times New Roman" w:hAnsi="Times New Roman"/>
          <w:sz w:val="28"/>
          <w:szCs w:val="28"/>
        </w:rPr>
        <w:t>个人财产转移业务申请表</w:t>
      </w:r>
      <w:bookmarkEnd w:id="0"/>
    </w:p>
    <w:p>
      <w:pPr>
        <w:widowControl w:val="0"/>
        <w:wordWrap/>
        <w:adjustRightInd/>
        <w:snapToGrid/>
        <w:spacing w:line="240" w:lineRule="atLeast"/>
        <w:ind w:right="720"/>
        <w:jc w:val="right"/>
        <w:textAlignment w:val="auto"/>
        <w:rPr>
          <w:sz w:val="24"/>
        </w:rPr>
      </w:pPr>
      <w:r>
        <w:rPr>
          <w:rFonts w:hint="eastAsia"/>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4" w:hRule="atLeast"/>
        </w:trPr>
        <w:tc>
          <w:tcPr>
            <w:tcW w:w="2313" w:type="dxa"/>
            <w:gridSpan w:val="3"/>
            <w:vAlign w:val="top"/>
          </w:tcPr>
          <w:p>
            <w:pPr>
              <w:spacing w:line="480" w:lineRule="auto"/>
              <w:rPr>
                <w:sz w:val="24"/>
              </w:rPr>
            </w:pPr>
            <w:r>
              <w:rPr>
                <w:sz w:val="24"/>
              </w:rPr>
              <w:t>1.</w:t>
            </w:r>
            <w:r>
              <w:rPr>
                <w:rFonts w:hint="eastAsia"/>
                <w:sz w:val="24"/>
              </w:rPr>
              <w:t>中文姓名：</w:t>
            </w:r>
          </w:p>
          <w:p>
            <w:pPr>
              <w:keepNext/>
              <w:keepLines/>
              <w:spacing w:line="480" w:lineRule="auto"/>
              <w:outlineLvl w:val="2"/>
              <w:rPr>
                <w:sz w:val="24"/>
              </w:rPr>
            </w:pPr>
          </w:p>
        </w:tc>
        <w:tc>
          <w:tcPr>
            <w:tcW w:w="2310" w:type="dxa"/>
            <w:gridSpan w:val="2"/>
            <w:vAlign w:val="top"/>
          </w:tcPr>
          <w:p>
            <w:pPr>
              <w:spacing w:line="480" w:lineRule="auto"/>
              <w:rPr>
                <w:sz w:val="24"/>
              </w:rPr>
            </w:pPr>
            <w:r>
              <w:rPr>
                <w:sz w:val="24"/>
              </w:rPr>
              <w:t>2.</w:t>
            </w:r>
            <w:r>
              <w:rPr>
                <w:rFonts w:hint="eastAsia"/>
                <w:sz w:val="24"/>
              </w:rPr>
              <w:t>曾用名：</w:t>
            </w:r>
          </w:p>
        </w:tc>
        <w:tc>
          <w:tcPr>
            <w:tcW w:w="1728" w:type="dxa"/>
            <w:vAlign w:val="top"/>
          </w:tcPr>
          <w:p>
            <w:pPr>
              <w:spacing w:line="480" w:lineRule="auto"/>
              <w:rPr>
                <w:sz w:val="24"/>
              </w:rPr>
            </w:pPr>
            <w:r>
              <w:rPr>
                <w:sz w:val="24"/>
              </w:rPr>
              <w:t>3.</w:t>
            </w:r>
            <w:r>
              <w:rPr>
                <w:rFonts w:hint="eastAsia"/>
                <w:sz w:val="24"/>
              </w:rPr>
              <w:t>性别：</w:t>
            </w:r>
          </w:p>
          <w:p>
            <w:pPr>
              <w:spacing w:line="480" w:lineRule="auto"/>
              <w:rPr>
                <w:sz w:val="24"/>
              </w:rPr>
            </w:pPr>
            <w:r>
              <w:rPr>
                <w:rFonts w:hint="eastAsia"/>
                <w:sz w:val="24"/>
              </w:rPr>
              <w:t>男□</w:t>
            </w:r>
            <w:r>
              <w:rPr>
                <w:sz w:val="24"/>
              </w:rPr>
              <w:t xml:space="preserve">  </w:t>
            </w:r>
            <w:r>
              <w:rPr>
                <w:rFonts w:hint="eastAsia"/>
                <w:sz w:val="24"/>
              </w:rPr>
              <w:t>女□</w:t>
            </w:r>
          </w:p>
        </w:tc>
        <w:tc>
          <w:tcPr>
            <w:tcW w:w="2157" w:type="dxa"/>
            <w:vMerge w:val="restart"/>
            <w:vAlign w:val="top"/>
          </w:tcPr>
          <w:p>
            <w:pPr>
              <w:keepNext/>
              <w:keepLines/>
              <w:spacing w:line="480" w:lineRule="auto"/>
              <w:jc w:val="center"/>
              <w:outlineLvl w:val="2"/>
              <w:rPr>
                <w:sz w:val="24"/>
              </w:rPr>
            </w:pPr>
          </w:p>
          <w:p>
            <w:pPr>
              <w:spacing w:line="480" w:lineRule="auto"/>
              <w:jc w:val="center"/>
              <w:rPr>
                <w:sz w:val="24"/>
              </w:rPr>
            </w:pPr>
            <w:r>
              <w:rPr>
                <w:rFonts w:hint="eastAsia"/>
                <w:sz w:val="24"/>
              </w:rPr>
              <w:t>照片</w:t>
            </w:r>
          </w:p>
          <w:p>
            <w:pPr>
              <w:spacing w:line="480" w:lineRule="auto"/>
              <w:jc w:val="center"/>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pacing w:line="480" w:lineRule="auto"/>
              <w:rPr>
                <w:sz w:val="24"/>
              </w:rPr>
            </w:pPr>
            <w:r>
              <w:rPr>
                <w:sz w:val="24"/>
              </w:rPr>
              <w:t>4.</w:t>
            </w:r>
            <w:r>
              <w:rPr>
                <w:rFonts w:hint="eastAsia"/>
                <w:sz w:val="24"/>
              </w:rPr>
              <w:t>外文姓名：</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pacing w:line="480" w:lineRule="auto"/>
              <w:rPr>
                <w:sz w:val="24"/>
              </w:rPr>
            </w:pPr>
            <w:r>
              <w:rPr>
                <w:sz w:val="24"/>
              </w:rPr>
              <w:t>5.</w:t>
            </w:r>
            <w:r>
              <w:rPr>
                <w:rFonts w:hint="eastAsia"/>
                <w:sz w:val="24"/>
              </w:rPr>
              <w:t>出生日期：年月日</w:t>
            </w:r>
          </w:p>
        </w:tc>
        <w:tc>
          <w:tcPr>
            <w:tcW w:w="2463" w:type="dxa"/>
            <w:gridSpan w:val="2"/>
            <w:vAlign w:val="top"/>
          </w:tcPr>
          <w:p>
            <w:pPr>
              <w:spacing w:line="480" w:lineRule="auto"/>
              <w:rPr>
                <w:sz w:val="24"/>
              </w:rPr>
            </w:pPr>
            <w:r>
              <w:rPr>
                <w:sz w:val="24"/>
              </w:rPr>
              <w:t>6.</w:t>
            </w:r>
            <w:r>
              <w:rPr>
                <w:rFonts w:hint="eastAsia"/>
                <w:sz w:val="24"/>
              </w:rPr>
              <w:t>出生地：</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pacing w:line="480" w:lineRule="auto"/>
              <w:rPr>
                <w:sz w:val="24"/>
              </w:rPr>
            </w:pPr>
            <w:r>
              <w:rPr>
                <w:sz w:val="24"/>
              </w:rPr>
              <w:t>7.</w:t>
            </w:r>
            <w:r>
              <w:rPr>
                <w:rFonts w:hint="eastAsia"/>
                <w:sz w:val="24"/>
              </w:rPr>
              <w:t>国籍：</w:t>
            </w:r>
          </w:p>
        </w:tc>
        <w:tc>
          <w:tcPr>
            <w:tcW w:w="2625" w:type="dxa"/>
            <w:gridSpan w:val="3"/>
            <w:tcBorders>
              <w:bottom w:val="nil"/>
            </w:tcBorders>
            <w:vAlign w:val="top"/>
          </w:tcPr>
          <w:p>
            <w:pPr>
              <w:spacing w:line="360" w:lineRule="auto"/>
              <w:rPr>
                <w:sz w:val="24"/>
              </w:rPr>
            </w:pPr>
            <w:r>
              <w:rPr>
                <w:sz w:val="24"/>
              </w:rPr>
              <w:t>8.</w:t>
            </w:r>
            <w:r>
              <w:rPr>
                <w:rFonts w:hint="eastAsia"/>
                <w:sz w:val="24"/>
              </w:rPr>
              <w:t>曾有何国籍：</w:t>
            </w:r>
          </w:p>
        </w:tc>
        <w:tc>
          <w:tcPr>
            <w:tcW w:w="3885" w:type="dxa"/>
            <w:gridSpan w:val="2"/>
            <w:tcBorders>
              <w:bottom w:val="nil"/>
            </w:tcBorders>
            <w:vAlign w:val="top"/>
          </w:tcPr>
          <w:p>
            <w:pPr>
              <w:spacing w:line="480" w:lineRule="auto"/>
              <w:rPr>
                <w:sz w:val="24"/>
              </w:rPr>
            </w:pPr>
            <w:r>
              <w:rPr>
                <w:sz w:val="24"/>
              </w:rPr>
              <w:t>9.</w:t>
            </w:r>
            <w:r>
              <w:rPr>
                <w:rFonts w:hint="eastAsia"/>
                <w:sz w:val="24"/>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pacing w:line="480" w:lineRule="auto"/>
              <w:rPr>
                <w:sz w:val="24"/>
              </w:rPr>
            </w:pPr>
            <w:r>
              <w:rPr>
                <w:sz w:val="24"/>
              </w:rPr>
              <w:t>10.</w:t>
            </w:r>
            <w:r>
              <w:rPr>
                <w:rFonts w:hint="eastAsia"/>
                <w:sz w:val="24"/>
              </w:rPr>
              <w:t>持何种证件：</w:t>
            </w:r>
            <w:r>
              <w:rPr>
                <w:sz w:val="24"/>
              </w:rPr>
              <w:t xml:space="preserve">          证件号码：</w:t>
            </w:r>
          </w:p>
          <w:p>
            <w:pPr>
              <w:spacing w:line="480" w:lineRule="auto"/>
              <w:rPr>
                <w:sz w:val="24"/>
              </w:rPr>
            </w:pPr>
            <w:r>
              <w:rPr>
                <w:rFonts w:hint="eastAsia"/>
                <w:sz w:val="24"/>
              </w:rPr>
              <w:t>发证机关：</w:t>
            </w:r>
            <w:r>
              <w:rPr>
                <w:sz w:val="24"/>
              </w:rPr>
              <w:t xml:space="preserve">               证件有效期至：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pacing w:line="480" w:lineRule="auto"/>
              <w:rPr>
                <w:sz w:val="24"/>
              </w:rPr>
            </w:pPr>
            <w:r>
              <w:rPr>
                <w:sz w:val="24"/>
              </w:rPr>
              <w:t>11.</w:t>
            </w:r>
            <w:r>
              <w:rPr>
                <w:rFonts w:hint="eastAsia"/>
                <w:sz w:val="24"/>
              </w:rPr>
              <w:t>申请种类：移民财产转移□</w:t>
            </w:r>
            <w:r>
              <w:rPr>
                <w:sz w:val="24"/>
              </w:rPr>
              <w:t xml:space="preserve">    </w:t>
            </w:r>
            <w:r>
              <w:rPr>
                <w:rFonts w:hint="eastAsia"/>
                <w:sz w:val="24"/>
              </w:rPr>
              <w:t>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pacing w:line="480" w:lineRule="auto"/>
              <w:rPr>
                <w:sz w:val="24"/>
              </w:rPr>
            </w:pPr>
            <w:r>
              <w:rPr>
                <w:sz w:val="24"/>
              </w:rPr>
              <w:t>12.</w:t>
            </w:r>
            <w:r>
              <w:rPr>
                <w:rFonts w:hint="eastAsia"/>
                <w:sz w:val="24"/>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pacing w:line="480" w:lineRule="auto"/>
              <w:rPr>
                <w:sz w:val="24"/>
              </w:rPr>
            </w:pPr>
            <w:r>
              <w:rPr>
                <w:sz w:val="24"/>
              </w:rPr>
              <w:t>13.</w:t>
            </w:r>
            <w:r>
              <w:rPr>
                <w:rFonts w:hint="eastAsia"/>
                <w:sz w:val="24"/>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pacing w:line="360" w:lineRule="auto"/>
              <w:jc w:val="center"/>
              <w:rPr>
                <w:bCs/>
                <w:sz w:val="24"/>
              </w:rPr>
            </w:pPr>
            <w:r>
              <w:rPr>
                <w:sz w:val="24"/>
              </w:rPr>
              <w:t xml:space="preserve">14. </w:t>
            </w:r>
            <w:r>
              <w:rPr>
                <w:rFonts w:hint="eastAsia"/>
                <w:bCs/>
                <w:sz w:val="24"/>
              </w:rPr>
              <w:t>申请人其他信息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2</w:t>
            </w:r>
            <w:r>
              <w:rPr>
                <w:rFonts w:hint="eastAsia"/>
                <w:sz w:val="24"/>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w:t>
            </w:r>
            <w:r>
              <w:rPr>
                <w:sz w:val="24"/>
              </w:rPr>
              <w:t xml:space="preserve"> </w:t>
            </w:r>
            <w:r>
              <w:rPr>
                <w:rFonts w:hint="eastAsia"/>
                <w:sz w:val="24"/>
              </w:rPr>
              <w:t>□</w:t>
            </w:r>
            <w:r>
              <w:rPr>
                <w:sz w:val="24"/>
              </w:rPr>
              <w:t xml:space="preserve">    </w:t>
            </w:r>
            <w:r>
              <w:rPr>
                <w:rFonts w:hint="eastAsia"/>
                <w:sz w:val="24"/>
              </w:rPr>
              <w:t>否□</w:t>
            </w:r>
          </w:p>
          <w:p>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pPr>
              <w:keepNext/>
              <w:keepLines/>
              <w:spacing w:line="36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restart"/>
            <w:vAlign w:val="center"/>
          </w:tcPr>
          <w:p>
            <w:pPr>
              <w:spacing w:line="360" w:lineRule="auto"/>
              <w:jc w:val="center"/>
              <w:rPr>
                <w:bCs/>
                <w:sz w:val="24"/>
              </w:rPr>
            </w:pPr>
            <w:r>
              <w:rPr>
                <w:bCs/>
                <w:sz w:val="24"/>
              </w:rPr>
              <w:t>15.</w:t>
            </w:r>
            <w:r>
              <w:rPr>
                <w:rFonts w:hint="eastAsia"/>
                <w:bCs/>
                <w:sz w:val="24"/>
              </w:rPr>
              <w:t>购付汇基本信息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1</w:t>
            </w:r>
            <w:r>
              <w:rPr>
                <w:rFonts w:hint="eastAsia"/>
                <w:bCs/>
                <w:sz w:val="24"/>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center"/>
          </w:tcPr>
          <w:p>
            <w:pPr>
              <w:keepNext/>
              <w:keepLines/>
              <w:spacing w:line="360" w:lineRule="auto"/>
              <w:jc w:val="center"/>
              <w:outlineLvl w:val="2"/>
              <w:rPr>
                <w:bCs/>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2</w:t>
            </w:r>
            <w:r>
              <w:rPr>
                <w:rFonts w:hint="eastAsia"/>
                <w:bCs/>
                <w:sz w:val="24"/>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3</w:t>
            </w:r>
            <w:r>
              <w:rPr>
                <w:rFonts w:hint="eastAsia"/>
                <w:bCs/>
                <w:sz w:val="24"/>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4</w:t>
            </w:r>
            <w:r>
              <w:rPr>
                <w:rFonts w:hint="eastAsia"/>
                <w:bCs/>
                <w:sz w:val="24"/>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5</w:t>
            </w:r>
            <w:r>
              <w:rPr>
                <w:rFonts w:hint="eastAsia"/>
                <w:bCs/>
                <w:sz w:val="24"/>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7</w:t>
            </w:r>
            <w:r>
              <w:rPr>
                <w:rFonts w:hint="eastAsia"/>
                <w:bCs/>
                <w:sz w:val="24"/>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8</w:t>
            </w:r>
            <w:r>
              <w:rPr>
                <w:rFonts w:hint="eastAsia"/>
                <w:bCs/>
                <w:sz w:val="24"/>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9</w:t>
            </w:r>
            <w:r>
              <w:rPr>
                <w:rFonts w:hint="eastAsia"/>
                <w:bCs/>
                <w:sz w:val="24"/>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pacing w:line="360" w:lineRule="auto"/>
              <w:ind w:firstLine="360" w:firstLineChars="15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pPr>
              <w:keepNext/>
              <w:keepLines/>
              <w:spacing w:line="360" w:lineRule="auto"/>
              <w:ind w:firstLine="360" w:firstLineChars="150"/>
              <w:outlineLvl w:val="2"/>
              <w:rPr>
                <w:sz w:val="24"/>
              </w:rPr>
            </w:pPr>
          </w:p>
          <w:p>
            <w:pPr>
              <w:spacing w:line="360" w:lineRule="auto"/>
              <w:ind w:firstLine="360" w:firstLineChars="150"/>
              <w:jc w:val="center"/>
              <w:rPr>
                <w:sz w:val="24"/>
              </w:rPr>
            </w:pPr>
            <w:r>
              <w:rPr>
                <w:sz w:val="24"/>
              </w:rPr>
              <w:t xml:space="preserve">      </w:t>
            </w:r>
            <w:r>
              <w:rPr>
                <w:rFonts w:hint="eastAsia"/>
                <w:sz w:val="24"/>
              </w:rPr>
              <w:t>签名：</w:t>
            </w:r>
          </w:p>
          <w:p>
            <w:pPr>
              <w:spacing w:line="360" w:lineRule="auto"/>
              <w:ind w:firstLine="2640" w:firstLineChars="1100"/>
              <w:jc w:val="center"/>
              <w:rPr>
                <w:sz w:val="24"/>
              </w:rPr>
            </w:pPr>
            <w:r>
              <w:rPr>
                <w:rFonts w:hint="eastAsia"/>
                <w:sz w:val="24"/>
              </w:rPr>
              <w:t>日期：</w:t>
            </w:r>
            <w:r>
              <w:rPr>
                <w:sz w:val="24"/>
              </w:rPr>
              <w:t xml:space="preserve">   年  </w:t>
            </w:r>
            <w:r>
              <w:rPr>
                <w:rFonts w:hint="eastAsia"/>
                <w:sz w:val="24"/>
              </w:rPr>
              <w:t>月</w:t>
            </w:r>
            <w:r>
              <w:rPr>
                <w:sz w:val="24"/>
              </w:rPr>
              <w:t xml:space="preserve">  </w:t>
            </w:r>
            <w:r>
              <w:rPr>
                <w:rFonts w:hint="eastAsia"/>
                <w:sz w:val="24"/>
              </w:rPr>
              <w:t>日</w:t>
            </w: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0F6F0D53"/>
    <w:rsid w:val="0FA27666"/>
    <w:rsid w:val="1C71382B"/>
    <w:rsid w:val="3ED57FA3"/>
    <w:rsid w:val="51BF50D2"/>
    <w:rsid w:val="6197604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陈炅炜</cp:lastModifiedBy>
  <cp:lastPrinted>2020-01-15T09:21:00Z</cp:lastPrinted>
  <dcterms:modified xsi:type="dcterms:W3CDTF">2021-03-25T08:51:41Z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