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 xml:space="preserve">           </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hint="eastAsia"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融资租赁对外债权登记</w:t>
      </w:r>
      <w:r>
        <w:rPr>
          <w:rFonts w:ascii="Times New Roman" w:hAnsi="Times New Roman" w:eastAsia="黑体" w:cs="Times New Roman"/>
          <w:sz w:val="52"/>
          <w:szCs w:val="52"/>
        </w:rPr>
        <w:t>”</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发布机构：</w:t>
      </w:r>
      <w:r>
        <w:rPr>
          <w:rFonts w:hint="eastAsia" w:ascii="Times New Roman" w:hAnsi="Times New Roman" w:eastAsia="仿宋_GB2312" w:cs="Times New Roman"/>
          <w:sz w:val="32"/>
          <w:szCs w:val="32"/>
        </w:rPr>
        <w:t>国家外汇管理局陕西省分局</w:t>
      </w:r>
    </w:p>
    <w:p>
      <w:pPr>
        <w:widowControl/>
        <w:jc w:val="left"/>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titlePg/>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hint="eastAsia" w:ascii="Times New Roman" w:hAnsi="Times New Roman" w:eastAsia="黑体" w:cs="Times New Roman"/>
          <w:sz w:val="30"/>
          <w:szCs w:val="30"/>
          <w:lang w:val="en-US" w:eastAsia="zh-CN"/>
        </w:rPr>
        <w:t xml:space="preserve">    </w:t>
      </w: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项目名称：境内机构（不含商业银行）向境外提供商业贷款审批与登记；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项目编号：57007；</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本指南适用于“境内机构（不含商业银行）向境外提供商业贷款审批与登记”的申请和办理。</w:t>
      </w:r>
    </w:p>
    <w:p>
      <w:pPr>
        <w:adjustRightInd w:val="0"/>
        <w:snapToGrid w:val="0"/>
        <w:spacing w:line="360" w:lineRule="auto"/>
        <w:ind w:firstLine="585" w:firstLineChars="19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条：“银行业金融机构在经批准的经营范围内可以直接向境外提供商业贷款。其他境内机构向境外提供商业贷款，应当向外汇管理机关提出申请，外汇管理机关根据申请人的资产负债等情况作出批准或者不批准的决定；国家规定其经营范围需经有关主管部门批准的，应当在向外汇管理机关提出申请前办理批准手续。向境外提供商业贷款，应当按照国务院外汇管理部门的规定办理登记”。</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四、融资租赁对外债权登记</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（一）办理依据</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2.《国家外汇管理局关于进一步改进和调整资本项目外汇管理政策的通知》（汇发〔2014〕2号）。</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仿宋_GB2312" w:cs="Times New Roman"/>
          <w:sz w:val="30"/>
          <w:szCs w:val="30"/>
        </w:rPr>
        <w:t xml:space="preserve">   </w:t>
      </w:r>
      <w:r>
        <w:rPr>
          <w:rFonts w:hint="eastAsia" w:ascii="Times New Roman" w:hAnsi="Times New Roman" w:eastAsia="黑体" w:cs="Times New Roman"/>
          <w:sz w:val="30"/>
          <w:szCs w:val="30"/>
        </w:rPr>
        <w:t xml:space="preserve"> </w:t>
      </w:r>
      <w:r>
        <w:rPr>
          <w:rFonts w:ascii="Times New Roman" w:hAnsi="Times New Roman" w:eastAsia="黑体" w:cs="Times New Roman"/>
          <w:sz w:val="30"/>
          <w:szCs w:val="30"/>
        </w:rPr>
        <w:t>（二）受理机构</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w:t>
      </w:r>
      <w:r>
        <w:rPr>
          <w:rFonts w:ascii="Times New Roman" w:hAnsi="Times New Roman" w:eastAsia="仿宋_GB2312" w:cs="Times New Roman"/>
          <w:color w:val="auto"/>
          <w:sz w:val="30"/>
          <w:szCs w:val="30"/>
        </w:rPr>
        <w:t>国家外汇局管理局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sz w:val="30"/>
          <w:szCs w:val="30"/>
        </w:rPr>
        <w:t>。</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（三）决定机构</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w:t>
      </w:r>
      <w:r>
        <w:rPr>
          <w:rFonts w:ascii="Times New Roman" w:hAnsi="Times New Roman" w:eastAsia="仿宋_GB2312" w:cs="Times New Roman"/>
          <w:color w:val="auto"/>
          <w:sz w:val="30"/>
          <w:szCs w:val="30"/>
        </w:rPr>
        <w:t>国家外汇局管理局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sz w:val="30"/>
          <w:szCs w:val="30"/>
        </w:rPr>
        <w:t>。</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（四）审批数量</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无数量限制。</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（五）办事条件</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1.融资租赁类公司包括银行业监管部门批准设立的金融租赁公司、商务主管部门审批设立的外商投资租赁公司，以及商务部和国家税务总局联合确认的内资融资租赁公司等三类主体。</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2.融资租赁类公司或其项目公司开展对外融资租赁业务时，应在融资租赁对外债权发生后15个工作日内，到所在地外汇局办理融资租赁对外债权登记。</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3.禁止性要求：如符合上述条件，不存在不予许可的情况。</w:t>
      </w:r>
    </w:p>
    <w:p>
      <w:pPr>
        <w:ind w:firstLine="600"/>
        <w:rPr>
          <w:rFonts w:ascii="Times New Roman" w:hAnsi="Times New Roman" w:eastAsia="仿宋_GB2312" w:cs="Times New Roman"/>
          <w:sz w:val="30"/>
          <w:szCs w:val="30"/>
        </w:rPr>
      </w:pPr>
      <w:r>
        <w:rPr>
          <w:rFonts w:ascii="Times New Roman" w:hAnsi="Times New Roman" w:eastAsia="黑体" w:cs="Times New Roman"/>
          <w:sz w:val="30"/>
          <w:szCs w:val="30"/>
        </w:rPr>
        <w:t>（六）申请材料</w:t>
      </w:r>
    </w:p>
    <w:tbl>
      <w:tblPr>
        <w:tblStyle w:val="17"/>
        <w:tblW w:w="84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3544"/>
        <w:gridCol w:w="1417"/>
        <w:gridCol w:w="425"/>
        <w:gridCol w:w="993"/>
        <w:gridCol w:w="425"/>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Align w:val="center"/>
          </w:tcPr>
          <w:p>
            <w:pPr>
              <w:ind w:right="30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544" w:type="dxa"/>
            <w:vAlign w:val="center"/>
          </w:tcPr>
          <w:p>
            <w:pPr>
              <w:ind w:right="-116"/>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ind w:left="-113" w:leftChars="-54" w:right="-11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ind w:left="-113" w:leftChars="-54" w:right="-11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25" w:type="dxa"/>
            <w:vAlign w:val="center"/>
          </w:tcPr>
          <w:p>
            <w:pPr>
              <w:ind w:left="-103" w:leftChars="-49" w:right="-104"/>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3" w:type="dxa"/>
            <w:vAlign w:val="center"/>
          </w:tcPr>
          <w:p>
            <w:pPr>
              <w:tabs>
                <w:tab w:val="left" w:pos="776"/>
              </w:tabs>
              <w:ind w:left="-97" w:leftChars="-46" w:right="-119"/>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tabs>
                <w:tab w:val="left" w:pos="776"/>
              </w:tabs>
              <w:ind w:left="-97" w:leftChars="-46" w:right="-119"/>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425" w:type="dxa"/>
            <w:vAlign w:val="center"/>
          </w:tcPr>
          <w:p>
            <w:pPr>
              <w:ind w:left="-101" w:leftChars="-48" w:right="-10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77" w:type="dxa"/>
            <w:vAlign w:val="center"/>
          </w:tcPr>
          <w:p>
            <w:pPr>
              <w:ind w:left="-107" w:leftChars="-51" w:right="-11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Align w:val="center"/>
          </w:tcPr>
          <w:p>
            <w:pPr>
              <w:ind w:right="30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544" w:type="dxa"/>
            <w:vAlign w:val="center"/>
          </w:tcPr>
          <w:p>
            <w:pPr>
              <w:ind w:left="31" w:leftChars="15"/>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包括公司及租赁项目基本情况</w:t>
            </w:r>
            <w:r>
              <w:rPr>
                <w:rFonts w:hint="eastAsia" w:ascii="Times New Roman" w:hAnsi="Times New Roman" w:eastAsia="仿宋_GB2312" w:cs="Times New Roman"/>
                <w:sz w:val="24"/>
                <w:szCs w:val="24"/>
              </w:rPr>
              <w:t>）</w:t>
            </w:r>
          </w:p>
        </w:tc>
        <w:tc>
          <w:tcPr>
            <w:tcW w:w="1417" w:type="dxa"/>
            <w:vAlign w:val="center"/>
          </w:tcPr>
          <w:p>
            <w:pPr>
              <w:ind w:left="34" w:leftChars="16"/>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425" w:type="dxa"/>
            <w:vAlign w:val="center"/>
          </w:tcPr>
          <w:p>
            <w:pPr>
              <w:ind w:left="-101" w:leftChars="-48" w:right="-104" w:firstLine="100" w:firstLineChars="42"/>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ind w:left="-97" w:leftChars="-46" w:right="-10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5" w:type="dxa"/>
            <w:vAlign w:val="center"/>
          </w:tcPr>
          <w:p>
            <w:pPr>
              <w:ind w:right="300"/>
              <w:jc w:val="left"/>
              <w:rPr>
                <w:rFonts w:ascii="Times New Roman" w:hAnsi="Times New Roman" w:eastAsia="仿宋_GB2312" w:cs="Times New Roman"/>
                <w:sz w:val="24"/>
                <w:szCs w:val="24"/>
              </w:rPr>
            </w:pPr>
          </w:p>
        </w:tc>
        <w:tc>
          <w:tcPr>
            <w:tcW w:w="1277" w:type="dxa"/>
            <w:vAlign w:val="center"/>
          </w:tcPr>
          <w:p>
            <w:pPr>
              <w:ind w:left="-107" w:leftChars="-51" w:right="-115"/>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Align w:val="center"/>
          </w:tcPr>
          <w:p>
            <w:pPr>
              <w:ind w:right="30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544" w:type="dxa"/>
            <w:vAlign w:val="center"/>
          </w:tcPr>
          <w:p>
            <w:pPr>
              <w:ind w:left="31" w:leftChars="15"/>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上年度经审计的财务报告及最近一期财务报表</w:t>
            </w:r>
          </w:p>
        </w:tc>
        <w:tc>
          <w:tcPr>
            <w:tcW w:w="1417" w:type="dxa"/>
            <w:vAlign w:val="center"/>
          </w:tcPr>
          <w:p>
            <w:pPr>
              <w:ind w:left="34" w:leftChars="16"/>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25" w:type="dxa"/>
            <w:vAlign w:val="center"/>
          </w:tcPr>
          <w:p>
            <w:pPr>
              <w:ind w:left="-101" w:leftChars="-48" w:right="-104" w:firstLine="100" w:firstLineChars="42"/>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ind w:left="-97" w:leftChars="-46" w:right="-10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5" w:type="dxa"/>
            <w:vAlign w:val="center"/>
          </w:tcPr>
          <w:p>
            <w:pPr>
              <w:ind w:right="300"/>
              <w:jc w:val="left"/>
              <w:rPr>
                <w:rFonts w:ascii="Times New Roman" w:hAnsi="Times New Roman" w:eastAsia="仿宋_GB2312" w:cs="Times New Roman"/>
                <w:sz w:val="24"/>
                <w:szCs w:val="24"/>
              </w:rPr>
            </w:pPr>
          </w:p>
        </w:tc>
        <w:tc>
          <w:tcPr>
            <w:tcW w:w="1277" w:type="dxa"/>
            <w:vAlign w:val="center"/>
          </w:tcPr>
          <w:p>
            <w:pPr>
              <w:ind w:left="1"/>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trPr>
        <w:tc>
          <w:tcPr>
            <w:tcW w:w="392" w:type="dxa"/>
            <w:vAlign w:val="center"/>
          </w:tcPr>
          <w:p>
            <w:pPr>
              <w:ind w:right="30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544" w:type="dxa"/>
            <w:vAlign w:val="center"/>
          </w:tcPr>
          <w:p>
            <w:pPr>
              <w:ind w:left="31" w:leftChars="15"/>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租赁合同及租赁物转移的证明材料（如报关单、备案清单、发票等）</w:t>
            </w:r>
          </w:p>
        </w:tc>
        <w:tc>
          <w:tcPr>
            <w:tcW w:w="1417" w:type="dxa"/>
            <w:vAlign w:val="center"/>
          </w:tcPr>
          <w:p>
            <w:pPr>
              <w:ind w:left="34" w:leftChars="16"/>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25" w:type="dxa"/>
            <w:vAlign w:val="center"/>
          </w:tcPr>
          <w:p>
            <w:pPr>
              <w:ind w:left="-101" w:leftChars="-48" w:right="-104" w:firstLine="100" w:firstLineChars="42"/>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ind w:left="-97" w:leftChars="-46" w:right="-10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5" w:type="dxa"/>
            <w:vAlign w:val="center"/>
          </w:tcPr>
          <w:p>
            <w:pPr>
              <w:ind w:right="300"/>
              <w:jc w:val="left"/>
              <w:rPr>
                <w:rFonts w:ascii="Times New Roman" w:hAnsi="Times New Roman" w:eastAsia="仿宋_GB2312" w:cs="Times New Roman"/>
                <w:sz w:val="24"/>
                <w:szCs w:val="24"/>
              </w:rPr>
            </w:pPr>
          </w:p>
        </w:tc>
        <w:tc>
          <w:tcPr>
            <w:tcW w:w="1277" w:type="dxa"/>
            <w:vAlign w:val="center"/>
          </w:tcPr>
          <w:p>
            <w:pPr>
              <w:ind w:left="1"/>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pacing w:line="360" w:lineRule="auto"/>
        <w:ind w:firstLine="600" w:firstLineChars="200"/>
        <w:rPr>
          <w:rFonts w:hint="eastAsia" w:ascii="Times New Roman" w:hAnsi="Times New Roman" w:eastAsia="仿宋_GB2312" w:cs="Times New Roman"/>
          <w:sz w:val="30"/>
          <w:szCs w:val="30"/>
        </w:rPr>
      </w:pPr>
      <w:r>
        <w:rPr>
          <w:rFonts w:ascii="Times New Roman" w:hAnsi="黑体" w:eastAsia="黑体" w:cs="Times New Roman"/>
          <w:sz w:val="30"/>
          <w:szCs w:val="30"/>
        </w:rPr>
        <w:t>（七）申请接受</w:t>
      </w:r>
    </w:p>
    <w:p>
      <w:pPr>
        <w:adjustRightInd w:val="0"/>
        <w:spacing w:line="360" w:lineRule="auto"/>
        <w:ind w:firstLine="600" w:firstLineChars="200"/>
        <w:rPr>
          <w:rFonts w:hint="eastAsia" w:ascii="Times New Roman" w:hAnsi="Times New Roman" w:eastAsia="仿宋_GB2312" w:cs="Times New Roman"/>
          <w:sz w:val="30"/>
          <w:szCs w:val="30"/>
        </w:rPr>
      </w:pPr>
      <w:r>
        <w:rPr>
          <w:rFonts w:ascii="Times New Roman" w:hAnsi="Times New Roman" w:eastAsia="仿宋_GB2312" w:cs="Times New Roman"/>
          <w:sz w:val="30"/>
          <w:szCs w:val="30"/>
        </w:rPr>
        <w:t>申请人可通过</w:t>
      </w:r>
      <w:r>
        <w:rPr>
          <w:rFonts w:ascii="Times New Roman" w:hAnsi="Times New Roman" w:eastAsia="仿宋_GB2312" w:cs="Times New Roman"/>
          <w:color w:val="auto"/>
          <w:sz w:val="30"/>
          <w:szCs w:val="30"/>
        </w:rPr>
        <w:t>国家外汇局管理局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sz w:val="30"/>
          <w:szCs w:val="30"/>
        </w:rPr>
        <w:t>业务窗口提交材料</w:t>
      </w:r>
    </w:p>
    <w:p>
      <w:pPr>
        <w:adjustRightInd w:val="0"/>
        <w:spacing w:line="360" w:lineRule="auto"/>
        <w:ind w:firstLine="600" w:firstLineChars="200"/>
        <w:rPr>
          <w:rFonts w:hint="eastAsia" w:ascii="Times New Roman" w:hAnsi="Times New Roman" w:eastAsia="仿宋_GB2312" w:cs="Times New Roman"/>
          <w:sz w:val="30"/>
          <w:szCs w:val="30"/>
        </w:rPr>
      </w:pPr>
      <w:r>
        <w:rPr>
          <w:rFonts w:ascii="Times New Roman" w:hAnsi="黑体" w:eastAsia="黑体" w:cs="Times New Roman"/>
          <w:sz w:val="30"/>
          <w:szCs w:val="30"/>
        </w:rPr>
        <w:t>（八）基本办理流程</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pacing w:line="360" w:lineRule="auto"/>
        <w:ind w:firstLine="600" w:firstLineChars="200"/>
        <w:rPr>
          <w:rFonts w:ascii="Times New Roman" w:hAnsi="Times New Roman" w:eastAsia="黑体" w:cs="Times New Roman"/>
          <w:sz w:val="30"/>
          <w:szCs w:val="30"/>
        </w:rPr>
      </w:pPr>
      <w:r>
        <w:rPr>
          <w:rFonts w:ascii="Times New Roman" w:hAnsi="黑体" w:eastAsia="黑体" w:cs="Times New Roman"/>
          <w:sz w:val="30"/>
          <w:szCs w:val="30"/>
        </w:rPr>
        <w:t>（九）办理方式</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一般程序：申请、告知补正、受理、审核、办理登记或不予许可、出具相关业务办理凭证。</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（十一）审批收费依据及标准</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不收费。</w:t>
      </w:r>
    </w:p>
    <w:p>
      <w:pPr>
        <w:adjustRightInd w:val="0"/>
        <w:snapToGrid w:val="0"/>
        <w:spacing w:line="360" w:lineRule="auto"/>
        <w:ind w:firstLine="590"/>
        <w:rPr>
          <w:rFonts w:ascii="Times New Roman" w:hAnsi="Times New Roman" w:eastAsia="黑体" w:cs="Times New Roman"/>
          <w:sz w:val="30"/>
          <w:szCs w:val="30"/>
        </w:rPr>
      </w:pPr>
      <w:r>
        <w:rPr>
          <w:rFonts w:ascii="Times New Roman" w:hAnsi="黑体"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黑体" w:cs="Times New Roman"/>
          <w:sz w:val="30"/>
          <w:szCs w:val="30"/>
        </w:rPr>
        <w:t>（十五）咨询途径、监督和投诉、公开查询等由所在地分局（外汇管理部）办理</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向国家外汇局管理局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咨询、</w:t>
      </w:r>
      <w:r>
        <w:rPr>
          <w:rFonts w:hint="eastAsia" w:ascii="Times New Roman" w:hAnsi="Times New Roman" w:eastAsia="仿宋_GB2312" w:cs="Times New Roman"/>
          <w:color w:val="auto"/>
          <w:sz w:val="30"/>
          <w:szCs w:val="30"/>
        </w:rPr>
        <w:t>进度查询、</w:t>
      </w:r>
      <w:r>
        <w:rPr>
          <w:rFonts w:ascii="Times New Roman" w:hAnsi="Times New Roman" w:eastAsia="仿宋_GB2312" w:cs="Times New Roman"/>
          <w:color w:val="auto"/>
          <w:sz w:val="30"/>
          <w:szCs w:val="30"/>
        </w:rPr>
        <w:t>监督</w:t>
      </w:r>
      <w:r>
        <w:rPr>
          <w:rFonts w:hint="eastAsia" w:ascii="Times New Roman" w:hAnsi="Times New Roman" w:eastAsia="仿宋_GB2312" w:cs="Times New Roman"/>
          <w:color w:val="auto"/>
          <w:sz w:val="30"/>
          <w:szCs w:val="30"/>
        </w:rPr>
        <w:t>和</w:t>
      </w:r>
      <w:r>
        <w:rPr>
          <w:rFonts w:ascii="Times New Roman" w:hAnsi="Times New Roman" w:eastAsia="仿宋_GB2312" w:cs="Times New Roman"/>
          <w:color w:val="auto"/>
          <w:sz w:val="30"/>
          <w:szCs w:val="30"/>
        </w:rPr>
        <w:t>投诉等可通过</w:t>
      </w:r>
      <w:r>
        <w:rPr>
          <w:rFonts w:hint="eastAsia" w:ascii="Times New Roman" w:hAnsi="Times New Roman" w:eastAsia="仿宋_GB2312" w:cs="Times New Roman"/>
          <w:color w:val="auto"/>
          <w:sz w:val="30"/>
          <w:szCs w:val="30"/>
        </w:rPr>
        <w:t>电话、</w:t>
      </w:r>
      <w:r>
        <w:rPr>
          <w:rFonts w:ascii="Times New Roman" w:hAnsi="Times New Roman" w:eastAsia="仿宋_GB2312" w:cs="Times New Roman"/>
          <w:color w:val="auto"/>
          <w:sz w:val="30"/>
          <w:szCs w:val="30"/>
        </w:rPr>
        <w:t>国家外汇局管理局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官方互联网站</w:t>
      </w:r>
      <w:r>
        <w:rPr>
          <w:rFonts w:hint="eastAsia" w:ascii="Times New Roman" w:hAnsi="Times New Roman" w:eastAsia="仿宋_GB2312" w:cs="Times New Roman"/>
          <w:color w:val="auto"/>
          <w:sz w:val="30"/>
          <w:szCs w:val="30"/>
        </w:rPr>
        <w:t>咨询反馈</w:t>
      </w:r>
      <w:r>
        <w:rPr>
          <w:rFonts w:ascii="Times New Roman" w:hAnsi="Times New Roman" w:eastAsia="仿宋_GB2312" w:cs="Times New Roman"/>
          <w:color w:val="auto"/>
          <w:sz w:val="30"/>
          <w:szCs w:val="30"/>
        </w:rPr>
        <w:t>栏目进行。</w:t>
      </w:r>
    </w:p>
    <w:p>
      <w:pPr>
        <w:adjustRightInd w:val="0"/>
        <w:snapToGrid w:val="0"/>
        <w:spacing w:line="360" w:lineRule="auto"/>
        <w:ind w:firstLine="600"/>
        <w:rPr>
          <w:rFonts w:hint="default"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rPr>
        <w:t>电话：029-88</w:t>
      </w:r>
      <w:r>
        <w:rPr>
          <w:rFonts w:hint="eastAsia" w:ascii="Times New Roman" w:hAnsi="Times New Roman" w:eastAsia="仿宋_GB2312" w:cs="Times New Roman"/>
          <w:color w:val="auto"/>
          <w:sz w:val="30"/>
          <w:szCs w:val="30"/>
          <w:lang w:val="en-US" w:eastAsia="zh-CN"/>
        </w:rPr>
        <w:t>150978；029-88150690</w:t>
      </w:r>
    </w:p>
    <w:p>
      <w:pPr>
        <w:adjustRightInd w:val="0"/>
        <w:snapToGrid w:val="0"/>
        <w:spacing w:line="360" w:lineRule="auto"/>
        <w:ind w:firstLine="600"/>
        <w:rPr>
          <w:rFonts w:ascii="Times New Roman" w:hAnsi="Times New Roman" w:eastAsia="仿宋_GB2312" w:cs="Times New Roman"/>
          <w:color w:val="auto"/>
          <w:sz w:val="30"/>
        </w:rPr>
      </w:pPr>
      <w:r>
        <w:rPr>
          <w:rFonts w:hint="eastAsia" w:ascii="Times New Roman" w:hAnsi="Times New Roman" w:eastAsia="仿宋_GB2312" w:cs="Times New Roman"/>
          <w:color w:val="auto"/>
          <w:sz w:val="30"/>
          <w:szCs w:val="30"/>
        </w:rPr>
        <w:t>网址：</w:t>
      </w:r>
      <w:r>
        <w:rPr>
          <w:rFonts w:ascii="Calibri" w:hAnsi="Calibri" w:eastAsia="宋体" w:cs="黑体"/>
          <w:color w:val="auto"/>
        </w:rPr>
        <w:fldChar w:fldCharType="begin"/>
      </w:r>
      <w:r>
        <w:rPr>
          <w:rFonts w:ascii="Calibri" w:hAnsi="Calibri" w:eastAsia="宋体" w:cs="黑体"/>
          <w:color w:val="auto"/>
        </w:rPr>
        <w:instrText xml:space="preserve"> HYPERLINK "http://www.safe.gov.cn" </w:instrText>
      </w:r>
      <w:r>
        <w:rPr>
          <w:rFonts w:ascii="Calibri" w:hAnsi="Calibri" w:eastAsia="宋体" w:cs="黑体"/>
          <w:color w:val="auto"/>
        </w:rPr>
        <w:fldChar w:fldCharType="separate"/>
      </w:r>
      <w:r>
        <w:rPr>
          <w:rFonts w:ascii="Times New Roman" w:hAnsi="Times New Roman" w:eastAsia="仿宋_GB2312" w:cs="Times New Roman"/>
          <w:color w:val="auto"/>
          <w:sz w:val="30"/>
        </w:rPr>
        <w:t>www.safe.gov.cn</w:t>
      </w:r>
      <w:r>
        <w:rPr>
          <w:rFonts w:ascii="Times New Roman" w:hAnsi="Times New Roman" w:eastAsia="仿宋_GB2312" w:cs="Times New Roman"/>
          <w:color w:val="auto"/>
          <w:sz w:val="30"/>
        </w:rPr>
        <w:fldChar w:fldCharType="end"/>
      </w:r>
      <w:r>
        <w:rPr>
          <w:rFonts w:hint="eastAsia" w:ascii="Times New Roman" w:hAnsi="Times New Roman" w:eastAsia="仿宋_GB2312" w:cs="Times New Roman"/>
          <w:color w:val="auto"/>
          <w:sz w:val="30"/>
        </w:rPr>
        <w:t>/shaanxi</w:t>
      </w:r>
    </w:p>
    <w:p>
      <w:pPr>
        <w:adjustRightInd w:val="0"/>
        <w:snapToGrid w:val="0"/>
        <w:spacing w:line="360" w:lineRule="auto"/>
        <w:ind w:firstLine="600"/>
        <w:rPr>
          <w:rFonts w:hint="eastAsia" w:ascii="黑体" w:hAnsi="黑体" w:eastAsia="黑体" w:cs="黑体"/>
          <w:color w:val="auto"/>
          <w:sz w:val="30"/>
          <w:szCs w:val="30"/>
        </w:rPr>
      </w:pPr>
      <w:r>
        <w:rPr>
          <w:rFonts w:hint="eastAsia" w:ascii="黑体" w:hAnsi="黑体" w:eastAsia="黑体" w:cs="黑体"/>
          <w:color w:val="auto"/>
          <w:sz w:val="30"/>
          <w:szCs w:val="30"/>
        </w:rPr>
        <w:t>（十</w:t>
      </w:r>
      <w:r>
        <w:rPr>
          <w:rFonts w:hint="eastAsia" w:ascii="黑体" w:hAnsi="黑体" w:eastAsia="黑体" w:cs="黑体"/>
          <w:color w:val="auto"/>
          <w:sz w:val="30"/>
          <w:szCs w:val="30"/>
          <w:lang w:eastAsia="zh-CN"/>
        </w:rPr>
        <w:t>六</w:t>
      </w:r>
      <w:r>
        <w:rPr>
          <w:rFonts w:hint="eastAsia" w:ascii="黑体" w:hAnsi="黑体" w:eastAsia="黑体" w:cs="黑体"/>
          <w:color w:val="auto"/>
          <w:sz w:val="30"/>
          <w:szCs w:val="30"/>
        </w:rPr>
        <w:t>）办公地址和时间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办公地址：西安市高新路49号，中国人民银行西安分行</w:t>
      </w:r>
      <w:r>
        <w:rPr>
          <w:rFonts w:hint="eastAsia" w:ascii="Times New Roman" w:hAnsi="Times New Roman" w:eastAsia="仿宋_GB2312" w:cs="Times New Roman"/>
          <w:color w:val="auto"/>
          <w:sz w:val="30"/>
          <w:szCs w:val="30"/>
          <w:lang w:eastAsia="zh-CN"/>
        </w:rPr>
        <w:t>机关大楼</w:t>
      </w:r>
      <w:bookmarkStart w:id="0" w:name="_GoBack"/>
      <w:bookmarkEnd w:id="0"/>
      <w:r>
        <w:rPr>
          <w:rFonts w:hint="eastAsia" w:ascii="Times New Roman" w:hAnsi="Times New Roman" w:eastAsia="仿宋_GB2312" w:cs="Times New Roman"/>
          <w:color w:val="auto"/>
          <w:sz w:val="30"/>
          <w:szCs w:val="30"/>
          <w:lang w:val="en-US" w:eastAsia="zh-CN"/>
        </w:rPr>
        <w:t>908</w:t>
      </w:r>
      <w:r>
        <w:rPr>
          <w:rFonts w:hint="eastAsia" w:ascii="Times New Roman" w:hAnsi="Times New Roman" w:eastAsia="仿宋_GB2312" w:cs="Times New Roman"/>
          <w:color w:val="auto"/>
          <w:sz w:val="30"/>
          <w:szCs w:val="30"/>
        </w:rPr>
        <w:t>房间。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办公时间：工作日8:30-11:30,13:30-17:00。</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Group 1115" o:spid="_x0000_s1026" style="position:absolute;left:0;margin-left:-11.65pt;margin-top:15.1pt;height:586.05pt;width:446.05pt;rotation:0f;z-index:251658240;" coordorigin="0,0" coordsize="8921,11721">
            <o:lock v:ext="edit" position="f" selection="f" grouping="f" rotation="f" cropping="f" text="f" aspectratio="f"/>
            <v:rect id="Rectangle 1116" o:spid="_x0000_s1027"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117" o:spid="_x0000_s1028"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118" o:spid="_x0000_s1029"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119" o:spid="_x0000_s1030"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20" o:spid="_x0000_s1031"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21" o:spid="_x0000_s1032"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22" o:spid="_x0000_s1033"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23" o:spid="_x0000_s1034"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124" o:spid="_x0000_s1035" style="position:absolute;left:0;top:0;height:7693;width:8921;rotation:0f;" coordorigin="0,0" coordsize="8921,7693">
              <o:lock v:ext="edit" position="f" selection="f" grouping="f" rotation="f" cropping="f" text="f" aspectratio="f"/>
              <v:shape id="AutoShape 1125" o:spid="_x0000_s1036"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126" o:spid="_x0000_s1037" style="position:absolute;left:0;top:0;height:7693;width:8921;rotation:0f;" coordorigin="0,0" coordsize="8921,7693">
                <o:lock v:ext="edit" position="f" selection="f" grouping="f" rotation="f" cropping="f" text="f" aspectratio="f"/>
                <v:shape id="AutoShape 1127" o:spid="_x0000_s1038"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128" o:spid="_x0000_s1039"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129" o:spid="_x0000_s1040"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130" o:spid="_x0000_s1041"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131" o:spid="_x0000_s1042"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132" o:spid="_x0000_s1043"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133" o:spid="_x0000_s1044"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134" o:spid="_x0000_s1045"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1135" o:spid="_x0000_s1046" style="position:absolute;left:0;top:0;height:7424;width:4594;rotation:0f;" coordorigin="0,0" coordsize="4594,7424">
                  <o:lock v:ext="edit" position="f" selection="f" grouping="f" rotation="f" cropping="f" text="f" aspectratio="f"/>
                  <v:shape id="AutoShape 1136" o:spid="_x0000_s1047"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37" o:spid="_x0000_s1048"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138" o:spid="_x0000_s1049" style="position:absolute;left:0;top:0;height:3986;width:3629;rotation:0f;" coordorigin="0,0" coordsize="3629,3986">
                    <o:lock v:ext="edit" position="f" selection="f" grouping="f" rotation="f" cropping="f" text="f" aspectratio="f"/>
                    <v:shape id="AutoShape 1139" o:spid="_x0000_s1050"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40" o:spid="_x0000_s1051"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41" o:spid="_x0000_s1052"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142" o:spid="_x0000_s1053"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143" o:spid="_x0000_s1054"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44" o:spid="_x0000_s1055"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45" o:spid="_x0000_s1056"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146" o:spid="_x0000_s1057"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147" o:spid="_x0000_s1058"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148" o:spid="_x0000_s1059"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附录二</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问：融资租赁类公司开展对外融资租赁业务时，是否有额度限制？</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答：融资租赁类公司开展对外融资租赁业务时，不受现行境内企业境外放款额度限制。</w:t>
      </w: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panose1 w:val="02000000000000000000"/>
    <w:charset w:val="86"/>
    <w:family w:val="auto"/>
    <w:pitch w:val="default"/>
    <w:sig w:usb0="A00002BF" w:usb1="38CF7CFA" w:usb2="00082016" w:usb3="00000000" w:csb0="0004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13</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7</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23DF"/>
    <w:rsid w:val="00023783"/>
    <w:rsid w:val="00041960"/>
    <w:rsid w:val="00042B58"/>
    <w:rsid w:val="00054B00"/>
    <w:rsid w:val="00055270"/>
    <w:rsid w:val="0006560A"/>
    <w:rsid w:val="00072F8A"/>
    <w:rsid w:val="000750C8"/>
    <w:rsid w:val="00080630"/>
    <w:rsid w:val="00091661"/>
    <w:rsid w:val="00092D53"/>
    <w:rsid w:val="00096CBB"/>
    <w:rsid w:val="00097F7B"/>
    <w:rsid w:val="000A161C"/>
    <w:rsid w:val="000B6901"/>
    <w:rsid w:val="000B728B"/>
    <w:rsid w:val="000C15B3"/>
    <w:rsid w:val="000C2B33"/>
    <w:rsid w:val="000D1995"/>
    <w:rsid w:val="000D7478"/>
    <w:rsid w:val="0012271F"/>
    <w:rsid w:val="00130519"/>
    <w:rsid w:val="00132A7E"/>
    <w:rsid w:val="00135BEE"/>
    <w:rsid w:val="0014667A"/>
    <w:rsid w:val="00154B58"/>
    <w:rsid w:val="00157C64"/>
    <w:rsid w:val="00157E81"/>
    <w:rsid w:val="001625DF"/>
    <w:rsid w:val="00170126"/>
    <w:rsid w:val="00177059"/>
    <w:rsid w:val="00180135"/>
    <w:rsid w:val="00181D3E"/>
    <w:rsid w:val="00196FAE"/>
    <w:rsid w:val="001A3E49"/>
    <w:rsid w:val="001A72AA"/>
    <w:rsid w:val="001B1E2C"/>
    <w:rsid w:val="001C44C7"/>
    <w:rsid w:val="001C6CBD"/>
    <w:rsid w:val="001C7306"/>
    <w:rsid w:val="001D65A2"/>
    <w:rsid w:val="001E1407"/>
    <w:rsid w:val="001E2203"/>
    <w:rsid w:val="001E3099"/>
    <w:rsid w:val="001F4BD4"/>
    <w:rsid w:val="001F7297"/>
    <w:rsid w:val="00205D07"/>
    <w:rsid w:val="00212F39"/>
    <w:rsid w:val="00217116"/>
    <w:rsid w:val="00231EED"/>
    <w:rsid w:val="00233841"/>
    <w:rsid w:val="00235F24"/>
    <w:rsid w:val="002417D2"/>
    <w:rsid w:val="00241FE8"/>
    <w:rsid w:val="0024527E"/>
    <w:rsid w:val="00253F7B"/>
    <w:rsid w:val="00263B1F"/>
    <w:rsid w:val="00291C17"/>
    <w:rsid w:val="0029313A"/>
    <w:rsid w:val="002B0B1C"/>
    <w:rsid w:val="002B598D"/>
    <w:rsid w:val="002B61C1"/>
    <w:rsid w:val="002C0FF3"/>
    <w:rsid w:val="002E1323"/>
    <w:rsid w:val="002F3868"/>
    <w:rsid w:val="00302119"/>
    <w:rsid w:val="00302E87"/>
    <w:rsid w:val="00310261"/>
    <w:rsid w:val="00312CA6"/>
    <w:rsid w:val="00343044"/>
    <w:rsid w:val="00344B01"/>
    <w:rsid w:val="00353AC4"/>
    <w:rsid w:val="003570D7"/>
    <w:rsid w:val="003616B4"/>
    <w:rsid w:val="00380E36"/>
    <w:rsid w:val="00383001"/>
    <w:rsid w:val="00387F6E"/>
    <w:rsid w:val="003A57B2"/>
    <w:rsid w:val="003A626F"/>
    <w:rsid w:val="003B05BF"/>
    <w:rsid w:val="003C7132"/>
    <w:rsid w:val="003D77A5"/>
    <w:rsid w:val="003E6BF6"/>
    <w:rsid w:val="003F0EBE"/>
    <w:rsid w:val="003F221D"/>
    <w:rsid w:val="003F3097"/>
    <w:rsid w:val="00402AE8"/>
    <w:rsid w:val="00405FE6"/>
    <w:rsid w:val="004105BC"/>
    <w:rsid w:val="00421C27"/>
    <w:rsid w:val="00423D7C"/>
    <w:rsid w:val="00440A1F"/>
    <w:rsid w:val="00443603"/>
    <w:rsid w:val="00443604"/>
    <w:rsid w:val="004472DB"/>
    <w:rsid w:val="004501EA"/>
    <w:rsid w:val="004504C7"/>
    <w:rsid w:val="00460458"/>
    <w:rsid w:val="0046792D"/>
    <w:rsid w:val="00476692"/>
    <w:rsid w:val="004767DF"/>
    <w:rsid w:val="00487F57"/>
    <w:rsid w:val="0049008B"/>
    <w:rsid w:val="00493CCC"/>
    <w:rsid w:val="004A0218"/>
    <w:rsid w:val="004A7840"/>
    <w:rsid w:val="004B38F2"/>
    <w:rsid w:val="004B545A"/>
    <w:rsid w:val="004B7E80"/>
    <w:rsid w:val="004C457E"/>
    <w:rsid w:val="004C48D5"/>
    <w:rsid w:val="004D03B7"/>
    <w:rsid w:val="004D1436"/>
    <w:rsid w:val="004D1CAF"/>
    <w:rsid w:val="004D57AE"/>
    <w:rsid w:val="00503B59"/>
    <w:rsid w:val="005056D4"/>
    <w:rsid w:val="00523A02"/>
    <w:rsid w:val="00526B2B"/>
    <w:rsid w:val="005279E3"/>
    <w:rsid w:val="005362B0"/>
    <w:rsid w:val="00537E39"/>
    <w:rsid w:val="00542447"/>
    <w:rsid w:val="00564312"/>
    <w:rsid w:val="005801FA"/>
    <w:rsid w:val="005A2981"/>
    <w:rsid w:val="005C6937"/>
    <w:rsid w:val="005C7F02"/>
    <w:rsid w:val="005E35C5"/>
    <w:rsid w:val="005F0A86"/>
    <w:rsid w:val="005F144A"/>
    <w:rsid w:val="005F1C00"/>
    <w:rsid w:val="00605BF9"/>
    <w:rsid w:val="00607F26"/>
    <w:rsid w:val="0061621E"/>
    <w:rsid w:val="00621A3B"/>
    <w:rsid w:val="00630AA8"/>
    <w:rsid w:val="00630B2E"/>
    <w:rsid w:val="00643D2A"/>
    <w:rsid w:val="00651530"/>
    <w:rsid w:val="00654B92"/>
    <w:rsid w:val="00664E11"/>
    <w:rsid w:val="006707B0"/>
    <w:rsid w:val="00673B30"/>
    <w:rsid w:val="00674A78"/>
    <w:rsid w:val="00693524"/>
    <w:rsid w:val="00696E5D"/>
    <w:rsid w:val="006A252F"/>
    <w:rsid w:val="006B5B86"/>
    <w:rsid w:val="006C5908"/>
    <w:rsid w:val="006C633E"/>
    <w:rsid w:val="006D734F"/>
    <w:rsid w:val="006E043F"/>
    <w:rsid w:val="006E4695"/>
    <w:rsid w:val="006E4B8B"/>
    <w:rsid w:val="006E5901"/>
    <w:rsid w:val="0071091C"/>
    <w:rsid w:val="00714961"/>
    <w:rsid w:val="00744BD5"/>
    <w:rsid w:val="00745748"/>
    <w:rsid w:val="00750E36"/>
    <w:rsid w:val="00753CB0"/>
    <w:rsid w:val="00755460"/>
    <w:rsid w:val="00761FB7"/>
    <w:rsid w:val="00762107"/>
    <w:rsid w:val="00764CB9"/>
    <w:rsid w:val="00765B05"/>
    <w:rsid w:val="0077768E"/>
    <w:rsid w:val="0078225F"/>
    <w:rsid w:val="00785F45"/>
    <w:rsid w:val="007A2780"/>
    <w:rsid w:val="007A68EA"/>
    <w:rsid w:val="007B06FC"/>
    <w:rsid w:val="007B0FEF"/>
    <w:rsid w:val="007B2DB5"/>
    <w:rsid w:val="007C4AD9"/>
    <w:rsid w:val="007D2C11"/>
    <w:rsid w:val="007D6171"/>
    <w:rsid w:val="007D69EA"/>
    <w:rsid w:val="007E2C7B"/>
    <w:rsid w:val="007E411B"/>
    <w:rsid w:val="007F0863"/>
    <w:rsid w:val="007F2F3B"/>
    <w:rsid w:val="007F354C"/>
    <w:rsid w:val="00802307"/>
    <w:rsid w:val="00805630"/>
    <w:rsid w:val="0082168E"/>
    <w:rsid w:val="00821968"/>
    <w:rsid w:val="00834A14"/>
    <w:rsid w:val="008358C5"/>
    <w:rsid w:val="008471B6"/>
    <w:rsid w:val="00851521"/>
    <w:rsid w:val="0085686A"/>
    <w:rsid w:val="0086077B"/>
    <w:rsid w:val="00860878"/>
    <w:rsid w:val="008731FF"/>
    <w:rsid w:val="0088294A"/>
    <w:rsid w:val="0089282A"/>
    <w:rsid w:val="008A4538"/>
    <w:rsid w:val="008A704B"/>
    <w:rsid w:val="008B08D2"/>
    <w:rsid w:val="008B4EE5"/>
    <w:rsid w:val="008B5807"/>
    <w:rsid w:val="008D5FA0"/>
    <w:rsid w:val="008D6FF0"/>
    <w:rsid w:val="008E2D38"/>
    <w:rsid w:val="008F5724"/>
    <w:rsid w:val="00902633"/>
    <w:rsid w:val="009027D8"/>
    <w:rsid w:val="0090372F"/>
    <w:rsid w:val="00911E27"/>
    <w:rsid w:val="0092129A"/>
    <w:rsid w:val="00925BB2"/>
    <w:rsid w:val="00930C8C"/>
    <w:rsid w:val="009360EA"/>
    <w:rsid w:val="00944262"/>
    <w:rsid w:val="00947C57"/>
    <w:rsid w:val="00951149"/>
    <w:rsid w:val="00960EDB"/>
    <w:rsid w:val="009622DB"/>
    <w:rsid w:val="0096394B"/>
    <w:rsid w:val="009664BC"/>
    <w:rsid w:val="00980F02"/>
    <w:rsid w:val="00991B77"/>
    <w:rsid w:val="00997523"/>
    <w:rsid w:val="009A0C5D"/>
    <w:rsid w:val="009C4672"/>
    <w:rsid w:val="009C491B"/>
    <w:rsid w:val="009D0911"/>
    <w:rsid w:val="009D24F8"/>
    <w:rsid w:val="009D688C"/>
    <w:rsid w:val="009E6765"/>
    <w:rsid w:val="009F7A36"/>
    <w:rsid w:val="00A249C2"/>
    <w:rsid w:val="00A24FAB"/>
    <w:rsid w:val="00A301E7"/>
    <w:rsid w:val="00A42E69"/>
    <w:rsid w:val="00A45CA7"/>
    <w:rsid w:val="00A51415"/>
    <w:rsid w:val="00A6014E"/>
    <w:rsid w:val="00A60356"/>
    <w:rsid w:val="00A76CFB"/>
    <w:rsid w:val="00A81DF1"/>
    <w:rsid w:val="00A90EF3"/>
    <w:rsid w:val="00AA7717"/>
    <w:rsid w:val="00AB131E"/>
    <w:rsid w:val="00AB478B"/>
    <w:rsid w:val="00AB644F"/>
    <w:rsid w:val="00AC3F5E"/>
    <w:rsid w:val="00AE0729"/>
    <w:rsid w:val="00AE7ACF"/>
    <w:rsid w:val="00AF4988"/>
    <w:rsid w:val="00AF5675"/>
    <w:rsid w:val="00AF5DE3"/>
    <w:rsid w:val="00B06409"/>
    <w:rsid w:val="00B17D66"/>
    <w:rsid w:val="00B35D3A"/>
    <w:rsid w:val="00B422F1"/>
    <w:rsid w:val="00B640E8"/>
    <w:rsid w:val="00B71531"/>
    <w:rsid w:val="00B7456C"/>
    <w:rsid w:val="00B84131"/>
    <w:rsid w:val="00B8630E"/>
    <w:rsid w:val="00B931F4"/>
    <w:rsid w:val="00B95573"/>
    <w:rsid w:val="00B96395"/>
    <w:rsid w:val="00BA2AF8"/>
    <w:rsid w:val="00BB2650"/>
    <w:rsid w:val="00BB5BDC"/>
    <w:rsid w:val="00BB7B76"/>
    <w:rsid w:val="00BD233D"/>
    <w:rsid w:val="00BD41DF"/>
    <w:rsid w:val="00BF4EF0"/>
    <w:rsid w:val="00C00144"/>
    <w:rsid w:val="00C02E44"/>
    <w:rsid w:val="00C062E2"/>
    <w:rsid w:val="00C147D2"/>
    <w:rsid w:val="00C2075F"/>
    <w:rsid w:val="00C23799"/>
    <w:rsid w:val="00C274C9"/>
    <w:rsid w:val="00C31E02"/>
    <w:rsid w:val="00C52336"/>
    <w:rsid w:val="00C54291"/>
    <w:rsid w:val="00C672C3"/>
    <w:rsid w:val="00C712B2"/>
    <w:rsid w:val="00C96BEE"/>
    <w:rsid w:val="00C97FED"/>
    <w:rsid w:val="00CA1DBB"/>
    <w:rsid w:val="00CA2622"/>
    <w:rsid w:val="00CA7F2C"/>
    <w:rsid w:val="00CA7FF8"/>
    <w:rsid w:val="00CB5DE7"/>
    <w:rsid w:val="00CC068D"/>
    <w:rsid w:val="00CC4922"/>
    <w:rsid w:val="00CD1FF6"/>
    <w:rsid w:val="00CD779C"/>
    <w:rsid w:val="00CE25C7"/>
    <w:rsid w:val="00CE3335"/>
    <w:rsid w:val="00CE4849"/>
    <w:rsid w:val="00CE5C8E"/>
    <w:rsid w:val="00CE5F49"/>
    <w:rsid w:val="00D01626"/>
    <w:rsid w:val="00D06E69"/>
    <w:rsid w:val="00D3357D"/>
    <w:rsid w:val="00D33A4D"/>
    <w:rsid w:val="00D33F76"/>
    <w:rsid w:val="00D41F5E"/>
    <w:rsid w:val="00D43DC0"/>
    <w:rsid w:val="00D54E56"/>
    <w:rsid w:val="00D56F11"/>
    <w:rsid w:val="00D56F1C"/>
    <w:rsid w:val="00D6407D"/>
    <w:rsid w:val="00D93E78"/>
    <w:rsid w:val="00DC6E91"/>
    <w:rsid w:val="00DC7514"/>
    <w:rsid w:val="00DD3845"/>
    <w:rsid w:val="00DE2AE2"/>
    <w:rsid w:val="00E06E9C"/>
    <w:rsid w:val="00E1687A"/>
    <w:rsid w:val="00E20A2E"/>
    <w:rsid w:val="00E277DE"/>
    <w:rsid w:val="00E27EE9"/>
    <w:rsid w:val="00E3239D"/>
    <w:rsid w:val="00E32C95"/>
    <w:rsid w:val="00E3439B"/>
    <w:rsid w:val="00E42C5F"/>
    <w:rsid w:val="00E65A1B"/>
    <w:rsid w:val="00E72F1F"/>
    <w:rsid w:val="00E934AB"/>
    <w:rsid w:val="00EA06AC"/>
    <w:rsid w:val="00EA08BF"/>
    <w:rsid w:val="00EA24FB"/>
    <w:rsid w:val="00EA745F"/>
    <w:rsid w:val="00EB0760"/>
    <w:rsid w:val="00EB3204"/>
    <w:rsid w:val="00EB50BA"/>
    <w:rsid w:val="00EC3D33"/>
    <w:rsid w:val="00ED302A"/>
    <w:rsid w:val="00ED3A42"/>
    <w:rsid w:val="00EE02BC"/>
    <w:rsid w:val="00EE6970"/>
    <w:rsid w:val="00EE6A18"/>
    <w:rsid w:val="00EF38D0"/>
    <w:rsid w:val="00EF3DDF"/>
    <w:rsid w:val="00EF4A8C"/>
    <w:rsid w:val="00F23F3C"/>
    <w:rsid w:val="00F2678C"/>
    <w:rsid w:val="00F27B38"/>
    <w:rsid w:val="00F40278"/>
    <w:rsid w:val="00F41832"/>
    <w:rsid w:val="00F56988"/>
    <w:rsid w:val="00F620FB"/>
    <w:rsid w:val="00F624BD"/>
    <w:rsid w:val="00F6571F"/>
    <w:rsid w:val="00F8687E"/>
    <w:rsid w:val="00F87EB8"/>
    <w:rsid w:val="00F93331"/>
    <w:rsid w:val="00F95549"/>
    <w:rsid w:val="00FA1E24"/>
    <w:rsid w:val="00FA24FB"/>
    <w:rsid w:val="00FA632B"/>
    <w:rsid w:val="00FB38EA"/>
    <w:rsid w:val="00FB41F2"/>
    <w:rsid w:val="00FB5E0F"/>
    <w:rsid w:val="00FB6AFF"/>
    <w:rsid w:val="00FC4D8F"/>
    <w:rsid w:val="00FD06D3"/>
    <w:rsid w:val="00FD0B80"/>
    <w:rsid w:val="00FE3157"/>
    <w:rsid w:val="00FE6865"/>
    <w:rsid w:val="00FE6993"/>
    <w:rsid w:val="29680459"/>
    <w:rsid w:val="459E4321"/>
    <w:rsid w:val="4CDF3C6F"/>
    <w:rsid w:val="4F0B2B4B"/>
    <w:rsid w:val="5EB65015"/>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1119"/>
        <o:r id="V:Rule2" type="connector" idref="#AutoShape 1120"/>
        <o:r id="V:Rule3" type="connector" idref="#AutoShape 1121"/>
        <o:r id="V:Rule4" type="connector" idref="#AutoShape 1122"/>
        <o:r id="V:Rule5" type="connector" idref="#AutoShape 1123"/>
        <o:r id="V:Rule6" type="connector" idref="#AutoShape 1125"/>
        <o:r id="V:Rule7" type="connector" idref="#AutoShape 1127"/>
        <o:r id="V:Rule8" type="connector" idref="#AutoShape 1129"/>
        <o:r id="V:Rule9" type="connector" idref="#AutoShape 1136"/>
        <o:r id="V:Rule10" type="connector" idref="#AutoShape 1137"/>
        <o:r id="V:Rule11" type="connector" idref="#AutoShape 1139"/>
        <o:r id="V:Rule12" type="connector" idref="#AutoShape 1140"/>
        <o:r id="V:Rule13" type="connector" idref="#AutoShape 1143"/>
        <o:r id="V:Rule14" type="connector" idref="#AutoShape 1144"/>
        <o:r id="V:Rule15" type="connector" idref="#AutoShape 1145"/>
        <o:r id="V:Rule16" type="connector" idref="#AutoShape 1148"/>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qFormat/>
    <w:uiPriority w:val="99"/>
    <w:pPr>
      <w:tabs>
        <w:tab w:val="center" w:pos="4153"/>
        <w:tab w:val="right" w:pos="8306"/>
      </w:tabs>
      <w:snapToGrid w:val="0"/>
      <w:jc w:val="left"/>
    </w:pPr>
    <w:rPr>
      <w:sz w:val="18"/>
      <w:szCs w:val="18"/>
    </w:rPr>
  </w:style>
  <w:style w:type="paragraph" w:styleId="9">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qFormat/>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qFormat/>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99"/>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qFormat/>
    <w:uiPriority w:val="99"/>
    <w:rPr>
      <w:sz w:val="18"/>
      <w:szCs w:val="18"/>
    </w:rPr>
  </w:style>
  <w:style w:type="character" w:customStyle="1" w:styleId="28">
    <w:name w:val="页脚 Char"/>
    <w:basedOn w:val="13"/>
    <w:link w:val="8"/>
    <w:qFormat/>
    <w:uiPriority w:val="99"/>
    <w:rPr>
      <w:sz w:val="18"/>
      <w:szCs w:val="18"/>
    </w:rPr>
  </w:style>
  <w:style w:type="character" w:customStyle="1" w:styleId="29">
    <w:name w:val="批注框文本 Char"/>
    <w:basedOn w:val="13"/>
    <w:link w:val="7"/>
    <w:semiHidden/>
    <w:qFormat/>
    <w:uiPriority w:val="0"/>
    <w:rPr>
      <w:sz w:val="18"/>
      <w:szCs w:val="18"/>
    </w:rPr>
  </w:style>
  <w:style w:type="character" w:customStyle="1" w:styleId="30">
    <w:name w:val="HTML 预设格式 Char"/>
    <w:basedOn w:val="13"/>
    <w:link w:val="11"/>
    <w:qFormat/>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274</Words>
  <Characters>1562</Characters>
  <Lines>13</Lines>
  <Paragraphs>3</Paragraphs>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2020-03-17T07:54:00Z</dcterms:created>
  <dc:creator>裴建君2</dc:creator>
  <cp:lastModifiedBy>陈炅炜</cp:lastModifiedBy>
  <cp:lastPrinted>2017-11-24T00:22:00Z</cp:lastPrinted>
  <dcterms:modified xsi:type="dcterms:W3CDTF">2021-03-25T08:02:38Z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