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仿宋_GB2312" w:cs="Times New Roman"/>
          <w:sz w:val="30"/>
          <w:szCs w:val="30"/>
        </w:rPr>
      </w:pPr>
    </w:p>
    <w:p>
      <w:pPr>
        <w:rPr>
          <w:rFonts w:ascii="Times New Roman" w:hAnsi="Times New Roman" w:eastAsia="仿宋_GB2312" w:cs="Times New Roman"/>
          <w:sz w:val="30"/>
          <w:szCs w:val="30"/>
        </w:rPr>
      </w:pPr>
    </w:p>
    <w:p>
      <w:pPr>
        <w:rPr>
          <w:rFonts w:ascii="Times New Roman" w:hAnsi="Times New Roman" w:eastAsia="黑体" w:cs="Times New Roman"/>
          <w:sz w:val="48"/>
          <w:szCs w:val="48"/>
        </w:rPr>
      </w:pPr>
      <w:r>
        <w:rPr>
          <w:rFonts w:hint="eastAsia" w:ascii="Times New Roman" w:hAnsi="Times New Roman" w:eastAsia="黑体" w:cs="Times New Roman"/>
          <w:sz w:val="48"/>
          <w:szCs w:val="48"/>
        </w:rPr>
        <w:t xml:space="preserve">             </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非银行债务人外债登记</w:t>
      </w:r>
      <w:r>
        <w:rPr>
          <w:rFonts w:ascii="Times New Roman" w:hAnsi="Times New Roman" w:eastAsia="黑体" w:cs="Times New Roman"/>
          <w:sz w:val="52"/>
          <w:szCs w:val="52"/>
        </w:rPr>
        <w:t xml:space="preserve">”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发布机构：</w:t>
      </w:r>
      <w:r>
        <w:rPr>
          <w:rFonts w:hint="eastAsia" w:ascii="Times New Roman" w:hAnsi="Times New Roman" w:eastAsia="仿宋_GB2312" w:cs="Times New Roman"/>
          <w:sz w:val="32"/>
          <w:szCs w:val="32"/>
        </w:rPr>
        <w:t>国家外汇管理局陕西省分局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pStyle w:val="26"/>
        <w:adjustRightInd w:val="0"/>
        <w:snapToGrid w:val="0"/>
        <w:spacing w:line="360" w:lineRule="auto"/>
        <w:ind w:firstLine="0" w:firstLineChars="0"/>
        <w:outlineLvl w:val="0"/>
        <w:rPr>
          <w:rFonts w:ascii="Times New Roman" w:hAnsi="Times New Roman" w:eastAsia="黑体"/>
          <w:sz w:val="30"/>
          <w:szCs w:val="30"/>
        </w:rPr>
      </w:pPr>
      <w:r>
        <w:rPr>
          <w:rFonts w:ascii="Times New Roman" w:hAnsi="Times New Roman" w:eastAsia="黑体"/>
          <w:sz w:val="30"/>
          <w:szCs w:val="30"/>
        </w:rPr>
        <w:t xml:space="preserve">    一、项目信息</w:t>
      </w:r>
    </w:p>
    <w:p>
      <w:pPr>
        <w:pStyle w:val="26"/>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项目名称：境内机构外债、对外或有负债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审批、登记及履约核准；</w:t>
      </w:r>
    </w:p>
    <w:p>
      <w:pPr>
        <w:pStyle w:val="26"/>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项目编号：57006；</w:t>
      </w:r>
    </w:p>
    <w:p>
      <w:pPr>
        <w:pStyle w:val="26"/>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审批类别：行政许可；</w:t>
      </w:r>
    </w:p>
    <w:p>
      <w:pPr>
        <w:pStyle w:val="26"/>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审查类型：前审后批。</w:t>
      </w:r>
    </w:p>
    <w:p>
      <w:pPr>
        <w:numPr>
          <w:ilvl w:val="0"/>
          <w:numId w:val="1"/>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适用范围</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仿宋_GB2312" w:cs="Times New Roman"/>
          <w:sz w:val="30"/>
          <w:szCs w:val="30"/>
        </w:rPr>
        <w:t xml:space="preserve">    本指南适用于“境内机构外债、对外或有负债</w:t>
      </w:r>
      <w:r>
        <w:rPr>
          <w:rFonts w:hint="eastAsia" w:ascii="Times New Roman" w:hAnsi="Times New Roman" w:eastAsia="仿宋_GB2312" w:cs="Times New Roman"/>
          <w:sz w:val="30"/>
          <w:szCs w:val="30"/>
        </w:rPr>
        <w:t>、外债转贷款</w:t>
      </w:r>
      <w:r>
        <w:rPr>
          <w:rFonts w:ascii="Times New Roman" w:hAnsi="Times New Roman" w:eastAsia="仿宋_GB2312" w:cs="Times New Roman"/>
          <w:sz w:val="30"/>
          <w:szCs w:val="30"/>
        </w:rPr>
        <w:t>审批、登记及履约核准”的申请和办理。</w:t>
      </w:r>
    </w:p>
    <w:p>
      <w:pPr>
        <w:numPr>
          <w:ilvl w:val="0"/>
          <w:numId w:val="2"/>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（一）《中华人民共和国外汇管理条例》（国务院令第532号）第十八条：“国家对外债实行规模管理。借用外债应当按照国家有关规定办理，并到外汇管理机关办理外债登记”；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九条：“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（三）《国务院对确需保留的行政审批项目设定行政许可的决定》（国务院令第412号）附件第471项“境内机构外债、外债转贷款、对外担保履约核准”；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（四）《国务院对确需保留的行政审批项目设定行政许可的决定》（国务院令第412号）附件第485项“境内外资金融机构短期外债核准”；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（五）《外债管理暂行办法》（国家发展计划委员会、财政部、国家外汇管理局令第28号）第十六条：“国家对境内中资机构举借短期国际商业贷款实行余额管理，余额由国家外汇管理局核定”。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四、非银行债务人外债登记</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2.《外债统计监测暂行规定》（1987年公布）。</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3.《国家外汇管理局关于发布〈外债登记管理办法〉的通知》（汇发〔2013〕19号）。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4. 《中国人民银行关于全口径跨境融资宏观审慎管理有关事宜的通知》（银发〔2017〕9号）。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5.《国家外汇管理局关于印发〈跨国公司跨境资金集中运营管理规定〉的通知》（汇发〔2019〕7号）。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w:t>
      </w:r>
      <w:r>
        <w:rPr>
          <w:rFonts w:ascii="Times New Roman" w:hAnsi="Times New Roman" w:cs="Times New Roman"/>
        </w:rPr>
        <w:t xml:space="preserve"> </w:t>
      </w:r>
      <w:r>
        <w:rPr>
          <w:rFonts w:ascii="Times New Roman" w:hAnsi="Times New Roman" w:eastAsia="仿宋_GB2312" w:cs="Times New Roman"/>
          <w:sz w:val="30"/>
          <w:szCs w:val="30"/>
        </w:rPr>
        <w:t>《国家外汇管理局关于进一步促进跨境贸易投资便利化的通知》（汇发〔2019〕28号）。</w:t>
      </w:r>
    </w:p>
    <w:p>
      <w:pPr>
        <w:adjustRightInd w:val="0"/>
        <w:snapToGrid w:val="0"/>
        <w:spacing w:line="360" w:lineRule="auto"/>
        <w:ind w:firstLine="600" w:firstLineChars="200"/>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7.</w:t>
      </w:r>
      <w:r>
        <w:rPr>
          <w:rFonts w:hint="eastAsia" w:ascii="Times New Roman" w:hAnsi="Times New Roman" w:eastAsia="仿宋_GB2312" w:cs="Times New Roman"/>
          <w:sz w:val="30"/>
          <w:szCs w:val="30"/>
          <w:lang w:val="en-US" w:eastAsia="zh-CN"/>
        </w:rPr>
        <w:t>《</w:t>
      </w:r>
      <w:r>
        <w:rPr>
          <w:rFonts w:ascii="Times New Roman" w:hAnsi="Times New Roman" w:eastAsia="仿宋_GB2312" w:cs="Times New Roman"/>
          <w:sz w:val="30"/>
          <w:szCs w:val="30"/>
        </w:rPr>
        <w:fldChar w:fldCharType="begin"/>
      </w:r>
      <w:r>
        <w:rPr>
          <w:rFonts w:ascii="Times New Roman" w:hAnsi="Times New Roman" w:eastAsia="仿宋_GB2312" w:cs="Times New Roman"/>
          <w:sz w:val="30"/>
          <w:szCs w:val="30"/>
        </w:rPr>
        <w:instrText xml:space="preserve"> HYPERLINK "http://11.44.10.72/spa/workflow/static4form/javascript:void(0);" \o "中国人民银行 国家外汇管理局关于调整境内企业境外放款宏观审慎调节系数的通知.gd" </w:instrText>
      </w:r>
      <w:r>
        <w:rPr>
          <w:rFonts w:ascii="Times New Roman" w:hAnsi="Times New Roman" w:eastAsia="仿宋_GB2312" w:cs="Times New Roman"/>
          <w:sz w:val="30"/>
          <w:szCs w:val="30"/>
        </w:rPr>
        <w:fldChar w:fldCharType="separate"/>
      </w:r>
      <w:r>
        <w:rPr>
          <w:rFonts w:hint="eastAsia" w:ascii="Times New Roman" w:hAnsi="Times New Roman" w:eastAsia="仿宋_GB2312" w:cs="Times New Roman"/>
          <w:sz w:val="30"/>
          <w:szCs w:val="30"/>
        </w:rPr>
        <w:t>中国人民银行 国家外汇管理局关于调整境内企业境外放款宏观审慎调节系数的通知</w:t>
      </w:r>
      <w:r>
        <w:rPr>
          <w:rFonts w:hint="eastAsia" w:ascii="Times New Roman" w:hAnsi="Times New Roman" w:eastAsia="仿宋_GB2312" w:cs="Times New Roman"/>
          <w:sz w:val="30"/>
          <w:szCs w:val="30"/>
        </w:rPr>
        <w:fldChar w:fldCharType="end"/>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银发〔2021〕2号</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8.</w:t>
      </w:r>
      <w:r>
        <w:rPr>
          <w:rFonts w:hint="eastAsia" w:ascii="Times New Roman" w:hAnsi="Times New Roman" w:eastAsia="仿宋_GB2312" w:cs="Times New Roman"/>
          <w:sz w:val="30"/>
          <w:szCs w:val="30"/>
        </w:rPr>
        <w:t>《国家外汇管理局关于印发&lt;跨国公司跨境资金集中运营管理规定&gt;的通知》（汇发〔2019〕7号）。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仿宋_GB2312" w:cs="Times New Roman"/>
          <w:color w:val="auto"/>
          <w:sz w:val="30"/>
          <w:szCs w:val="30"/>
        </w:rPr>
        <w:t>国家外汇局管理局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sz w:val="30"/>
          <w:szCs w:val="30"/>
        </w:rPr>
        <w:t>。</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（三）决定机构</w:t>
      </w:r>
    </w:p>
    <w:p>
      <w:pPr>
        <w:adjustRightInd w:val="0"/>
        <w:snapToGrid w:val="0"/>
        <w:spacing w:line="360" w:lineRule="auto"/>
        <w:ind w:firstLine="600" w:firstLineChars="200"/>
        <w:rPr>
          <w:rFonts w:hint="eastAsia" w:ascii="Times New Roman" w:hAnsi="Times New Roman" w:eastAsia="仿宋_GB2312" w:cs="Times New Roman"/>
          <w:color w:val="auto"/>
          <w:sz w:val="30"/>
          <w:szCs w:val="30"/>
          <w:lang w:eastAsia="zh-CN"/>
        </w:rPr>
      </w:pPr>
      <w:r>
        <w:rPr>
          <w:rFonts w:ascii="Times New Roman" w:hAnsi="Times New Roman" w:eastAsia="仿宋_GB2312" w:cs="Times New Roman"/>
          <w:color w:val="auto"/>
          <w:sz w:val="30"/>
          <w:szCs w:val="30"/>
        </w:rPr>
        <w:t>国家外汇局管理局</w:t>
      </w:r>
      <w:r>
        <w:rPr>
          <w:rFonts w:hint="eastAsia" w:ascii="Times New Roman" w:hAnsi="Times New Roman" w:eastAsia="仿宋_GB2312" w:cs="Times New Roman"/>
          <w:color w:val="auto"/>
          <w:sz w:val="30"/>
          <w:szCs w:val="30"/>
        </w:rPr>
        <w:t>陕西省分局</w:t>
      </w:r>
      <w:r>
        <w:rPr>
          <w:rFonts w:hint="eastAsia" w:ascii="Times New Roman" w:hAnsi="Times New Roman" w:eastAsia="仿宋_GB2312" w:cs="Times New Roman"/>
          <w:color w:val="auto"/>
          <w:sz w:val="30"/>
          <w:szCs w:val="30"/>
          <w:lang w:eastAsia="zh-CN"/>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仿宋_GB2312" w:eastAsia="仿宋_GB2312" w:cs="Times New Roman"/>
          <w:sz w:val="30"/>
          <w:szCs w:val="30"/>
        </w:rPr>
        <w:t>无数量限制，按全口径跨境融资宏观审慎或</w:t>
      </w:r>
      <w:r>
        <w:rPr>
          <w:rFonts w:ascii="Times New Roman" w:hAnsi="Times New Roman" w:eastAsia="仿宋_GB2312" w:cs="Times New Roman"/>
          <w:sz w:val="30"/>
          <w:szCs w:val="30"/>
        </w:rPr>
        <w:t>“</w:t>
      </w:r>
      <w:r>
        <w:rPr>
          <w:rFonts w:ascii="Times New Roman" w:hAnsi="仿宋_GB2312" w:eastAsia="仿宋_GB2312" w:cs="Times New Roman"/>
          <w:sz w:val="30"/>
          <w:szCs w:val="30"/>
        </w:rPr>
        <w:t>投注差</w:t>
      </w:r>
      <w:r>
        <w:rPr>
          <w:rFonts w:ascii="Times New Roman" w:hAnsi="Times New Roman" w:eastAsia="仿宋_GB2312" w:cs="Times New Roman"/>
          <w:sz w:val="30"/>
          <w:szCs w:val="30"/>
        </w:rPr>
        <w:t>”</w:t>
      </w:r>
      <w:r>
        <w:rPr>
          <w:rFonts w:ascii="Times New Roman" w:hAnsi="仿宋_GB2312" w:eastAsia="仿宋_GB2312" w:cs="Times New Roman"/>
          <w:sz w:val="30"/>
          <w:szCs w:val="30"/>
        </w:rPr>
        <w:t>模式管理。</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（五）办事条件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（1）新办登记。申请人为</w:t>
      </w:r>
      <w:r>
        <w:rPr>
          <w:rFonts w:hint="eastAsia" w:ascii="Times New Roman" w:hAnsi="Times New Roman" w:eastAsia="仿宋_GB2312" w:cs="Times New Roman"/>
          <w:sz w:val="30"/>
          <w:szCs w:val="30"/>
          <w:lang w:eastAsia="zh-CN"/>
        </w:rPr>
        <w:t>除</w:t>
      </w:r>
      <w:r>
        <w:rPr>
          <w:rFonts w:hint="eastAsia" w:ascii="Times New Roman" w:hAnsi="Times New Roman" w:eastAsia="仿宋_GB2312" w:cs="Times New Roman"/>
          <w:sz w:val="30"/>
          <w:szCs w:val="30"/>
          <w:lang w:val="en-US" w:eastAsia="zh-CN"/>
        </w:rPr>
        <w:t xml:space="preserve"> </w:t>
      </w:r>
      <w:r>
        <w:rPr>
          <w:rFonts w:ascii="Times New Roman" w:hAnsi="Times New Roman" w:eastAsia="仿宋_GB2312" w:cs="Times New Roman"/>
          <w:sz w:val="30"/>
          <w:szCs w:val="30"/>
        </w:rPr>
        <w:t>财政部门、银行以外的其他境内债务人（以下简称“非银行债务人”）。应当在不晚于外债提款前3个工作日内，到所在地外汇管理</w:t>
      </w:r>
      <w:r>
        <w:rPr>
          <w:rFonts w:hint="eastAsia" w:ascii="Times New Roman" w:hAnsi="Times New Roman" w:eastAsia="仿宋_GB2312" w:cs="Times New Roman"/>
          <w:sz w:val="30"/>
          <w:szCs w:val="30"/>
          <w:lang w:eastAsia="zh-CN"/>
        </w:rPr>
        <w:t>部门</w:t>
      </w:r>
      <w:r>
        <w:rPr>
          <w:rFonts w:ascii="Times New Roman" w:hAnsi="Times New Roman" w:eastAsia="仿宋_GB2312" w:cs="Times New Roman"/>
          <w:sz w:val="30"/>
          <w:szCs w:val="30"/>
        </w:rPr>
        <w:t>办理外债签约登记手续。非银行债务人融资租赁、售后融资性回租和发行境外债券等，也应办理外债签约登记手续。</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（2）变更登记。已办理签约登记的外债合同主要条款发生变化，如期限（展期等）、金额、债权人等，非银行债务人应办理外债签约变更登记。</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跨国公司跨境资金集中运营-集中外债额度业务备案。具备真实业务需求；具有完善的跨境资金管理架构、内控制度；建立相应的内部管理电子系统；上年度本外币国际收支规模超过1亿美元（参加跨境资金集中运营业务的境内成员企业合并计算）；近三年无重大外汇违法违规行为（成立不满三年的企业，自成立之日起无重大外汇违规行为）；主办企业和境内成员企业如为贸易外汇收支名录内企业，货物贸易分类结果应为A类；</w:t>
      </w:r>
      <w:r>
        <w:rPr>
          <w:rFonts w:ascii="Times New Roman" w:hAnsi="Times New Roman" w:eastAsia="仿宋_GB2312" w:cs="Times New Roman"/>
          <w:spacing w:val="-6"/>
          <w:sz w:val="30"/>
          <w:szCs w:val="30"/>
        </w:rPr>
        <w:t>国家外汇管理局规定的其他审慎监管条件</w:t>
      </w:r>
      <w:r>
        <w:rPr>
          <w:rFonts w:ascii="Times New Roman" w:hAnsi="Times New Roman" w:eastAsia="仿宋_GB2312" w:cs="Times New Roman"/>
          <w:sz w:val="30"/>
          <w:szCs w:val="30"/>
        </w:rPr>
        <w:t>。</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2.以下情形，不予办理外债签约登记：</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（1）2007年6月1日以后（含）取得商务主管部门批准证书且通过商务部备案的外商投资房地产企业；</w:t>
      </w:r>
    </w:p>
    <w:p>
      <w:pPr>
        <w:numPr>
          <w:ilvl w:val="0"/>
          <w:numId w:val="3"/>
        </w:num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外商投资房地产企业未取得《国有土地使用证》的，或开发项目资本金未达到项目投资总额35％的。</w:t>
      </w:r>
    </w:p>
    <w:p>
      <w:pPr>
        <w:numPr>
          <w:ilvl w:val="0"/>
          <w:numId w:val="3"/>
        </w:num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属于地方政府融资平台性质的公司与房地产企业，不适用于宏观审慎管理模式。</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3.境内机构在境外发行债券的，无论期限长短，均应在境外债券交割后15</w:t>
      </w:r>
      <w:r>
        <w:rPr>
          <w:rFonts w:hint="eastAsia" w:ascii="Times New Roman" w:hAnsi="Times New Roman" w:eastAsia="仿宋_GB2312" w:cs="Times New Roman"/>
          <w:sz w:val="30"/>
          <w:szCs w:val="30"/>
        </w:rPr>
        <w:t>个工作日</w:t>
      </w:r>
      <w:r>
        <w:rPr>
          <w:rFonts w:ascii="Times New Roman" w:hAnsi="Times New Roman" w:eastAsia="仿宋_GB2312" w:cs="Times New Roman"/>
          <w:sz w:val="30"/>
          <w:szCs w:val="30"/>
        </w:rPr>
        <w:t>内，按规定到所在地外汇局办理外债签约登记手续。境内机构对外发行短期债券的，应纳入全口径跨境融资宏观审慎政策框架进行管理。采用“投注差”外债管理模式的境内外商投资企业（包括2007年6月1日前成立的外资房地产企业）在境外发行短期债券，所发行的短期债券应占用该企业按“投注差”方式计算的外债额度。</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4. 非银行债务人已登记外债符合以下条件的，在办妥最后一笔还本付息业务、关闭相关外债账户后，可向所属分局（外汇管理部）辖内银行申请办理外债注销登记：</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（1）已登记外债未偿余额为零且不再发生提款；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（2）已登记外债完成所有还本付息业务且不再发生提款，但由于扣划手续费等合理原因导致未偿余额不为零，银行能够核实并确定未偿余额不为零的原因合理。 </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5. 不符合在银行办理外债注销登记条件（如债务减免、债转股等）的，非银行债务人应向所在地外汇局申请办理外债注销登记。</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6.禁止性要求：如符合上述条件，不存在不予许可的情况。</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1．非银行债务人外债登记-外债签约（变更）登记申请材料</w:t>
      </w:r>
    </w:p>
    <w:tbl>
      <w:tblPr>
        <w:tblStyle w:val="22"/>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4253"/>
        <w:gridCol w:w="992"/>
        <w:gridCol w:w="567"/>
        <w:gridCol w:w="851"/>
        <w:gridCol w:w="567"/>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5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r>
              <w:rPr>
                <w:rFonts w:hint="eastAsia" w:ascii="Times New Roman" w:hAnsi="Times New Roman" w:eastAsia="仿宋_GB2312" w:cs="Times New Roman"/>
                <w:sz w:val="24"/>
                <w:szCs w:val="24"/>
              </w:rPr>
              <w:t>（选择宏观审慎模式的机构，附《宏观审慎跨境融资风险加权余额情况表（企业版）》）</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加盖公章的外债合同主要条款复印件</w:t>
            </w:r>
            <w:r>
              <w:rPr>
                <w:rFonts w:hint="eastAsia" w:ascii="Times New Roman" w:hAnsi="Times New Roman" w:eastAsia="仿宋_GB2312" w:cs="Times New Roman"/>
                <w:sz w:val="24"/>
                <w:szCs w:val="24"/>
              </w:rPr>
              <w:t>（境外发行债券的，应提供全球债券证书等证明材料）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253"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选择宏观审慎模式的机构，提交</w:t>
            </w:r>
            <w:r>
              <w:rPr>
                <w:rFonts w:hint="eastAsia" w:ascii="Times New Roman" w:hAnsi="Times New Roman" w:eastAsia="仿宋_GB2312" w:cs="Times New Roman"/>
                <w:color w:val="000000"/>
                <w:sz w:val="24"/>
                <w:szCs w:val="24"/>
              </w:rPr>
              <w:t>上年度或最近一期经审计的财务报告，以及其他相关批准文件（发展改革部门备案文件，如有）</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4253"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选择</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投注差</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模式的外商投资企业，应提供外商投资企业批准证书或商务部业务系统统一平台打印的外商投资企业基本信息页面</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w:t>
            </w:r>
          </w:p>
        </w:tc>
        <w:tc>
          <w:tcPr>
            <w:tcW w:w="4253"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color w:val="000000"/>
                <w:sz w:val="24"/>
                <w:szCs w:val="24"/>
              </w:rPr>
              <w:t>因外债合同主要条款发生变化，需办理外债变更登记的，还需提供原《境内机构外债签约情况表》</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2.跨国公司跨境资金集中运营-集中外债额度业务备案</w:t>
      </w:r>
    </w:p>
    <w:tbl>
      <w:tblPr>
        <w:tblStyle w:val="22"/>
        <w:tblW w:w="90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5"/>
        <w:gridCol w:w="5567"/>
        <w:gridCol w:w="992"/>
        <w:gridCol w:w="387"/>
        <w:gridCol w:w="587"/>
        <w:gridCol w:w="494"/>
        <w:gridCol w:w="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5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38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58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9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49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备案申请书（包括跨国公司及主办企业基本情况、拟开展的业务种类、成员企业名单、主办企业及成员企业股权结构情况、拟选择的合作银行情况等</w:t>
            </w:r>
            <w:r>
              <w:rPr>
                <w:rFonts w:hint="eastAsia" w:ascii="Times New Roman" w:hAnsi="Times New Roman" w:eastAsia="仿宋_GB2312" w:cs="Times New Roman"/>
                <w:sz w:val="24"/>
                <w:szCs w:val="24"/>
                <w:lang w:eastAsia="zh-CN"/>
              </w:rPr>
              <w:t>，并</w:t>
            </w:r>
            <w:r>
              <w:rPr>
                <w:rFonts w:hint="eastAsia" w:ascii="Times New Roman" w:hAnsi="Times New Roman" w:eastAsia="仿宋_GB2312" w:cs="Times New Roman"/>
                <w:sz w:val="24"/>
                <w:szCs w:val="24"/>
              </w:rPr>
              <w:t>列表说明参加外债额度集中的境内成员企业名称、统一社会信用代码、注册地、每家境内成员企业最新一期经审计的所有者权益状况、拟集中的外债额度</w:t>
            </w:r>
            <w:r>
              <w:rPr>
                <w:rFonts w:ascii="Times New Roman" w:hAnsi="Times New Roman" w:eastAsia="仿宋_GB2312" w:cs="Times New Roman"/>
                <w:sz w:val="24"/>
                <w:szCs w:val="24"/>
              </w:rPr>
              <w:t>）</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494" w:type="dxa"/>
            <w:vAlign w:val="top"/>
          </w:tcPr>
          <w:p>
            <w:pPr>
              <w:keepNext/>
              <w:keepLines/>
              <w:spacing w:before="340" w:after="330" w:line="578"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跨国公司对主办企业开展跨境资金集中运营业务的授权书</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加盖跨国公司公章的</w:t>
            </w:r>
            <w:r>
              <w:rPr>
                <w:rFonts w:ascii="Times New Roman" w:hAnsi="Times New Roman" w:eastAsia="仿宋_GB2312" w:cs="Times New Roman"/>
                <w:sz w:val="24"/>
                <w:szCs w:val="24"/>
              </w:rPr>
              <w:t>原件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vAlign w:val="top"/>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主办企业与合作银行共同签署的《跨境资金集中运营业务办理确认书》（见附录四）</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vAlign w:val="top"/>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主办企业及境内成员企业营业执照复印件和货物贸易分类结果证明材料</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vAlign w:val="top"/>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9" w:hRule="atLeast"/>
        </w:trPr>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境外成员企业注册文件（非中文的同时提供中文翻译件）</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vAlign w:val="top"/>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trPr>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金融业务许可证及经营范围批准文件（仅主办企业为财务公司的需提供）</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vAlign w:val="top"/>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 w:hRule="atLeast"/>
        </w:trPr>
        <w:tc>
          <w:tcPr>
            <w:tcW w:w="4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5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贡献外债额度成员企业上年度经审计的资产负债表复印件</w:t>
            </w:r>
          </w:p>
        </w:tc>
        <w:tc>
          <w:tcPr>
            <w:tcW w:w="992" w:type="dxa"/>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3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94" w:type="dxa"/>
            <w:vAlign w:val="center"/>
          </w:tcPr>
          <w:p>
            <w:pPr>
              <w:jc w:val="center"/>
              <w:rPr>
                <w:rFonts w:ascii="Times New Roman" w:hAnsi="Times New Roman" w:eastAsia="仿宋_GB2312" w:cs="Times New Roman"/>
                <w:sz w:val="24"/>
                <w:szCs w:val="24"/>
              </w:rPr>
            </w:pPr>
          </w:p>
        </w:tc>
        <w:tc>
          <w:tcPr>
            <w:tcW w:w="494" w:type="dxa"/>
            <w:vAlign w:val="top"/>
          </w:tcPr>
          <w:p>
            <w:pPr>
              <w:jc w:val="center"/>
              <w:rPr>
                <w:rFonts w:ascii="Times New Roman" w:hAnsi="Times New Roman" w:eastAsia="仿宋_GB2312" w:cs="Times New Roman"/>
                <w:sz w:val="24"/>
                <w:szCs w:val="24"/>
              </w:rPr>
            </w:pPr>
          </w:p>
        </w:tc>
      </w:tr>
    </w:tbl>
    <w:p>
      <w:pPr>
        <w:tabs>
          <w:tab w:val="right" w:pos="8306"/>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3.跨国公司跨境资金集中运营-集中外债额度业务变更备案</w:t>
      </w:r>
      <w:r>
        <w:rPr>
          <w:rFonts w:ascii="Times New Roman" w:hAnsi="Times New Roman" w:eastAsia="仿宋_GB2312" w:cs="Times New Roman"/>
          <w:sz w:val="30"/>
          <w:szCs w:val="30"/>
        </w:rPr>
        <w:tab/>
      </w:r>
    </w:p>
    <w:tbl>
      <w:tblPr>
        <w:tblStyle w:val="22"/>
        <w:tblW w:w="86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4253"/>
        <w:gridCol w:w="992"/>
        <w:gridCol w:w="567"/>
        <w:gridCol w:w="851"/>
        <w:gridCol w:w="709"/>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5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0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3" w:type="dxa"/>
            <w:vAlign w:val="center"/>
          </w:tcPr>
          <w:p>
            <w:pPr>
              <w:jc w:val="left"/>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书面申请</w:t>
            </w:r>
          </w:p>
        </w:tc>
        <w:tc>
          <w:tcPr>
            <w:tcW w:w="992" w:type="dxa"/>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08"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主办企业变更、成员企业新增或退出、外债和境外放款额度变更、业务种类变更的，参照备案提交材料</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709"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08"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253" w:type="dxa"/>
            <w:vAlign w:val="center"/>
          </w:tcPr>
          <w:p>
            <w:pP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主办企业、成员企业发生名称变更、分立、合并的，主办企业应在事项发生之日起一个月内报所在地外汇局，同时提交原备案通知书复印件、变更所涉企业的相关情况说明、涉及变更事项的证明材料</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加盖主办企业公章的原件或复印件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center"/>
              <w:rPr>
                <w:rFonts w:ascii="Times New Roman" w:hAnsi="Times New Roman" w:eastAsia="仿宋_GB2312" w:cs="Times New Roman"/>
                <w:sz w:val="24"/>
                <w:szCs w:val="24"/>
              </w:rPr>
            </w:pPr>
          </w:p>
        </w:tc>
        <w:tc>
          <w:tcPr>
            <w:tcW w:w="708"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加盖银行业务公章的原账户余额对账单（合作银行变更时提供）</w:t>
            </w:r>
          </w:p>
        </w:tc>
        <w:tc>
          <w:tcPr>
            <w:tcW w:w="992" w:type="dxa"/>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708"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4253" w:type="dxa"/>
            <w:vAlign w:val="center"/>
          </w:tcPr>
          <w:p>
            <w:pPr>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主办企业与合作银行签署的《跨境资金集中运营业务办理确认书》（合作银行变更时提供）</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加盖主办企业公章的原件或复印件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center"/>
              <w:rPr>
                <w:rFonts w:ascii="Times New Roman" w:hAnsi="Times New Roman" w:eastAsia="仿宋_GB2312" w:cs="Times New Roman"/>
                <w:sz w:val="24"/>
                <w:szCs w:val="24"/>
              </w:rPr>
            </w:pPr>
          </w:p>
        </w:tc>
        <w:tc>
          <w:tcPr>
            <w:tcW w:w="708" w:type="dxa"/>
            <w:vAlign w:val="center"/>
          </w:tcPr>
          <w:p>
            <w:pPr>
              <w:jc w:val="center"/>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4.非银行债务人外债登记-外债注销登记申请材料  </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w:t>
      </w:r>
      <w:r>
        <w:rPr>
          <w:rFonts w:hint="eastAsia" w:ascii="Times New Roman" w:hAnsi="Times New Roman" w:eastAsia="仿宋_GB2312" w:cs="Times New Roman"/>
          <w:sz w:val="30"/>
          <w:szCs w:val="30"/>
          <w:lang w:val="en-US" w:eastAsia="zh-CN"/>
        </w:rPr>
        <w:t>已登记外债</w:t>
      </w:r>
      <w:r>
        <w:rPr>
          <w:rFonts w:hint="eastAsia" w:ascii="Times New Roman" w:hAnsi="Times New Roman" w:eastAsia="仿宋_GB2312" w:cs="Times New Roman"/>
          <w:color w:val="auto"/>
          <w:sz w:val="30"/>
          <w:szCs w:val="30"/>
          <w:lang w:val="en-US" w:eastAsia="zh-CN"/>
        </w:rPr>
        <w:t>未偿</w:t>
      </w:r>
      <w:r>
        <w:rPr>
          <w:rFonts w:hint="eastAsia" w:ascii="Times New Roman" w:hAnsi="Times New Roman" w:eastAsia="仿宋_GB2312" w:cs="Times New Roman"/>
          <w:sz w:val="30"/>
          <w:szCs w:val="30"/>
          <w:lang w:val="en-US" w:eastAsia="zh-CN"/>
        </w:rPr>
        <w:t>余额为零且不再发生提款的，在办妥最后一笔还本付息业务、关闭相关外债账户后，非银行债务人可向外汇局陕西省分局辖内银行申请办理外债注销登记。不符合相关条件的，由国家外汇管理局陕西省分局办理。</w:t>
      </w:r>
    </w:p>
    <w:tbl>
      <w:tblPr>
        <w:tblStyle w:val="22"/>
        <w:tblW w:w="84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835"/>
        <w:gridCol w:w="1417"/>
        <w:gridCol w:w="992"/>
        <w:gridCol w:w="993"/>
        <w:gridCol w:w="708"/>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83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99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83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书面申请，并附原《境内机构外债签约情况表》</w:t>
            </w:r>
          </w:p>
        </w:tc>
        <w:tc>
          <w:tcPr>
            <w:tcW w:w="141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993"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83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银行出具的相关关户证明材料（如有）</w:t>
            </w:r>
          </w:p>
        </w:tc>
        <w:tc>
          <w:tcPr>
            <w:tcW w:w="141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8" w:type="dxa"/>
            <w:vAlign w:val="center"/>
          </w:tcPr>
          <w:p>
            <w:pPr>
              <w:jc w:val="left"/>
              <w:rPr>
                <w:rFonts w:ascii="Times New Roman" w:hAnsi="Times New Roman" w:eastAsia="仿宋_GB2312" w:cs="Times New Roman"/>
                <w:sz w:val="24"/>
                <w:szCs w:val="24"/>
              </w:rPr>
            </w:pPr>
          </w:p>
        </w:tc>
        <w:tc>
          <w:tcPr>
            <w:tcW w:w="99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5.跨国公司跨境资金集中运营-集中外债额度业务注销</w:t>
      </w:r>
    </w:p>
    <w:tbl>
      <w:tblPr>
        <w:tblStyle w:val="22"/>
        <w:tblW w:w="84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4223"/>
        <w:gridCol w:w="985"/>
        <w:gridCol w:w="563"/>
        <w:gridCol w:w="845"/>
        <w:gridCol w:w="563"/>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52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2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4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trPr>
        <w:tc>
          <w:tcPr>
            <w:tcW w:w="52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23"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注销申请（包括：跨国公司跨境资金集中运营的外债额度及境外放款额度集中、跨境收支及结售汇、国内资金主账户的关闭等相关情况）</w:t>
            </w:r>
          </w:p>
        </w:tc>
        <w:tc>
          <w:tcPr>
            <w:tcW w:w="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3"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54" w:type="dxa"/>
            <w:vAlign w:val="center"/>
          </w:tcPr>
          <w:p>
            <w:pPr>
              <w:jc w:val="left"/>
              <w:rPr>
                <w:rFonts w:ascii="Times New Roman" w:hAnsi="Times New Roman" w:eastAsia="仿宋_GB2312" w:cs="Times New Roman"/>
                <w:sz w:val="24"/>
                <w:szCs w:val="24"/>
              </w:rPr>
            </w:pPr>
          </w:p>
        </w:tc>
      </w:tr>
    </w:tbl>
    <w:p>
      <w:pPr>
        <w:adjustRightInd w:val="0"/>
        <w:snapToGrid w:val="0"/>
        <w:spacing w:line="360" w:lineRule="auto"/>
        <w:ind w:firstLine="600" w:firstLineChars="200"/>
        <w:outlineLvl w:val="0"/>
        <w:rPr>
          <w:rFonts w:ascii="Times New Roman" w:hAnsi="Times New Roman" w:eastAsia="黑体" w:cs="Times New Roman"/>
          <w:sz w:val="30"/>
          <w:szCs w:val="30"/>
        </w:rPr>
      </w:pP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w:t>
      </w:r>
      <w:r>
        <w:rPr>
          <w:rFonts w:ascii="Times New Roman" w:hAnsi="Times New Roman" w:eastAsia="仿宋_GB2312" w:cs="Times New Roman"/>
          <w:color w:val="auto"/>
          <w:sz w:val="30"/>
          <w:szCs w:val="30"/>
        </w:rPr>
        <w:t>国家外汇局管理局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sz w:val="30"/>
          <w:szCs w:val="30"/>
        </w:rPr>
        <w:t>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（十一）审批收费依据及标准</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仿宋_GB2312" w:cs="Times New Roman"/>
          <w:sz w:val="30"/>
        </w:rPr>
        <w:t>不收费。</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（十二）审批结果</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黑体" w:cs="Times New Roman"/>
          <w:sz w:val="30"/>
          <w:szCs w:val="30"/>
        </w:rPr>
        <w:t>（十五）咨询途径、监督和投诉、公开查询等由所在地分局（外汇管理部）办理</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向国家外汇局管理局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咨询、</w:t>
      </w:r>
      <w:r>
        <w:rPr>
          <w:rFonts w:hint="eastAsia" w:ascii="Times New Roman" w:hAnsi="Times New Roman" w:eastAsia="仿宋_GB2312" w:cs="Times New Roman"/>
          <w:color w:val="auto"/>
          <w:sz w:val="30"/>
          <w:szCs w:val="30"/>
        </w:rPr>
        <w:t>进度查询、</w:t>
      </w:r>
      <w:r>
        <w:rPr>
          <w:rFonts w:ascii="Times New Roman" w:hAnsi="Times New Roman" w:eastAsia="仿宋_GB2312" w:cs="Times New Roman"/>
          <w:color w:val="auto"/>
          <w:sz w:val="30"/>
          <w:szCs w:val="30"/>
        </w:rPr>
        <w:t>监督</w:t>
      </w:r>
      <w:r>
        <w:rPr>
          <w:rFonts w:hint="eastAsia" w:ascii="Times New Roman" w:hAnsi="Times New Roman" w:eastAsia="仿宋_GB2312" w:cs="Times New Roman"/>
          <w:color w:val="auto"/>
          <w:sz w:val="30"/>
          <w:szCs w:val="30"/>
        </w:rPr>
        <w:t>和</w:t>
      </w:r>
      <w:r>
        <w:rPr>
          <w:rFonts w:ascii="Times New Roman" w:hAnsi="Times New Roman" w:eastAsia="仿宋_GB2312" w:cs="Times New Roman"/>
          <w:color w:val="auto"/>
          <w:sz w:val="30"/>
          <w:szCs w:val="30"/>
        </w:rPr>
        <w:t>投诉等可通过</w:t>
      </w:r>
      <w:r>
        <w:rPr>
          <w:rFonts w:hint="eastAsia" w:ascii="Times New Roman" w:hAnsi="Times New Roman" w:eastAsia="仿宋_GB2312" w:cs="Times New Roman"/>
          <w:color w:val="auto"/>
          <w:sz w:val="30"/>
          <w:szCs w:val="30"/>
        </w:rPr>
        <w:t>电话、</w:t>
      </w:r>
      <w:r>
        <w:rPr>
          <w:rFonts w:ascii="Times New Roman" w:hAnsi="Times New Roman" w:eastAsia="仿宋_GB2312" w:cs="Times New Roman"/>
          <w:color w:val="auto"/>
          <w:sz w:val="30"/>
          <w:szCs w:val="30"/>
        </w:rPr>
        <w:t>国家外汇局管理局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官方互联网站</w:t>
      </w:r>
      <w:r>
        <w:rPr>
          <w:rFonts w:hint="eastAsia" w:ascii="Times New Roman" w:hAnsi="Times New Roman" w:eastAsia="仿宋_GB2312" w:cs="Times New Roman"/>
          <w:color w:val="auto"/>
          <w:sz w:val="30"/>
          <w:szCs w:val="30"/>
        </w:rPr>
        <w:t>咨询反馈</w:t>
      </w:r>
      <w:r>
        <w:rPr>
          <w:rFonts w:ascii="Times New Roman" w:hAnsi="Times New Roman" w:eastAsia="仿宋_GB2312" w:cs="Times New Roman"/>
          <w:color w:val="auto"/>
          <w:sz w:val="30"/>
          <w:szCs w:val="30"/>
        </w:rPr>
        <w:t>栏目进行。</w:t>
      </w:r>
    </w:p>
    <w:p>
      <w:pPr>
        <w:adjustRightInd w:val="0"/>
        <w:snapToGrid w:val="0"/>
        <w:spacing w:line="360" w:lineRule="auto"/>
        <w:ind w:firstLine="600"/>
        <w:rPr>
          <w:rFonts w:hint="default"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rPr>
        <w:t>电话：029-88</w:t>
      </w:r>
      <w:r>
        <w:rPr>
          <w:rFonts w:hint="eastAsia" w:ascii="Times New Roman" w:hAnsi="Times New Roman" w:eastAsia="仿宋_GB2312" w:cs="Times New Roman"/>
          <w:color w:val="auto"/>
          <w:sz w:val="30"/>
          <w:szCs w:val="30"/>
          <w:lang w:val="en-US" w:eastAsia="zh-CN"/>
        </w:rPr>
        <w:t>150978；029-88150690</w:t>
      </w:r>
    </w:p>
    <w:p>
      <w:pPr>
        <w:adjustRightInd w:val="0"/>
        <w:snapToGrid w:val="0"/>
        <w:spacing w:line="360" w:lineRule="auto"/>
        <w:ind w:firstLine="600"/>
        <w:rPr>
          <w:rFonts w:ascii="Times New Roman" w:hAnsi="Times New Roman" w:eastAsia="仿宋_GB2312" w:cs="Times New Roman"/>
          <w:color w:val="auto"/>
          <w:sz w:val="30"/>
        </w:rPr>
      </w:pPr>
      <w:r>
        <w:rPr>
          <w:rFonts w:hint="eastAsia" w:ascii="Times New Roman" w:hAnsi="Times New Roman" w:eastAsia="仿宋_GB2312" w:cs="Times New Roman"/>
          <w:color w:val="auto"/>
          <w:sz w:val="30"/>
          <w:szCs w:val="30"/>
        </w:rPr>
        <w:t>网址：</w:t>
      </w:r>
      <w:r>
        <w:rPr>
          <w:rFonts w:ascii="Calibri" w:hAnsi="Calibri" w:eastAsia="宋体" w:cs="黑体"/>
          <w:color w:val="auto"/>
        </w:rPr>
        <w:fldChar w:fldCharType="begin"/>
      </w:r>
      <w:r>
        <w:rPr>
          <w:rFonts w:ascii="Calibri" w:hAnsi="Calibri" w:eastAsia="宋体" w:cs="黑体"/>
          <w:color w:val="auto"/>
        </w:rPr>
        <w:instrText xml:space="preserve"> HYPERLINK "http://www.safe.gov.cn" </w:instrText>
      </w:r>
      <w:r>
        <w:rPr>
          <w:rFonts w:ascii="Calibri" w:hAnsi="Calibri" w:eastAsia="宋体" w:cs="黑体"/>
          <w:color w:val="auto"/>
        </w:rPr>
        <w:fldChar w:fldCharType="separate"/>
      </w:r>
      <w:r>
        <w:rPr>
          <w:rFonts w:ascii="Times New Roman" w:hAnsi="Times New Roman" w:eastAsia="仿宋_GB2312" w:cs="Times New Roman"/>
          <w:color w:val="auto"/>
          <w:sz w:val="30"/>
        </w:rPr>
        <w:t>www.safe.gov.cn</w:t>
      </w:r>
      <w:r>
        <w:rPr>
          <w:rFonts w:ascii="Times New Roman" w:hAnsi="Times New Roman" w:eastAsia="仿宋_GB2312" w:cs="Times New Roman"/>
          <w:color w:val="auto"/>
          <w:sz w:val="30"/>
        </w:rPr>
        <w:fldChar w:fldCharType="end"/>
      </w:r>
      <w:r>
        <w:rPr>
          <w:rFonts w:hint="eastAsia" w:ascii="Times New Roman" w:hAnsi="Times New Roman" w:eastAsia="仿宋_GB2312" w:cs="Times New Roman"/>
          <w:color w:val="auto"/>
          <w:sz w:val="30"/>
        </w:rPr>
        <w:t>/shaanxi</w:t>
      </w:r>
    </w:p>
    <w:p>
      <w:pPr>
        <w:adjustRightInd w:val="0"/>
        <w:snapToGrid w:val="0"/>
        <w:spacing w:line="360" w:lineRule="auto"/>
        <w:ind w:firstLine="600"/>
        <w:rPr>
          <w:rFonts w:hint="eastAsia" w:ascii="黑体" w:hAnsi="黑体" w:eastAsia="黑体" w:cs="黑体"/>
          <w:color w:val="auto"/>
          <w:sz w:val="30"/>
          <w:szCs w:val="30"/>
        </w:rPr>
      </w:pPr>
      <w:r>
        <w:rPr>
          <w:rFonts w:hint="eastAsia" w:ascii="黑体" w:hAnsi="黑体" w:eastAsia="黑体" w:cs="黑体"/>
          <w:color w:val="auto"/>
          <w:sz w:val="30"/>
          <w:szCs w:val="30"/>
        </w:rPr>
        <w:t>（十</w:t>
      </w:r>
      <w:r>
        <w:rPr>
          <w:rFonts w:hint="eastAsia" w:ascii="黑体" w:hAnsi="黑体" w:eastAsia="黑体" w:cs="黑体"/>
          <w:color w:val="auto"/>
          <w:sz w:val="30"/>
          <w:szCs w:val="30"/>
          <w:lang w:eastAsia="zh-CN"/>
        </w:rPr>
        <w:t>六</w:t>
      </w:r>
      <w:r>
        <w:rPr>
          <w:rFonts w:hint="eastAsia" w:ascii="黑体" w:hAnsi="黑体" w:eastAsia="黑体" w:cs="黑体"/>
          <w:color w:val="auto"/>
          <w:sz w:val="30"/>
          <w:szCs w:val="30"/>
        </w:rPr>
        <w:t>）办公地址和时间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办公地址：西安市高新路49号，中国人民银行西安分行</w:t>
      </w:r>
      <w:r>
        <w:rPr>
          <w:rFonts w:hint="eastAsia" w:ascii="Times New Roman" w:hAnsi="Times New Roman" w:eastAsia="仿宋_GB2312" w:cs="Times New Roman"/>
          <w:color w:val="auto"/>
          <w:sz w:val="30"/>
          <w:szCs w:val="30"/>
          <w:lang w:eastAsia="zh-CN"/>
        </w:rPr>
        <w:t>机关大楼</w:t>
      </w:r>
      <w:bookmarkStart w:id="5" w:name="_GoBack"/>
      <w:bookmarkEnd w:id="5"/>
      <w:r>
        <w:rPr>
          <w:rFonts w:hint="eastAsia" w:ascii="Times New Roman" w:hAnsi="Times New Roman" w:eastAsia="仿宋_GB2312" w:cs="Times New Roman"/>
          <w:color w:val="auto"/>
          <w:sz w:val="30"/>
          <w:szCs w:val="30"/>
          <w:lang w:val="en-US" w:eastAsia="zh-CN"/>
        </w:rPr>
        <w:t>908</w:t>
      </w:r>
      <w:r>
        <w:rPr>
          <w:rFonts w:hint="eastAsia" w:ascii="Times New Roman" w:hAnsi="Times New Roman" w:eastAsia="仿宋_GB2312" w:cs="Times New Roman"/>
          <w:color w:val="auto"/>
          <w:sz w:val="30"/>
          <w:szCs w:val="30"/>
        </w:rPr>
        <w:t>房间。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办公时间：工作日8:30-11:30,13:30-17:00。</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仿宋_GB2312" w:eastAsia="仿宋_GB2312"/>
          <w:sz w:val="30"/>
          <w:szCs w:val="30"/>
        </w:rPr>
      </w:pPr>
      <w:r>
        <w:rPr>
          <w:rFonts w:ascii="Times New Roman" w:hAnsi="Times New Roman" w:eastAsia="黑体" w:cs="Times New Roman"/>
          <w:sz w:val="30"/>
          <w:szCs w:val="30"/>
        </w:rPr>
        <w:t>基本流程图</w:t>
      </w:r>
      <w:r>
        <w:rPr>
          <w:rFonts w:ascii="仿宋_GB2312" w:hAnsi="Calibri" w:eastAsia="仿宋_GB2312" w:cs="黑体"/>
          <w:kern w:val="2"/>
          <w:sz w:val="30"/>
          <w:szCs w:val="30"/>
          <w:lang w:val="en-US" w:eastAsia="zh-CN" w:bidi="ar-SA"/>
        </w:rPr>
        <w:pict>
          <v:group id="组合 170" o:spid="_x0000_s1026" style="position:absolute;left:0;margin-left:-18pt;margin-top:28.25pt;height:586.05pt;width:453.65pt;rotation:0f;z-index:251660288;" coordorigin="1195,3000" coordsize="9073,11721">
            <o:lock v:ext="edit" position="f" selection="f" grouping="f" rotation="f" cropping="f" text="f" aspectratio="f"/>
            <v:rect id="Rectangle 6" o:spid="_x0000_s1027"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28"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8" o:spid="_x0000_s1029"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030" type="#_x0000_t32" style="position:absolute;left:5729;top:10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031" type="#_x0000_t32" style="position:absolute;left:7678;top:12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 o:spid="_x0000_s1032" type="#_x0000_t32" style="position:absolute;left:3705;top:12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 o:spid="_x0000_s1033" type="#_x0000_t32" style="position:absolute;left:5730;top:11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 o:spid="_x0000_s1034" type="#_x0000_t32" style="position:absolute;left:3706;top:12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4" o:spid="_x0000_s1035" style="position:absolute;left:1195;top:3000;height:7693;width:9073;rotation:0f;" coordorigin="1195,3000" coordsize="9073,7693">
              <o:lock v:ext="edit" position="f" selection="f" grouping="f" rotation="f" cropping="f" text="f" aspectratio="f"/>
              <v:shape id="AutoShape 15" o:spid="_x0000_s1036" type="#_x0000_t32" style="position:absolute;left:7240;top:9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 o:spid="_x0000_s1037" style="position:absolute;left:1195;top:3000;height:7693;width:9073;rotation:0f;" coordorigin="1195,3000" coordsize="9073,7693">
                <o:lock v:ext="edit" position="f" selection="f" grouping="f" rotation="f" cropping="f" text="f" aspectratio="f"/>
                <v:shape id="AutoShape 17" o:spid="_x0000_s1038" type="#_x0000_t34" style="position:absolute;left:7714;top:6155;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8" o:spid="_x0000_s1039"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0" type="#_x0000_t32" style="position:absolute;left:7240;top:7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0" o:spid="_x0000_s1041"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2" type="#_x0000_t4" style="position:absolute;left:5346;top:7833;height:1733;width:363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22" o:spid="_x0000_s1043"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3" o:spid="_x0000_s1044"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4" o:spid="_x0000_s1045" type="#_x0000_t116" style="position:absolute;left:5913;top:4050;height:1710;width:292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25" o:spid="_x0000_s1046" style="position:absolute;left:1195;top:3000;height:7424;width:4746;rotation:0f;" coordorigin="1195,3000" coordsize="4746,7424">
                  <o:lock v:ext="edit" position="f" selection="f" grouping="f" rotation="f" cropping="f" text="f" aspectratio="f"/>
                  <v:shape id="AutoShape 26" o:spid="_x0000_s1047" type="#_x0000_t32" style="position:absolute;left:5010;top:6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48" type="#_x0000_t32" style="position:absolute;left:2702;top:6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28" o:spid="_x0000_s1049" style="position:absolute;left:1195;top:3000;height:4066;width:3781;rotation:0f;" coordorigin="1195,3000" coordsize="3781,4066">
                    <o:lock v:ext="edit" position="f" selection="f" grouping="f" rotation="f" cropping="f" text="f" aspectratio="f"/>
                    <v:shape id="AutoShape 29" o:spid="_x0000_s1050" type="#_x0000_t32" style="position:absolute;left:2743;top:4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0" o:spid="_x0000_s1051" type="#_x0000_t32" style="position:absolute;left:4188;top:5967;flip:y;height:26;width:788;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052" type="#_x0000_t4" style="position:absolute;left:1195;top:4919;height:2147;width:299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3"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4" type="#_x0000_t32" style="position:absolute;left:2702;top:10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4" o:spid="_x0000_s1055" type="#_x0000_t32" style="position:absolute;left:5010;top:4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5" o:spid="_x0000_s1056" type="#_x0000_t32" style="position:absolute;left:5010;top:4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6" o:spid="_x0000_s1057"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58"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59" type="#_x0000_t32" style="position:absolute;left:8927;top:4886;flip:x;height:0;width:134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center"/>
        <w:rPr>
          <w:rFonts w:ascii="仿宋_GB2312" w:eastAsia="仿宋_GB2312"/>
          <w:sz w:val="30"/>
          <w:szCs w:val="30"/>
        </w:rPr>
      </w:pPr>
    </w:p>
    <w:p>
      <w:pPr>
        <w:ind w:right="300"/>
        <w:jc w:val="left"/>
        <w:rPr>
          <w:rFonts w:ascii="仿宋_GB2312" w:eastAsia="仿宋_GB2312"/>
          <w:sz w:val="30"/>
          <w:szCs w:val="30"/>
        </w:rPr>
      </w:pPr>
    </w:p>
    <w:p>
      <w:pPr>
        <w:tabs>
          <w:tab w:val="center" w:pos="4363"/>
        </w:tabs>
        <w:ind w:firstLine="600" w:firstLineChars="200"/>
        <w:rPr>
          <w:rFonts w:ascii="仿宋_GB2312" w:eastAsia="仿宋_GB2312"/>
          <w:sz w:val="30"/>
          <w:szCs w:val="30"/>
        </w:rPr>
      </w:pPr>
      <w:r>
        <w:rPr>
          <w:rFonts w:ascii="仿宋_GB2312" w:eastAsia="仿宋_GB2312"/>
          <w:sz w:val="30"/>
          <w:szCs w:val="30"/>
        </w:rPr>
        <w:tab/>
      </w:r>
    </w:p>
    <w:p>
      <w:pPr>
        <w:ind w:firstLine="420"/>
      </w:pPr>
    </w:p>
    <w:p>
      <w:pPr>
        <w:widowControl/>
        <w:jc w:val="left"/>
        <w:rPr>
          <w:rFonts w:ascii="仿宋_GB2312" w:eastAsia="仿宋_GB2312"/>
          <w:sz w:val="30"/>
          <w:szCs w:val="30"/>
        </w:rPr>
      </w:pPr>
    </w:p>
    <w:p>
      <w:pPr>
        <w:widowControl/>
        <w:adjustRightInd w:val="0"/>
        <w:snapToGrid w:val="0"/>
        <w:spacing w:line="200" w:lineRule="atLeast"/>
        <w:jc w:val="left"/>
        <w:rPr>
          <w:rFonts w:ascii="Times New Roman" w:hAnsi="Times New Roman" w:eastAsia="仿宋_GB2312" w:cs="Times New Roman"/>
          <w:kern w:val="0"/>
          <w:sz w:val="30"/>
          <w:szCs w:val="30"/>
        </w:rPr>
      </w:pPr>
    </w:p>
    <w:p>
      <w:pPr>
        <w:widowControl/>
        <w:adjustRightInd w:val="0"/>
        <w:snapToGrid w:val="0"/>
        <w:spacing w:line="200" w:lineRule="atLeast"/>
        <w:jc w:val="left"/>
        <w:rPr>
          <w:rFonts w:ascii="Times New Roman" w:hAnsi="Times New Roman" w:eastAsia="仿宋_GB2312" w:cs="Times New Roman"/>
          <w:kern w:val="0"/>
          <w:sz w:val="30"/>
          <w:szCs w:val="30"/>
        </w:rPr>
      </w:pPr>
    </w:p>
    <w:p>
      <w:pPr>
        <w:widowControl/>
        <w:adjustRightInd w:val="0"/>
        <w:snapToGrid w:val="0"/>
        <w:spacing w:line="200" w:lineRule="atLeast"/>
        <w:jc w:val="left"/>
        <w:rPr>
          <w:rFonts w:ascii="Times New Roman" w:hAnsi="Times New Roman" w:eastAsia="仿宋_GB2312" w:cs="Times New Roman"/>
          <w:kern w:val="0"/>
          <w:sz w:val="30"/>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p>
    <w:p>
      <w:pPr>
        <w:widowControl/>
        <w:adjustRightInd w:val="0"/>
        <w:snapToGrid w:val="0"/>
        <w:spacing w:line="200" w:lineRule="atLeast"/>
        <w:jc w:val="left"/>
        <w:rPr>
          <w:rFonts w:ascii="Times New Roman" w:hAnsi="Times New Roman" w:eastAsia="仿宋_GB2312" w:cs="Times New Roman"/>
          <w:kern w:val="0"/>
          <w:sz w:val="28"/>
          <w:szCs w:val="30"/>
        </w:rPr>
      </w:pPr>
      <w:r>
        <w:rPr>
          <w:rFonts w:ascii="Times New Roman" w:hAnsi="Times New Roman" w:eastAsia="仿宋_GB2312" w:cs="Times New Roman"/>
          <w:kern w:val="0"/>
          <w:sz w:val="28"/>
          <w:szCs w:val="30"/>
        </w:rPr>
        <w:t>附录二</w:t>
      </w:r>
      <w:bookmarkStart w:id="0" w:name="_Toc487492193"/>
      <w:bookmarkStart w:id="1" w:name="_Toc485028274"/>
      <w:bookmarkStart w:id="2" w:name="_Toc495992552"/>
      <w:bookmarkStart w:id="3" w:name="_Toc492328435"/>
    </w:p>
    <w:p>
      <w:pPr>
        <w:widowControl/>
        <w:adjustRightInd w:val="0"/>
        <w:snapToGrid w:val="0"/>
        <w:spacing w:line="240" w:lineRule="atLeast"/>
        <w:jc w:val="center"/>
        <w:rPr>
          <w:rFonts w:ascii="Times New Roman" w:hAnsi="Times New Roman" w:cs="Times New Roman"/>
          <w:sz w:val="28"/>
          <w:szCs w:val="28"/>
        </w:rPr>
      </w:pPr>
      <w:r>
        <w:rPr>
          <w:rFonts w:ascii="Times New Roman" w:hAnsi="Times New Roman" w:eastAsia="黑体" w:cs="Times New Roman"/>
          <w:sz w:val="30"/>
          <w:szCs w:val="30"/>
        </w:rPr>
        <w:t>非银行债务人外债签约（变更）登记（</w:t>
      </w:r>
      <w:r>
        <w:rPr>
          <w:rFonts w:ascii="Times New Roman" w:hAnsi="Times New Roman" w:cs="Times New Roman"/>
          <w:b/>
          <w:bCs/>
          <w:sz w:val="28"/>
          <w:szCs w:val="28"/>
        </w:rPr>
        <w:t>示范文本）</w:t>
      </w:r>
    </w:p>
    <w:p>
      <w:pPr>
        <w:widowControl/>
        <w:adjustRightInd w:val="0"/>
        <w:snapToGrid w:val="0"/>
        <w:spacing w:line="240" w:lineRule="atLeast"/>
        <w:jc w:val="center"/>
        <w:rPr>
          <w:rFonts w:ascii="Times New Roman" w:hAnsi="Times New Roman" w:cs="Times New Roman"/>
          <w:sz w:val="28"/>
          <w:szCs w:val="28"/>
        </w:rPr>
      </w:pPr>
      <w:r>
        <w:rPr>
          <w:rFonts w:ascii="Times New Roman" w:hAnsi="Times New Roman" w:cs="Times New Roman"/>
          <w:b/>
          <w:bCs/>
          <w:sz w:val="28"/>
          <w:szCs w:val="28"/>
        </w:rPr>
        <w:t>宏观审慎跨境融资风险加权余额情况表（企业版）</w:t>
      </w:r>
      <w:bookmarkEnd w:id="0"/>
      <w:bookmarkEnd w:id="1"/>
      <w:bookmarkEnd w:id="2"/>
      <w:bookmarkEnd w:id="3"/>
    </w:p>
    <w:p>
      <w:pPr>
        <w:ind w:firstLine="3045" w:firstLineChars="1450"/>
        <w:rPr>
          <w:rFonts w:ascii="Times New Roman" w:hAnsi="Times New Roman" w:cs="Times New Roman"/>
        </w:rPr>
      </w:pPr>
      <w:bookmarkStart w:id="4" w:name="_Toc485028275"/>
      <w:r>
        <w:rPr>
          <w:rFonts w:hint="eastAsia" w:ascii="Times New Roman" w:cs="Times New Roman"/>
        </w:rPr>
        <w:t xml:space="preserve">                             </w:t>
      </w:r>
      <w:r>
        <w:rPr>
          <w:rFonts w:ascii="Times New Roman" w:cs="Times New Roman"/>
        </w:rPr>
        <w:t>单位</w:t>
      </w:r>
      <w:r>
        <w:rPr>
          <w:rStyle w:val="19"/>
        </w:rPr>
        <w:footnoteReference w:id="0"/>
      </w:r>
      <w:r>
        <w:rPr>
          <w:rFonts w:ascii="Times New Roman" w:cs="Times New Roman"/>
        </w:rPr>
        <w:t>：万元人民币</w:t>
      </w:r>
    </w:p>
    <w:tbl>
      <w:tblPr>
        <w:tblStyle w:val="22"/>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709"/>
        <w:gridCol w:w="1673"/>
        <w:gridCol w:w="1461"/>
        <w:gridCol w:w="268"/>
        <w:gridCol w:w="1592"/>
        <w:gridCol w:w="47"/>
        <w:gridCol w:w="23"/>
        <w:gridCol w:w="17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基本信息</w:t>
            </w: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债务人名称</w:t>
            </w:r>
          </w:p>
        </w:tc>
        <w:tc>
          <w:tcPr>
            <w:tcW w:w="5181" w:type="dxa"/>
            <w:gridSpan w:val="6"/>
            <w:vAlign w:val="center"/>
          </w:tcPr>
          <w:p>
            <w:pPr>
              <w:spacing w:line="320" w:lineRule="exact"/>
              <w:jc w:val="center"/>
              <w:rPr>
                <w:rFonts w:ascii="Times New Roman" w:hAnsi="Times New Roman" w:cs="Times New Roman"/>
                <w:sz w:val="24"/>
              </w:rPr>
            </w:pPr>
            <w:r>
              <w:rPr>
                <w:rFonts w:ascii="Times New Roman" w:hAnsi="Times New Roman" w:cs="Times New Roman"/>
                <w:sz w:val="24"/>
              </w:rPr>
              <w:t>XXXX</w:t>
            </w:r>
            <w:r>
              <w:rPr>
                <w:rFonts w:ascii="Times New Roman" w:hAnsi="宋体" w:cs="Times New Roman"/>
                <w:sz w:val="24"/>
              </w:rPr>
              <w:t>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统一社会信用代码</w:t>
            </w:r>
          </w:p>
        </w:tc>
        <w:tc>
          <w:tcPr>
            <w:tcW w:w="1461" w:type="dxa"/>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c>
          <w:tcPr>
            <w:tcW w:w="1860"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债务人类型</w:t>
            </w:r>
            <w:r>
              <w:rPr>
                <w:rStyle w:val="19"/>
                <w:sz w:val="24"/>
              </w:rPr>
              <w:footnoteReference w:id="1"/>
            </w:r>
          </w:p>
        </w:tc>
        <w:tc>
          <w:tcPr>
            <w:tcW w:w="1860" w:type="dxa"/>
            <w:gridSpan w:val="3"/>
            <w:vAlign w:val="center"/>
          </w:tcPr>
          <w:p>
            <w:pPr>
              <w:spacing w:line="320" w:lineRule="exact"/>
              <w:jc w:val="center"/>
              <w:rPr>
                <w:rFonts w:ascii="Times New Roman" w:hAnsi="Times New Roman" w:cs="Times New Roman"/>
                <w:sz w:val="24"/>
              </w:rPr>
            </w:pPr>
            <w:r>
              <w:rPr>
                <w:rFonts w:ascii="Times New Roman" w:hAnsi="宋体" w:cs="Times New Roman"/>
                <w:sz w:val="24"/>
              </w:rPr>
              <w:t>中资企业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跨境融资风险加权余额上限</w:t>
            </w: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净资产</w:t>
            </w:r>
            <w:r>
              <w:rPr>
                <w:rStyle w:val="19"/>
                <w:sz w:val="24"/>
              </w:rPr>
              <w:footnoteReference w:id="2"/>
            </w:r>
          </w:p>
        </w:tc>
        <w:tc>
          <w:tcPr>
            <w:tcW w:w="5181" w:type="dxa"/>
            <w:gridSpan w:val="6"/>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风险加权余额</w:t>
            </w:r>
          </w:p>
          <w:p>
            <w:pPr>
              <w:spacing w:line="320" w:lineRule="exact"/>
              <w:jc w:val="center"/>
              <w:rPr>
                <w:rFonts w:ascii="Times New Roman" w:hAnsi="Times New Roman" w:cs="Times New Roman"/>
                <w:sz w:val="24"/>
              </w:rPr>
            </w:pPr>
            <w:r>
              <w:rPr>
                <w:rFonts w:ascii="Times New Roman" w:hAnsi="宋体" w:cs="Times New Roman"/>
                <w:sz w:val="24"/>
              </w:rPr>
              <w:t>上限</w:t>
            </w:r>
            <w:r>
              <w:rPr>
                <w:rStyle w:val="19"/>
                <w:sz w:val="24"/>
              </w:rPr>
              <w:footnoteReference w:id="3"/>
            </w:r>
          </w:p>
        </w:tc>
        <w:tc>
          <w:tcPr>
            <w:tcW w:w="5181" w:type="dxa"/>
            <w:gridSpan w:val="6"/>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w:t>
            </w:r>
          </w:p>
        </w:tc>
        <w:tc>
          <w:tcPr>
            <w:tcW w:w="2382" w:type="dxa"/>
            <w:gridSpan w:val="2"/>
            <w:tcBorders>
              <w:tl2br w:val="single" w:color="auto" w:sz="4" w:space="0"/>
            </w:tcBorders>
            <w:vAlign w:val="center"/>
          </w:tcPr>
          <w:p>
            <w:pPr>
              <w:spacing w:line="320" w:lineRule="exact"/>
              <w:jc w:val="center"/>
              <w:rPr>
                <w:rFonts w:ascii="Times New Roman" w:hAnsi="Times New Roman" w:cs="Times New Roman"/>
                <w:sz w:val="24"/>
              </w:rPr>
            </w:pPr>
          </w:p>
        </w:tc>
        <w:tc>
          <w:tcPr>
            <w:tcW w:w="1729" w:type="dxa"/>
            <w:gridSpan w:val="2"/>
            <w:vAlign w:val="center"/>
          </w:tcPr>
          <w:p>
            <w:pPr>
              <w:spacing w:line="240" w:lineRule="exact"/>
              <w:jc w:val="center"/>
              <w:rPr>
                <w:rFonts w:ascii="Times New Roman" w:hAnsi="Times New Roman" w:cs="Times New Roman"/>
                <w:sz w:val="24"/>
              </w:rPr>
            </w:pPr>
            <w:r>
              <w:rPr>
                <w:rFonts w:ascii="Times New Roman" w:hAnsi="宋体" w:cs="Times New Roman"/>
                <w:sz w:val="24"/>
              </w:rPr>
              <w:t>中长期</w:t>
            </w:r>
          </w:p>
        </w:tc>
        <w:tc>
          <w:tcPr>
            <w:tcW w:w="1662"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短期</w:t>
            </w:r>
          </w:p>
        </w:tc>
        <w:tc>
          <w:tcPr>
            <w:tcW w:w="1790" w:type="dxa"/>
            <w:vAlign w:val="center"/>
          </w:tcPr>
          <w:p>
            <w:pPr>
              <w:jc w:val="center"/>
              <w:rPr>
                <w:rFonts w:ascii="Times New Roman" w:hAnsi="Times New Roman" w:cs="Times New Roman"/>
              </w:rPr>
            </w:pPr>
            <w:r>
              <w:rPr>
                <w:rFonts w:ascii="Times New Roman" w:hAnsi="宋体" w:cs="Times New Roman"/>
                <w:sz w:val="24"/>
              </w:rPr>
              <w:t>外币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9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现有跨境融资余额</w:t>
            </w:r>
          </w:p>
        </w:tc>
        <w:tc>
          <w:tcPr>
            <w:tcW w:w="1729" w:type="dxa"/>
            <w:gridSpan w:val="2"/>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c>
          <w:tcPr>
            <w:tcW w:w="1662"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30</w:t>
            </w: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61"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本笔跨境融资签约额</w:t>
            </w:r>
          </w:p>
        </w:tc>
        <w:tc>
          <w:tcPr>
            <w:tcW w:w="1729" w:type="dxa"/>
            <w:gridSpan w:val="2"/>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不纳入计算的业务类型</w:t>
            </w:r>
          </w:p>
        </w:tc>
        <w:tc>
          <w:tcPr>
            <w:tcW w:w="1673" w:type="dxa"/>
            <w:tcBorders>
              <w:tl2br w:val="single" w:color="auto" w:sz="4" w:space="0"/>
            </w:tcBorders>
            <w:vAlign w:val="center"/>
          </w:tcPr>
          <w:p>
            <w:pPr>
              <w:spacing w:line="320" w:lineRule="exact"/>
              <w:jc w:val="center"/>
              <w:rPr>
                <w:rFonts w:ascii="Times New Roman" w:hAnsi="Times New Roman" w:cs="Times New Roman"/>
                <w:sz w:val="24"/>
              </w:rPr>
            </w:pPr>
          </w:p>
        </w:tc>
        <w:tc>
          <w:tcPr>
            <w:tcW w:w="1729" w:type="dxa"/>
            <w:gridSpan w:val="2"/>
            <w:vAlign w:val="center"/>
          </w:tcPr>
          <w:p>
            <w:pPr>
              <w:spacing w:line="240" w:lineRule="exact"/>
              <w:jc w:val="center"/>
              <w:rPr>
                <w:rFonts w:ascii="Times New Roman" w:hAnsi="Times New Roman" w:cs="Times New Roman"/>
                <w:sz w:val="24"/>
              </w:rPr>
            </w:pPr>
            <w:r>
              <w:rPr>
                <w:rFonts w:ascii="Times New Roman" w:hAnsi="宋体" w:cs="Times New Roman"/>
                <w:sz w:val="24"/>
              </w:rPr>
              <w:t>中长期余额</w:t>
            </w:r>
          </w:p>
        </w:tc>
        <w:tc>
          <w:tcPr>
            <w:tcW w:w="1662"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短期余额</w:t>
            </w:r>
          </w:p>
        </w:tc>
        <w:tc>
          <w:tcPr>
            <w:tcW w:w="1790" w:type="dxa"/>
            <w:vAlign w:val="center"/>
          </w:tcPr>
          <w:p>
            <w:pPr>
              <w:jc w:val="center"/>
              <w:rPr>
                <w:rFonts w:ascii="Times New Roman" w:hAnsi="Times New Roman" w:cs="Times New Roman"/>
              </w:rPr>
            </w:pPr>
            <w:r>
              <w:rPr>
                <w:rFonts w:ascii="Times New Roman" w:hAnsi="宋体" w:cs="Times New Roman"/>
                <w:sz w:val="24"/>
              </w:rPr>
              <w:t>外币余额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673" w:type="dxa"/>
            <w:vAlign w:val="center"/>
          </w:tcPr>
          <w:p>
            <w:pPr>
              <w:spacing w:line="320" w:lineRule="exact"/>
              <w:jc w:val="center"/>
              <w:rPr>
                <w:rFonts w:ascii="Times New Roman" w:hAnsi="Times New Roman" w:cs="Times New Roman"/>
                <w:sz w:val="24"/>
              </w:rPr>
            </w:pPr>
            <w:r>
              <w:rPr>
                <w:rFonts w:ascii="Times New Roman" w:hAnsi="宋体" w:cs="Times New Roman"/>
                <w:sz w:val="24"/>
              </w:rPr>
              <w:t>熊猫债</w:t>
            </w:r>
          </w:p>
        </w:tc>
        <w:tc>
          <w:tcPr>
            <w:tcW w:w="1729" w:type="dxa"/>
            <w:gridSpan w:val="2"/>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673" w:type="dxa"/>
            <w:vAlign w:val="center"/>
          </w:tcPr>
          <w:p>
            <w:pPr>
              <w:spacing w:line="320" w:lineRule="exact"/>
              <w:jc w:val="center"/>
              <w:rPr>
                <w:rFonts w:ascii="Times New Roman" w:hAnsi="Times New Roman" w:cs="Times New Roman"/>
                <w:sz w:val="24"/>
              </w:rPr>
            </w:pPr>
          </w:p>
        </w:tc>
        <w:tc>
          <w:tcPr>
            <w:tcW w:w="1729" w:type="dxa"/>
            <w:gridSpan w:val="2"/>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673" w:type="dxa"/>
            <w:vAlign w:val="center"/>
          </w:tcPr>
          <w:p>
            <w:pPr>
              <w:spacing w:line="320" w:lineRule="exact"/>
              <w:jc w:val="center"/>
              <w:rPr>
                <w:rFonts w:ascii="Times New Roman" w:hAnsi="Times New Roman" w:cs="Times New Roman"/>
                <w:sz w:val="24"/>
              </w:rPr>
            </w:pPr>
          </w:p>
        </w:tc>
        <w:tc>
          <w:tcPr>
            <w:tcW w:w="1729" w:type="dxa"/>
            <w:gridSpan w:val="2"/>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纳入计算的余额</w:t>
            </w:r>
            <w:r>
              <w:rPr>
                <w:rStyle w:val="19"/>
                <w:sz w:val="24"/>
              </w:rPr>
              <w:footnoteReference w:id="4"/>
            </w:r>
          </w:p>
        </w:tc>
        <w:tc>
          <w:tcPr>
            <w:tcW w:w="1729" w:type="dxa"/>
            <w:gridSpan w:val="2"/>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54" w:hRule="atLeast"/>
        </w:trPr>
        <w:tc>
          <w:tcPr>
            <w:tcW w:w="959" w:type="dxa"/>
            <w:vMerge w:val="continue"/>
            <w:vAlign w:val="center"/>
          </w:tcPr>
          <w:p>
            <w:pPr>
              <w:spacing w:line="320" w:lineRule="exact"/>
              <w:jc w:val="center"/>
              <w:rPr>
                <w:rFonts w:ascii="Times New Roman" w:hAnsi="Times New Roman" w:cs="Times New Roman"/>
                <w:sz w:val="24"/>
              </w:rPr>
            </w:pPr>
          </w:p>
        </w:tc>
        <w:tc>
          <w:tcPr>
            <w:tcW w:w="2382"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w:t>
            </w:r>
            <w:r>
              <w:rPr>
                <w:rStyle w:val="19"/>
                <w:sz w:val="24"/>
              </w:rPr>
              <w:footnoteReference w:id="5"/>
            </w:r>
          </w:p>
        </w:tc>
        <w:tc>
          <w:tcPr>
            <w:tcW w:w="5181" w:type="dxa"/>
            <w:gridSpan w:val="6"/>
            <w:vAlign w:val="center"/>
          </w:tcPr>
          <w:p>
            <w:pPr>
              <w:spacing w:line="320" w:lineRule="exact"/>
              <w:jc w:val="center"/>
              <w:rPr>
                <w:rFonts w:ascii="Times New Roman" w:hAnsi="Times New Roman" w:cs="Times New Roman"/>
                <w:sz w:val="24"/>
              </w:rPr>
            </w:pPr>
            <w:r>
              <w:rPr>
                <w:rFonts w:hint="eastAsia" w:ascii="Times New Roman" w:hAnsi="Times New Roman" w:cs="Times New Roman"/>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3341" w:type="dxa"/>
            <w:gridSpan w:val="3"/>
            <w:vAlign w:val="center"/>
          </w:tcPr>
          <w:p>
            <w:pPr>
              <w:spacing w:line="320" w:lineRule="exact"/>
              <w:jc w:val="left"/>
              <w:rPr>
                <w:rFonts w:ascii="Times New Roman" w:hAnsi="Times New Roman" w:cs="Times New Roman"/>
                <w:sz w:val="24"/>
              </w:rPr>
            </w:pPr>
            <w:r>
              <w:rPr>
                <w:rFonts w:ascii="Times New Roman" w:hAnsi="宋体" w:cs="Times New Roman"/>
                <w:sz w:val="24"/>
              </w:rPr>
              <w:t>跨境融资风险加权余额上限与跨境融资风险加权余额之差额</w:t>
            </w:r>
          </w:p>
        </w:tc>
        <w:tc>
          <w:tcPr>
            <w:tcW w:w="1729" w:type="dxa"/>
            <w:gridSpan w:val="2"/>
            <w:vAlign w:val="center"/>
          </w:tcPr>
          <w:p>
            <w:pPr>
              <w:spacing w:line="320" w:lineRule="exact"/>
              <w:ind w:firstLine="480" w:firstLineChars="200"/>
              <w:jc w:val="left"/>
              <w:rPr>
                <w:rFonts w:ascii="Times New Roman" w:hAnsi="Times New Roman" w:cs="Times New Roman"/>
                <w:sz w:val="24"/>
              </w:rPr>
            </w:pPr>
            <w:r>
              <w:rPr>
                <w:rFonts w:hint="eastAsia" w:ascii="Times New Roman" w:hAnsi="Times New Roman" w:cs="Times New Roman"/>
                <w:sz w:val="24"/>
              </w:rPr>
              <w:t xml:space="preserve"> </w:t>
            </w:r>
          </w:p>
        </w:tc>
        <w:tc>
          <w:tcPr>
            <w:tcW w:w="1639"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是否超上限</w:t>
            </w:r>
          </w:p>
        </w:tc>
        <w:tc>
          <w:tcPr>
            <w:tcW w:w="1813" w:type="dxa"/>
            <w:gridSpan w:val="2"/>
            <w:vAlign w:val="center"/>
          </w:tcPr>
          <w:p>
            <w:pPr>
              <w:spacing w:line="320" w:lineRule="exact"/>
              <w:jc w:val="left"/>
              <w:rPr>
                <w:rFonts w:ascii="Times New Roman" w:hAnsi="Times New Roman" w:cs="Times New Roman"/>
                <w:sz w:val="24"/>
              </w:rPr>
            </w:pPr>
            <w:r>
              <w:rPr>
                <w:rFonts w:ascii="Times New Roman" w:hAnsi="宋体" w:cs="Times New Roman"/>
                <w:sz w:val="24"/>
              </w:rPr>
              <w:t>是（</w:t>
            </w:r>
            <w:r>
              <w:rPr>
                <w:rFonts w:ascii="Times New Roman" w:hAnsi="Times New Roman" w:cs="Times New Roman"/>
                <w:sz w:val="24"/>
              </w:rPr>
              <w:t xml:space="preserve"> </w:t>
            </w:r>
            <w:r>
              <w:rPr>
                <w:rFonts w:ascii="Times New Roman" w:hAnsi="宋体" w:cs="Times New Roman"/>
                <w:sz w:val="24"/>
              </w:rPr>
              <w:t>）否（</w:t>
            </w:r>
            <w:r>
              <w:rPr>
                <w:rFonts w:ascii="Times New Roman" w:hAnsi="Times New Roman" w:cs="Times New Roman"/>
                <w:sz w:val="24"/>
              </w:rPr>
              <w:t>V</w:t>
            </w:r>
            <w:r>
              <w:rPr>
                <w:rFonts w:ascii="Times New Roman" w:hAnsi="宋体" w:cs="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trPr>
        <w:tc>
          <w:tcPr>
            <w:tcW w:w="8522" w:type="dxa"/>
            <w:gridSpan w:val="9"/>
            <w:vAlign w:val="center"/>
          </w:tcPr>
          <w:p>
            <w:pPr>
              <w:spacing w:line="320" w:lineRule="exact"/>
              <w:ind w:firstLine="480" w:firstLineChars="200"/>
              <w:jc w:val="left"/>
              <w:rPr>
                <w:rFonts w:ascii="Times New Roman" w:hAnsi="Times New Roman" w:cs="Times New Roman"/>
                <w:sz w:val="24"/>
              </w:rPr>
            </w:pPr>
            <w:r>
              <w:rPr>
                <w:rFonts w:ascii="Times New Roman" w:hAnsi="宋体" w:cs="Times New Roman"/>
                <w:sz w:val="24"/>
              </w:rPr>
              <w:t>以上信息真实有效，本机构将严格按照相关规定认真履行相关职责，并及时准确地报送相关信息。</w:t>
            </w:r>
            <w:r>
              <w:rPr>
                <w:rFonts w:ascii="Times New Roman" w:hAnsi="Times New Roman" w:cs="Times New Roman"/>
                <w:sz w:val="24"/>
              </w:rPr>
              <w:t xml:space="preserve">                                </w:t>
            </w:r>
          </w:p>
          <w:p>
            <w:pPr>
              <w:spacing w:line="320" w:lineRule="exact"/>
              <w:ind w:firstLine="480" w:firstLineChars="200"/>
              <w:jc w:val="center"/>
              <w:rPr>
                <w:rFonts w:ascii="Times New Roman" w:hAnsi="Times New Roman" w:cs="Times New Roman"/>
                <w:sz w:val="24"/>
              </w:rPr>
            </w:pPr>
            <w:r>
              <w:rPr>
                <w:rFonts w:ascii="Times New Roman" w:hAnsi="宋体" w:cs="Times New Roman"/>
                <w:sz w:val="24"/>
              </w:rPr>
              <w:t>（公章）</w:t>
            </w:r>
          </w:p>
          <w:p>
            <w:pPr>
              <w:spacing w:line="320" w:lineRule="exact"/>
              <w:ind w:firstLine="480" w:firstLineChars="200"/>
              <w:jc w:val="center"/>
              <w:rPr>
                <w:rFonts w:ascii="Times New Roman" w:hAnsi="Times New Roman" w:cs="Times New Roman"/>
                <w:sz w:val="24"/>
              </w:rPr>
            </w:pPr>
            <w:r>
              <w:rPr>
                <w:rFonts w:hint="eastAsia" w:ascii="Times New Roman" w:hAnsi="Times New Roman" w:cs="Times New Roman"/>
                <w:sz w:val="24"/>
              </w:rPr>
              <w:t xml:space="preserve">   年  月  日</w:t>
            </w:r>
            <w:r>
              <w:rPr>
                <w:rFonts w:ascii="Times New Roman" w:hAnsi="Times New Roman" w:cs="Times New Roman"/>
                <w:sz w:val="24"/>
              </w:rPr>
              <w:t xml:space="preserve">           </w:t>
            </w:r>
          </w:p>
        </w:tc>
      </w:tr>
    </w:tbl>
    <w:p>
      <w:pPr>
        <w:widowControl/>
        <w:spacing w:line="384" w:lineRule="auto"/>
        <w:rPr>
          <w:rFonts w:ascii="Times New Roman" w:hAnsi="Times New Roman" w:eastAsia="黑体" w:cs="Times New Roman"/>
          <w:bCs/>
          <w:kern w:val="0"/>
          <w:sz w:val="30"/>
          <w:szCs w:val="30"/>
        </w:rPr>
      </w:pPr>
      <w:r>
        <w:rPr>
          <w:rFonts w:ascii="Times New Roman" w:hAnsi="宋体" w:cs="Times New Roman"/>
          <w:sz w:val="24"/>
        </w:rPr>
        <w:t>联系人：</w:t>
      </w:r>
      <w:r>
        <w:rPr>
          <w:rFonts w:ascii="Times New Roman" w:hAnsi="Times New Roman" w:cs="Times New Roman"/>
          <w:sz w:val="24"/>
        </w:rPr>
        <w:t xml:space="preserve">                  </w:t>
      </w:r>
      <w:r>
        <w:rPr>
          <w:rFonts w:ascii="Times New Roman" w:hAnsi="宋体" w:cs="Times New Roman"/>
          <w:sz w:val="24"/>
        </w:rPr>
        <w:t>联系电话：</w:t>
      </w:r>
      <w:bookmarkEnd w:id="4"/>
      <w:r>
        <w:rPr>
          <w:rFonts w:ascii="Times New Roman" w:hAnsi="Times New Roman" w:eastAsia="仿宋_GB2312" w:cs="Times New Roman"/>
          <w:kern w:val="0"/>
          <w:sz w:val="30"/>
          <w:szCs w:val="30"/>
        </w:rPr>
        <w:br w:type="page"/>
      </w:r>
    </w:p>
    <w:p>
      <w:pPr>
        <w:widowControl/>
        <w:spacing w:line="384" w:lineRule="auto"/>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附录三                   </w:t>
      </w:r>
    </w:p>
    <w:p>
      <w:pPr>
        <w:ind w:right="300"/>
        <w:rPr>
          <w:rFonts w:ascii="Times New Roman" w:hAnsi="Times New Roman" w:eastAsia="黑体" w:cs="Times New Roman"/>
          <w:sz w:val="30"/>
          <w:szCs w:val="30"/>
        </w:rPr>
      </w:pPr>
      <w:r>
        <w:rPr>
          <w:rFonts w:ascii="Times New Roman" w:hAnsi="黑体" w:eastAsia="黑体" w:cs="Times New Roman"/>
          <w:bCs/>
          <w:sz w:val="30"/>
          <w:szCs w:val="30"/>
        </w:rPr>
        <w:t>宏观审慎跨境融资风险加权余额情况表（企业版）</w:t>
      </w:r>
      <w:r>
        <w:rPr>
          <w:rFonts w:ascii="Times New Roman" w:hAnsi="黑体" w:eastAsia="黑体" w:cs="Times New Roman"/>
          <w:sz w:val="30"/>
          <w:szCs w:val="30"/>
        </w:rPr>
        <w:t>错误示例</w:t>
      </w:r>
    </w:p>
    <w:p>
      <w:pPr>
        <w:ind w:firstLine="1260" w:firstLineChars="600"/>
        <w:rPr>
          <w:rFonts w:ascii="Times New Roman" w:hAnsi="Times New Roman" w:cs="Times New Roman"/>
        </w:rPr>
      </w:pPr>
      <w:r>
        <w:rPr>
          <w:rFonts w:hint="eastAsia" w:ascii="Times New Roman" w:cs="Times New Roman"/>
        </w:rPr>
        <w:t xml:space="preserve">                                           </w:t>
      </w:r>
      <w:r>
        <w:rPr>
          <w:rFonts w:ascii="Times New Roman" w:cs="Times New Roman"/>
        </w:rPr>
        <w:t>单位</w:t>
      </w:r>
      <w:r>
        <w:rPr>
          <w:rStyle w:val="19"/>
        </w:rPr>
        <w:footnoteReference w:id="6"/>
      </w:r>
      <w:r>
        <w:rPr>
          <w:rFonts w:ascii="Times New Roman" w:cs="Times New Roman"/>
        </w:rPr>
        <w:t>：万元人民币</w:t>
      </w:r>
    </w:p>
    <w:tbl>
      <w:tblPr>
        <w:tblStyle w:val="22"/>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709"/>
        <w:gridCol w:w="1712"/>
        <w:gridCol w:w="1422"/>
        <w:gridCol w:w="207"/>
        <w:gridCol w:w="61"/>
        <w:gridCol w:w="1592"/>
        <w:gridCol w:w="47"/>
        <w:gridCol w:w="23"/>
        <w:gridCol w:w="17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41"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基本信息</w:t>
            </w: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债务人名称</w:t>
            </w:r>
          </w:p>
        </w:tc>
        <w:tc>
          <w:tcPr>
            <w:tcW w:w="5142" w:type="dxa"/>
            <w:gridSpan w:val="7"/>
            <w:vAlign w:val="center"/>
          </w:tcPr>
          <w:p>
            <w:pPr>
              <w:spacing w:line="320" w:lineRule="exact"/>
              <w:jc w:val="center"/>
              <w:rPr>
                <w:rFonts w:ascii="Times New Roman" w:hAnsi="Times New Roman" w:cs="Times New Roman"/>
                <w:sz w:val="24"/>
              </w:rPr>
            </w:pPr>
            <w:r>
              <w:rPr>
                <w:rFonts w:ascii="Times New Roman" w:hAnsi="Times New Roman" w:cs="Times New Roman"/>
                <w:sz w:val="24"/>
              </w:rPr>
              <w:t>XXXX</w:t>
            </w:r>
            <w:r>
              <w:rPr>
                <w:rFonts w:ascii="Times New Roman" w:hAnsi="宋体" w:cs="Times New Roman"/>
                <w:sz w:val="24"/>
              </w:rPr>
              <w:t>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56"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统一社会信用代码</w:t>
            </w:r>
          </w:p>
        </w:tc>
        <w:tc>
          <w:tcPr>
            <w:tcW w:w="1422"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123456789</w:t>
            </w:r>
          </w:p>
        </w:tc>
        <w:tc>
          <w:tcPr>
            <w:tcW w:w="1860" w:type="dxa"/>
            <w:gridSpan w:val="3"/>
            <w:vAlign w:val="center"/>
          </w:tcPr>
          <w:p>
            <w:pPr>
              <w:spacing w:line="320" w:lineRule="exact"/>
              <w:jc w:val="center"/>
              <w:rPr>
                <w:rFonts w:ascii="Times New Roman" w:hAnsi="Times New Roman" w:cs="Times New Roman"/>
                <w:sz w:val="24"/>
              </w:rPr>
            </w:pPr>
            <w:r>
              <w:rPr>
                <w:rFonts w:ascii="Times New Roman" w:hAnsi="宋体" w:cs="Times New Roman"/>
                <w:sz w:val="24"/>
              </w:rPr>
              <w:t>债务人类型</w:t>
            </w:r>
            <w:r>
              <w:rPr>
                <w:rStyle w:val="19"/>
                <w:sz w:val="24"/>
              </w:rPr>
              <w:footnoteReference w:id="7"/>
            </w:r>
          </w:p>
        </w:tc>
        <w:tc>
          <w:tcPr>
            <w:tcW w:w="1860" w:type="dxa"/>
            <w:gridSpan w:val="3"/>
            <w:vAlign w:val="center"/>
          </w:tcPr>
          <w:p>
            <w:pPr>
              <w:spacing w:line="320" w:lineRule="exact"/>
              <w:jc w:val="center"/>
              <w:rPr>
                <w:rFonts w:ascii="Times New Roman" w:hAnsi="Times New Roman" w:cs="Times New Roman"/>
                <w:sz w:val="24"/>
              </w:rPr>
            </w:pPr>
            <w:r>
              <w:rPr>
                <w:rFonts w:ascii="Times New Roman" w:hAnsi="Times New Roman" w:eastAsia="宋体" w:cs="Times New Roman"/>
                <w:kern w:val="2"/>
                <w:sz w:val="24"/>
                <w:szCs w:val="22"/>
                <w:lang w:val="en-US" w:eastAsia="zh-CN" w:bidi="ar-SA"/>
              </w:rPr>
              <w:pict>
                <v:shape id="椭圆 94" o:spid="_x0000_s1060" type="#_x0000_t3" style="position:absolute;left:0;margin-left:8.9pt;margin-top:-1.5pt;height:28.8pt;width:63.95pt;rotation:0f;z-index:251658240;" o:ole="f" fillcolor="#9CBEE0" filled="f" o:preferrelative="t" stroked="t" coordorigin="0,0" coordsize="21600,21600">
                  <v:fill on="f" color2="#BBD5F0" focus="0%"/>
                  <v:stroke weight="1.25pt" color="#FF0000" color2="#FFFFFF" miterlimit="2"/>
                  <v:imagedata gain="65536f" blacklevel="0f" gamma="0"/>
                  <o:lock v:ext="edit" position="f" selection="f" grouping="f" rotation="f" cropping="f" text="f" aspectratio="f"/>
                </v:shape>
              </w:pict>
            </w:r>
            <w:r>
              <w:rPr>
                <w:rFonts w:ascii="Times New Roman" w:hAnsi="宋体" w:cs="Times New Roman"/>
                <w:sz w:val="24"/>
              </w:rPr>
              <w:t>股份公司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87"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跨境融资风险加权余额上限</w:t>
            </w: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净资产</w:t>
            </w:r>
            <w:r>
              <w:rPr>
                <w:rStyle w:val="19"/>
                <w:sz w:val="24"/>
              </w:rPr>
              <w:footnoteReference w:id="8"/>
            </w:r>
          </w:p>
        </w:tc>
        <w:tc>
          <w:tcPr>
            <w:tcW w:w="5142" w:type="dxa"/>
            <w:gridSpan w:val="7"/>
            <w:vAlign w:val="center"/>
          </w:tcPr>
          <w:p>
            <w:pPr>
              <w:spacing w:line="320" w:lineRule="exact"/>
              <w:jc w:val="center"/>
              <w:rPr>
                <w:rFonts w:ascii="Times New Roman" w:hAnsi="Times New Roman" w:cs="Times New Roman"/>
                <w:sz w:val="24"/>
              </w:rPr>
            </w:pPr>
            <w:r>
              <w:rPr>
                <w:rFonts w:ascii="Times New Roman" w:hAnsi="Times New Roman" w:cs="Times New Roman"/>
                <w:sz w:val="24"/>
              </w:rPr>
              <w:t>240.51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89"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风险加权余额</w:t>
            </w:r>
          </w:p>
          <w:p>
            <w:pPr>
              <w:spacing w:line="320" w:lineRule="exact"/>
              <w:jc w:val="center"/>
              <w:rPr>
                <w:rFonts w:ascii="Times New Roman" w:hAnsi="Times New Roman" w:cs="Times New Roman"/>
                <w:sz w:val="24"/>
              </w:rPr>
            </w:pPr>
            <w:r>
              <w:rPr>
                <w:rFonts w:ascii="Times New Roman" w:hAnsi="宋体" w:cs="Times New Roman"/>
                <w:sz w:val="24"/>
              </w:rPr>
              <w:t>上限</w:t>
            </w:r>
            <w:r>
              <w:rPr>
                <w:rStyle w:val="19"/>
                <w:sz w:val="24"/>
              </w:rPr>
              <w:footnoteReference w:id="9"/>
            </w:r>
          </w:p>
        </w:tc>
        <w:tc>
          <w:tcPr>
            <w:tcW w:w="5142" w:type="dxa"/>
            <w:gridSpan w:val="7"/>
            <w:vAlign w:val="center"/>
          </w:tcPr>
          <w:p>
            <w:pPr>
              <w:spacing w:line="320" w:lineRule="exact"/>
              <w:jc w:val="center"/>
              <w:rPr>
                <w:rFonts w:ascii="Times New Roman" w:hAnsi="Times New Roman" w:cs="Times New Roman"/>
                <w:sz w:val="24"/>
              </w:rPr>
            </w:pPr>
            <w:r>
              <w:rPr>
                <w:rFonts w:ascii="Times New Roman" w:hAnsi="Times New Roman" w:eastAsia="宋体" w:cs="Times New Roman"/>
                <w:kern w:val="2"/>
                <w:sz w:val="24"/>
                <w:szCs w:val="22"/>
                <w:lang w:val="en-US" w:eastAsia="zh-CN" w:bidi="ar-SA"/>
              </w:rPr>
              <w:pict>
                <v:shape id="线形标注 3 95" o:spid="_x0000_s1061" type="#_x0000_t48" style="position:absolute;left:0;margin-left:254.25pt;margin-top:-8.05pt;height:38.65pt;width:67.95pt;rotation:0f;z-index:251659264;" o:ole="f" fillcolor="#9CBEE0" filled="f" o:preferrelative="t" stroked="t" coordorigin="0,0" coordsize="21600,21600" adj="-5404,-22662,-3656,5030,-1907,5030">
                  <v:fill on="f" color2="#BBD5F0" focus="0%"/>
                  <v:stroke weight="1.25pt" color="#3366FF" color2="#FFFFFF" miterlimit="2"/>
                  <v:imagedata gain="65536f" blacklevel="0f" gamma="0"/>
                  <o:lock v:ext="edit" position="f" selection="f" grouping="f" rotation="f" cropping="f" text="f" aspectratio="f"/>
                  <v:textbox>
                    <w:txbxContent>
                      <w:p>
                        <w:pPr>
                          <w:snapToGrid w:val="0"/>
                          <w:rPr>
                            <w:sz w:val="15"/>
                            <w:szCs w:val="13"/>
                          </w:rPr>
                        </w:pPr>
                        <w:r>
                          <w:rPr>
                            <w:rFonts w:hint="eastAsia"/>
                            <w:sz w:val="15"/>
                            <w:szCs w:val="13"/>
                          </w:rPr>
                          <w:t>此处应填写中资企业或外资企业</w:t>
                        </w:r>
                      </w:p>
                    </w:txbxContent>
                  </v:textbox>
                </v:shape>
              </w:pict>
            </w:r>
            <w:r>
              <w:rPr>
                <w:rFonts w:hint="eastAsia" w:ascii="Times New Roman" w:hAnsi="Times New Roman" w:cs="Times New Roman"/>
                <w:sz w:val="24"/>
              </w:rPr>
              <w:t>601.28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75" w:hRule="atLeast"/>
        </w:trPr>
        <w:tc>
          <w:tcPr>
            <w:tcW w:w="95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w:t>
            </w:r>
          </w:p>
        </w:tc>
        <w:tc>
          <w:tcPr>
            <w:tcW w:w="2421" w:type="dxa"/>
            <w:gridSpan w:val="2"/>
            <w:tcBorders>
              <w:tl2br w:val="single" w:color="auto" w:sz="4" w:space="0"/>
            </w:tcBorders>
            <w:vAlign w:val="center"/>
          </w:tcPr>
          <w:p>
            <w:pPr>
              <w:spacing w:line="320" w:lineRule="exact"/>
              <w:jc w:val="center"/>
              <w:rPr>
                <w:rFonts w:ascii="Times New Roman" w:hAnsi="Times New Roman" w:cs="Times New Roman"/>
                <w:sz w:val="24"/>
              </w:rPr>
            </w:pPr>
          </w:p>
        </w:tc>
        <w:tc>
          <w:tcPr>
            <w:tcW w:w="1690"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中长期</w:t>
            </w:r>
          </w:p>
        </w:tc>
        <w:tc>
          <w:tcPr>
            <w:tcW w:w="1662"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短期</w:t>
            </w:r>
          </w:p>
        </w:tc>
        <w:tc>
          <w:tcPr>
            <w:tcW w:w="1790" w:type="dxa"/>
            <w:vAlign w:val="center"/>
          </w:tcPr>
          <w:p>
            <w:pPr>
              <w:jc w:val="center"/>
              <w:rPr>
                <w:rFonts w:ascii="Times New Roman" w:hAnsi="Times New Roman" w:cs="Times New Roman"/>
              </w:rPr>
            </w:pPr>
            <w:r>
              <w:rPr>
                <w:rFonts w:ascii="Times New Roman" w:hAnsi="宋体" w:cs="Times New Roman"/>
                <w:sz w:val="24"/>
              </w:rPr>
              <w:t>外币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61"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现有跨境融资余额</w:t>
            </w:r>
          </w:p>
        </w:tc>
        <w:tc>
          <w:tcPr>
            <w:tcW w:w="1690"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20</w:t>
            </w:r>
          </w:p>
        </w:tc>
        <w:tc>
          <w:tcPr>
            <w:tcW w:w="1662"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30</w:t>
            </w: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05"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本笔跨境融资签约额</w:t>
            </w:r>
          </w:p>
        </w:tc>
        <w:tc>
          <w:tcPr>
            <w:tcW w:w="1690"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10</w:t>
            </w: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84"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restart"/>
            <w:vAlign w:val="center"/>
          </w:tcPr>
          <w:p>
            <w:pPr>
              <w:spacing w:line="320" w:lineRule="exact"/>
              <w:jc w:val="center"/>
              <w:rPr>
                <w:rFonts w:ascii="Times New Roman" w:hAnsi="Times New Roman" w:cs="Times New Roman"/>
                <w:sz w:val="24"/>
              </w:rPr>
            </w:pPr>
            <w:r>
              <w:rPr>
                <w:rFonts w:ascii="Times New Roman" w:hAnsi="宋体" w:cs="Times New Roman"/>
                <w:sz w:val="24"/>
              </w:rPr>
              <w:t>不纳入计算的业务类型</w:t>
            </w:r>
          </w:p>
        </w:tc>
        <w:tc>
          <w:tcPr>
            <w:tcW w:w="1712" w:type="dxa"/>
            <w:tcBorders>
              <w:tl2br w:val="single" w:color="auto" w:sz="4" w:space="0"/>
            </w:tcBorders>
            <w:vAlign w:val="center"/>
          </w:tcPr>
          <w:p>
            <w:pPr>
              <w:spacing w:line="320" w:lineRule="exact"/>
              <w:jc w:val="center"/>
              <w:rPr>
                <w:rFonts w:ascii="Times New Roman" w:hAnsi="Times New Roman" w:cs="Times New Roman"/>
                <w:sz w:val="24"/>
              </w:rPr>
            </w:pPr>
          </w:p>
        </w:tc>
        <w:tc>
          <w:tcPr>
            <w:tcW w:w="1690"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中长期余额</w:t>
            </w:r>
          </w:p>
        </w:tc>
        <w:tc>
          <w:tcPr>
            <w:tcW w:w="1662" w:type="dxa"/>
            <w:gridSpan w:val="3"/>
            <w:vAlign w:val="center"/>
          </w:tcPr>
          <w:p>
            <w:pPr>
              <w:spacing w:line="240" w:lineRule="exact"/>
              <w:jc w:val="center"/>
              <w:rPr>
                <w:rFonts w:ascii="Times New Roman" w:hAnsi="Times New Roman" w:cs="Times New Roman"/>
                <w:sz w:val="24"/>
              </w:rPr>
            </w:pPr>
            <w:r>
              <w:rPr>
                <w:rFonts w:ascii="Times New Roman" w:hAnsi="宋体" w:cs="Times New Roman"/>
                <w:sz w:val="24"/>
              </w:rPr>
              <w:t>短期余额</w:t>
            </w:r>
          </w:p>
        </w:tc>
        <w:tc>
          <w:tcPr>
            <w:tcW w:w="1790" w:type="dxa"/>
            <w:vAlign w:val="center"/>
          </w:tcPr>
          <w:p>
            <w:pPr>
              <w:jc w:val="center"/>
              <w:rPr>
                <w:rFonts w:ascii="Times New Roman" w:hAnsi="Times New Roman" w:cs="Times New Roman"/>
              </w:rPr>
            </w:pPr>
            <w:r>
              <w:rPr>
                <w:rFonts w:ascii="Times New Roman" w:hAnsi="宋体" w:cs="Times New Roman"/>
                <w:sz w:val="24"/>
              </w:rPr>
              <w:t>外币余额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11"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712" w:type="dxa"/>
            <w:vAlign w:val="center"/>
          </w:tcPr>
          <w:p>
            <w:pPr>
              <w:spacing w:line="320" w:lineRule="exact"/>
              <w:jc w:val="center"/>
              <w:rPr>
                <w:rFonts w:ascii="Times New Roman" w:hAnsi="Times New Roman" w:cs="Times New Roman"/>
                <w:sz w:val="24"/>
              </w:rPr>
            </w:pPr>
            <w:r>
              <w:rPr>
                <w:rFonts w:ascii="Times New Roman" w:hAnsi="宋体" w:cs="Times New Roman"/>
                <w:sz w:val="24"/>
              </w:rPr>
              <w:t>熊猫债</w:t>
            </w:r>
          </w:p>
        </w:tc>
        <w:tc>
          <w:tcPr>
            <w:tcW w:w="1690"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5</w:t>
            </w:r>
          </w:p>
        </w:tc>
        <w:tc>
          <w:tcPr>
            <w:tcW w:w="1662"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2</w:t>
            </w: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16"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712" w:type="dxa"/>
            <w:vAlign w:val="center"/>
          </w:tcPr>
          <w:p>
            <w:pPr>
              <w:spacing w:line="320" w:lineRule="exact"/>
              <w:jc w:val="center"/>
              <w:rPr>
                <w:rFonts w:ascii="Times New Roman" w:hAnsi="Times New Roman" w:cs="Times New Roman"/>
                <w:sz w:val="24"/>
              </w:rPr>
            </w:pPr>
          </w:p>
        </w:tc>
        <w:tc>
          <w:tcPr>
            <w:tcW w:w="1690" w:type="dxa"/>
            <w:gridSpan w:val="3"/>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09" w:hRule="atLeast"/>
        </w:trPr>
        <w:tc>
          <w:tcPr>
            <w:tcW w:w="959" w:type="dxa"/>
            <w:vMerge w:val="continue"/>
            <w:vAlign w:val="center"/>
          </w:tcPr>
          <w:p>
            <w:pPr>
              <w:spacing w:line="320" w:lineRule="exact"/>
              <w:jc w:val="center"/>
              <w:rPr>
                <w:rFonts w:ascii="Times New Roman" w:hAnsi="Times New Roman" w:cs="Times New Roman"/>
                <w:sz w:val="24"/>
              </w:rPr>
            </w:pPr>
          </w:p>
        </w:tc>
        <w:tc>
          <w:tcPr>
            <w:tcW w:w="709" w:type="dxa"/>
            <w:vMerge w:val="continue"/>
            <w:vAlign w:val="center"/>
          </w:tcPr>
          <w:p>
            <w:pPr>
              <w:spacing w:line="320" w:lineRule="exact"/>
              <w:jc w:val="center"/>
              <w:rPr>
                <w:rFonts w:ascii="Times New Roman" w:hAnsi="Times New Roman" w:cs="Times New Roman"/>
                <w:sz w:val="24"/>
              </w:rPr>
            </w:pPr>
          </w:p>
        </w:tc>
        <w:tc>
          <w:tcPr>
            <w:tcW w:w="1712" w:type="dxa"/>
            <w:vAlign w:val="center"/>
          </w:tcPr>
          <w:p>
            <w:pPr>
              <w:spacing w:line="320" w:lineRule="exact"/>
              <w:jc w:val="center"/>
              <w:rPr>
                <w:rFonts w:ascii="Times New Roman" w:hAnsi="Times New Roman" w:cs="Times New Roman"/>
                <w:sz w:val="24"/>
              </w:rPr>
            </w:pPr>
          </w:p>
        </w:tc>
        <w:tc>
          <w:tcPr>
            <w:tcW w:w="1690" w:type="dxa"/>
            <w:gridSpan w:val="3"/>
            <w:vAlign w:val="center"/>
          </w:tcPr>
          <w:p>
            <w:pPr>
              <w:spacing w:line="320" w:lineRule="exact"/>
              <w:jc w:val="center"/>
              <w:rPr>
                <w:rFonts w:ascii="Times New Roman" w:hAnsi="Times New Roman" w:cs="Times New Roman"/>
                <w:sz w:val="24"/>
              </w:rPr>
            </w:pPr>
          </w:p>
        </w:tc>
        <w:tc>
          <w:tcPr>
            <w:tcW w:w="1662" w:type="dxa"/>
            <w:gridSpan w:val="3"/>
            <w:vAlign w:val="center"/>
          </w:tcPr>
          <w:p>
            <w:pPr>
              <w:spacing w:line="320" w:lineRule="exact"/>
              <w:jc w:val="center"/>
              <w:rPr>
                <w:rFonts w:ascii="Times New Roman" w:hAnsi="Times New Roman" w:cs="Times New Roman"/>
                <w:sz w:val="24"/>
              </w:rPr>
            </w:pPr>
          </w:p>
        </w:tc>
        <w:tc>
          <w:tcPr>
            <w:tcW w:w="1790" w:type="dxa"/>
            <w:vAlign w:val="center"/>
          </w:tcPr>
          <w:p>
            <w:pPr>
              <w:spacing w:line="320" w:lineRule="exact"/>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8"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纳入计算的余额</w:t>
            </w:r>
            <w:r>
              <w:rPr>
                <w:rStyle w:val="19"/>
                <w:sz w:val="24"/>
              </w:rPr>
              <w:footnoteReference w:id="10"/>
            </w:r>
          </w:p>
        </w:tc>
        <w:tc>
          <w:tcPr>
            <w:tcW w:w="1690"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25</w:t>
            </w:r>
          </w:p>
        </w:tc>
        <w:tc>
          <w:tcPr>
            <w:tcW w:w="1662" w:type="dxa"/>
            <w:gridSpan w:val="3"/>
            <w:vAlign w:val="center"/>
          </w:tcPr>
          <w:p>
            <w:pPr>
              <w:spacing w:line="320" w:lineRule="exact"/>
              <w:jc w:val="center"/>
              <w:rPr>
                <w:rFonts w:ascii="Times New Roman" w:hAnsi="Times New Roman" w:cs="Times New Roman"/>
                <w:sz w:val="24"/>
              </w:rPr>
            </w:pPr>
            <w:r>
              <w:rPr>
                <w:rFonts w:ascii="Times New Roman" w:hAnsi="Times New Roman" w:cs="Times New Roman"/>
                <w:sz w:val="24"/>
              </w:rPr>
              <w:t>28</w:t>
            </w:r>
          </w:p>
        </w:tc>
        <w:tc>
          <w:tcPr>
            <w:tcW w:w="1790"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04" w:hRule="atLeast"/>
        </w:trPr>
        <w:tc>
          <w:tcPr>
            <w:tcW w:w="959" w:type="dxa"/>
            <w:vMerge w:val="continue"/>
            <w:vAlign w:val="center"/>
          </w:tcPr>
          <w:p>
            <w:pPr>
              <w:spacing w:line="320" w:lineRule="exact"/>
              <w:jc w:val="center"/>
              <w:rPr>
                <w:rFonts w:ascii="Times New Roman" w:hAnsi="Times New Roman" w:cs="Times New Roman"/>
                <w:sz w:val="24"/>
              </w:rPr>
            </w:pPr>
          </w:p>
        </w:tc>
        <w:tc>
          <w:tcPr>
            <w:tcW w:w="2421" w:type="dxa"/>
            <w:gridSpan w:val="2"/>
            <w:vAlign w:val="center"/>
          </w:tcPr>
          <w:p>
            <w:pPr>
              <w:spacing w:line="320" w:lineRule="exact"/>
              <w:jc w:val="center"/>
              <w:rPr>
                <w:rFonts w:ascii="Times New Roman" w:hAnsi="Times New Roman" w:cs="Times New Roman"/>
                <w:sz w:val="24"/>
              </w:rPr>
            </w:pPr>
            <w:r>
              <w:rPr>
                <w:rFonts w:ascii="Times New Roman" w:hAnsi="宋体" w:cs="Times New Roman"/>
                <w:sz w:val="24"/>
              </w:rPr>
              <w:t>跨境融资风险加权余额</w:t>
            </w:r>
            <w:r>
              <w:rPr>
                <w:rStyle w:val="19"/>
                <w:sz w:val="24"/>
              </w:rPr>
              <w:footnoteReference w:id="11"/>
            </w:r>
          </w:p>
        </w:tc>
        <w:tc>
          <w:tcPr>
            <w:tcW w:w="5142" w:type="dxa"/>
            <w:gridSpan w:val="7"/>
            <w:vAlign w:val="center"/>
          </w:tcPr>
          <w:p>
            <w:pPr>
              <w:spacing w:line="320" w:lineRule="exact"/>
              <w:jc w:val="center"/>
              <w:rPr>
                <w:rFonts w:ascii="Times New Roman" w:hAnsi="Times New Roman" w:cs="Times New Roman"/>
                <w:sz w:val="24"/>
              </w:rPr>
            </w:pPr>
            <w:r>
              <w:rPr>
                <w:rFonts w:ascii="Times New Roman" w:hAnsi="Times New Roman" w:cs="Times New Roman"/>
                <w:sz w:val="24"/>
              </w:rPr>
              <w:t>79.5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0" w:hRule="atLeast"/>
        </w:trPr>
        <w:tc>
          <w:tcPr>
            <w:tcW w:w="3380" w:type="dxa"/>
            <w:gridSpan w:val="3"/>
            <w:vAlign w:val="center"/>
          </w:tcPr>
          <w:p>
            <w:pPr>
              <w:spacing w:line="320" w:lineRule="exact"/>
              <w:jc w:val="left"/>
              <w:rPr>
                <w:rFonts w:ascii="Times New Roman" w:hAnsi="Times New Roman" w:cs="Times New Roman"/>
                <w:sz w:val="24"/>
              </w:rPr>
            </w:pPr>
            <w:r>
              <w:rPr>
                <w:rFonts w:ascii="Times New Roman" w:hAnsi="宋体" w:cs="Times New Roman"/>
                <w:sz w:val="24"/>
              </w:rPr>
              <w:t>跨境融资风险加权余额上限与跨境融资风险加权余额之差额</w:t>
            </w:r>
          </w:p>
        </w:tc>
        <w:tc>
          <w:tcPr>
            <w:tcW w:w="1629" w:type="dxa"/>
            <w:gridSpan w:val="2"/>
            <w:vAlign w:val="center"/>
          </w:tcPr>
          <w:p>
            <w:pPr>
              <w:spacing w:line="320" w:lineRule="exact"/>
              <w:ind w:firstLine="480" w:firstLineChars="200"/>
              <w:jc w:val="left"/>
              <w:rPr>
                <w:rFonts w:ascii="Times New Roman" w:hAnsi="Times New Roman" w:cs="Times New Roman"/>
                <w:sz w:val="24"/>
              </w:rPr>
            </w:pPr>
            <w:r>
              <w:rPr>
                <w:rFonts w:hint="eastAsia" w:ascii="Times New Roman" w:hAnsi="Times New Roman" w:cs="Times New Roman"/>
                <w:sz w:val="24"/>
              </w:rPr>
              <w:t>521.78</w:t>
            </w:r>
          </w:p>
        </w:tc>
        <w:tc>
          <w:tcPr>
            <w:tcW w:w="1700" w:type="dxa"/>
            <w:gridSpan w:val="3"/>
            <w:vAlign w:val="top"/>
          </w:tcPr>
          <w:p>
            <w:pPr>
              <w:spacing w:line="320" w:lineRule="exact"/>
              <w:rPr>
                <w:rFonts w:ascii="Times New Roman" w:hAnsi="Times New Roman" w:cs="Times New Roman"/>
                <w:sz w:val="24"/>
              </w:rPr>
            </w:pPr>
            <w:r>
              <w:rPr>
                <w:rFonts w:ascii="Times New Roman" w:hAnsi="宋体" w:cs="Times New Roman"/>
                <w:sz w:val="24"/>
              </w:rPr>
              <w:t>是否超上限</w:t>
            </w:r>
          </w:p>
        </w:tc>
        <w:tc>
          <w:tcPr>
            <w:tcW w:w="1813" w:type="dxa"/>
            <w:gridSpan w:val="2"/>
            <w:vAlign w:val="center"/>
          </w:tcPr>
          <w:p>
            <w:pPr>
              <w:spacing w:line="320" w:lineRule="exact"/>
              <w:jc w:val="left"/>
              <w:rPr>
                <w:rFonts w:ascii="Times New Roman" w:hAnsi="Times New Roman" w:cs="Times New Roman"/>
                <w:sz w:val="24"/>
              </w:rPr>
            </w:pPr>
            <w:r>
              <w:rPr>
                <w:rFonts w:ascii="Times New Roman" w:hAnsi="宋体" w:cs="Times New Roman"/>
                <w:sz w:val="24"/>
              </w:rPr>
              <w:t>是（</w:t>
            </w:r>
            <w:r>
              <w:rPr>
                <w:rFonts w:ascii="Times New Roman" w:hAnsi="Times New Roman" w:cs="Times New Roman"/>
                <w:sz w:val="24"/>
              </w:rPr>
              <w:t xml:space="preserve"> </w:t>
            </w:r>
            <w:r>
              <w:rPr>
                <w:rFonts w:ascii="Times New Roman" w:hAnsi="宋体" w:cs="Times New Roman"/>
                <w:sz w:val="24"/>
              </w:rPr>
              <w:t>）否（</w:t>
            </w:r>
            <w:r>
              <w:rPr>
                <w:rFonts w:ascii="Times New Roman" w:hAnsi="Times New Roman" w:cs="Times New Roman"/>
                <w:sz w:val="24"/>
              </w:rPr>
              <w:t>V</w:t>
            </w:r>
            <w:r>
              <w:rPr>
                <w:rFonts w:ascii="Times New Roman" w:hAnsi="宋体" w:cs="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8" w:hRule="atLeast"/>
        </w:trPr>
        <w:tc>
          <w:tcPr>
            <w:tcW w:w="8522" w:type="dxa"/>
            <w:gridSpan w:val="10"/>
            <w:vAlign w:val="center"/>
          </w:tcPr>
          <w:p>
            <w:pPr>
              <w:spacing w:line="320" w:lineRule="exact"/>
              <w:ind w:firstLine="480" w:firstLineChars="200"/>
              <w:rPr>
                <w:rFonts w:ascii="Times New Roman" w:hAnsi="宋体" w:cs="Times New Roman"/>
                <w:sz w:val="24"/>
              </w:rPr>
            </w:pPr>
            <w:r>
              <w:rPr>
                <w:rFonts w:ascii="Times New Roman" w:hAnsi="宋体" w:cs="Times New Roman"/>
                <w:sz w:val="24"/>
              </w:rPr>
              <w:t>以上信息真实有效，本机构将严格按照相关规定认真履行相关职责，并及时准确地报送相关信息。</w:t>
            </w:r>
            <w:r>
              <w:rPr>
                <w:rFonts w:ascii="Times New Roman" w:hAnsi="Times New Roman" w:cs="Times New Roman"/>
                <w:sz w:val="24"/>
              </w:rPr>
              <w:t xml:space="preserve">                           </w:t>
            </w:r>
            <w:r>
              <w:rPr>
                <w:rFonts w:hint="eastAsia" w:ascii="Times New Roman" w:hAnsi="Times New Roman" w:cs="Times New Roman"/>
                <w:sz w:val="24"/>
              </w:rPr>
              <w:t xml:space="preserve"> </w:t>
            </w:r>
            <w:r>
              <w:rPr>
                <w:rFonts w:ascii="Times New Roman" w:hAnsi="Times New Roman" w:cs="Times New Roman"/>
                <w:sz w:val="24"/>
              </w:rPr>
              <w:t xml:space="preserve">      </w:t>
            </w:r>
            <w:r>
              <w:rPr>
                <w:rFonts w:ascii="Times New Roman" w:hAnsi="宋体" w:cs="Times New Roman"/>
                <w:sz w:val="24"/>
              </w:rPr>
              <w:t>（公章）</w:t>
            </w:r>
          </w:p>
          <w:p>
            <w:pPr>
              <w:spacing w:line="320" w:lineRule="exact"/>
              <w:ind w:firstLine="480" w:firstLineChars="200"/>
              <w:jc w:val="center"/>
              <w:rPr>
                <w:rFonts w:ascii="Times New Roman" w:hAnsi="Times New Roman" w:cs="Times New Roman"/>
                <w:sz w:val="24"/>
              </w:rPr>
            </w:pPr>
            <w:r>
              <w:rPr>
                <w:rFonts w:hint="eastAsia" w:ascii="Times New Roman" w:hAnsi="宋体" w:cs="Times New Roman"/>
                <w:sz w:val="24"/>
              </w:rPr>
              <w:t xml:space="preserve">                                            年  月  日</w:t>
            </w:r>
          </w:p>
        </w:tc>
      </w:tr>
    </w:tbl>
    <w:p>
      <w:pPr>
        <w:widowControl/>
        <w:spacing w:line="384" w:lineRule="auto"/>
        <w:rPr>
          <w:rFonts w:ascii="Times New Roman" w:hAnsi="Times New Roman" w:eastAsia="仿宋_GB2312" w:cs="Times New Roman"/>
          <w:kern w:val="0"/>
          <w:sz w:val="30"/>
          <w:szCs w:val="30"/>
        </w:rPr>
      </w:pPr>
      <w:r>
        <w:rPr>
          <w:rFonts w:ascii="Times New Roman" w:hAnsi="宋体" w:cs="Times New Roman"/>
          <w:sz w:val="24"/>
        </w:rPr>
        <w:t>联系人：</w:t>
      </w:r>
      <w:r>
        <w:rPr>
          <w:rFonts w:ascii="Times New Roman" w:hAnsi="Times New Roman" w:cs="Times New Roman"/>
          <w:sz w:val="24"/>
        </w:rPr>
        <w:t xml:space="preserve">         </w:t>
      </w:r>
      <w:r>
        <w:rPr>
          <w:rFonts w:ascii="Times New Roman" w:hAnsi="宋体" w:cs="Times New Roman"/>
          <w:sz w:val="24"/>
        </w:rPr>
        <w:t>联系</w:t>
      </w:r>
      <w:r>
        <w:rPr>
          <w:rFonts w:hint="eastAsia" w:ascii="Times New Roman" w:hAnsi="宋体" w:cs="Times New Roman"/>
          <w:sz w:val="24"/>
        </w:rPr>
        <w:t xml:space="preserve">电话： </w:t>
      </w:r>
      <w:r>
        <w:rPr>
          <w:rFonts w:ascii="Times New Roman" w:hAnsi="Times New Roman" w:cs="Times New Roman"/>
          <w:sz w:val="24"/>
        </w:rPr>
        <w:t xml:space="preserve">    </w:t>
      </w:r>
      <w:r>
        <w:rPr>
          <w:rFonts w:ascii="Times New Roman" w:hAnsi="Times New Roman" w:eastAsia="仿宋_GB2312" w:cs="Times New Roman"/>
          <w:kern w:val="0"/>
          <w:sz w:val="30"/>
          <w:szCs w:val="30"/>
        </w:rPr>
        <w:br w:type="page"/>
      </w:r>
      <w:r>
        <w:rPr>
          <w:rFonts w:ascii="Times New Roman" w:hAnsi="Times New Roman" w:eastAsia="仿宋_GB2312" w:cs="Times New Roman"/>
          <w:kern w:val="0"/>
          <w:sz w:val="30"/>
          <w:szCs w:val="30"/>
        </w:rPr>
        <w:t xml:space="preserve">附录四 </w:t>
      </w:r>
    </w:p>
    <w:p>
      <w:pPr>
        <w:widowControl/>
        <w:spacing w:line="384" w:lineRule="auto"/>
        <w:rPr>
          <w:rFonts w:ascii="Times New Roman" w:hAnsi="Times New Roman" w:eastAsia="仿宋_GB2312" w:cs="Times New Roman"/>
          <w:kern w:val="0"/>
          <w:sz w:val="30"/>
          <w:szCs w:val="30"/>
        </w:rPr>
      </w:pPr>
    </w:p>
    <w:p>
      <w:pPr>
        <w:ind w:firstLine="720" w:firstLineChars="200"/>
        <w:rPr>
          <w:rFonts w:ascii="Times New Roman" w:hAnsi="Times New Roman" w:eastAsia="黑体" w:cs="Times New Roman"/>
          <w:sz w:val="36"/>
          <w:szCs w:val="36"/>
        </w:rPr>
      </w:pPr>
      <w:r>
        <w:rPr>
          <w:rFonts w:ascii="Times New Roman" w:hAnsi="Times New Roman" w:eastAsia="黑体" w:cs="Times New Roman"/>
          <w:sz w:val="36"/>
          <w:szCs w:val="36"/>
        </w:rPr>
        <w:t>跨国公司跨境资金集中运营业务办理确认书</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本单位已知晓</w:t>
      </w:r>
      <w:r>
        <w:rPr>
          <w:rFonts w:ascii="Times New Roman" w:hAnsi="Times New Roman" w:eastAsia="仿宋_GB2312" w:cs="Times New Roman"/>
          <w:sz w:val="30"/>
        </w:rPr>
        <w:t>跨国公司跨境资金集中运营管理</w:t>
      </w:r>
      <w:r>
        <w:rPr>
          <w:rFonts w:ascii="Times New Roman" w:hAnsi="Times New Roman" w:eastAsia="仿宋_GB2312" w:cs="Times New Roman"/>
          <w:sz w:val="30"/>
          <w:szCs w:val="30"/>
        </w:rPr>
        <w:t>政策及相关要求，仔细阅读本确认书告知和提示的本单位义务以及外汇局监管要求。承诺将：</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一、依法合规开展</w:t>
      </w:r>
      <w:r>
        <w:rPr>
          <w:rFonts w:ascii="Times New Roman" w:hAnsi="Times New Roman" w:eastAsia="仿宋_GB2312" w:cs="Times New Roman"/>
          <w:sz w:val="30"/>
        </w:rPr>
        <w:t>跨境资金集中运营业务</w:t>
      </w:r>
      <w:r>
        <w:rPr>
          <w:rFonts w:ascii="Times New Roman" w:hAnsi="Times New Roman" w:eastAsia="仿宋_GB2312" w:cs="Times New Roman"/>
          <w:sz w:val="30"/>
          <w:szCs w:val="30"/>
        </w:rPr>
        <w:t>。在满足下列要求前提下，享有按照政策规定的便利措施办理相关业务的权利：签署本确认书，严格按照要求办理业务，合规经营等。</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二、按外汇局政策规定及时、准确、完整地报送业务数据；不使用虚假合同或者构造交易办理业务，接受并配合外汇局对本单位的监督检查，及时、如实说明情况并提供相关单证资料。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三、理解并接受外汇局根据国际收支形势对政策和业务进行适时调整。</w:t>
      </w:r>
      <w:r>
        <w:rPr>
          <w:rFonts w:ascii="Times New Roman" w:hAnsi="Times New Roman" w:eastAsia="黑体" w:cs="Times New Roman"/>
          <w:sz w:val="30"/>
          <w:szCs w:val="30"/>
        </w:rPr>
        <w:t>遵守外汇局关于外债和境外放款宏观审慎调节参数和杠杆率调整要求。自行承担由于外汇局调整政策以及本单位违规行为而引起的相关损失。</w:t>
      </w:r>
      <w:r>
        <w:rPr>
          <w:rFonts w:ascii="Times New Roman" w:hAnsi="Times New Roman" w:eastAsia="仿宋_GB2312" w:cs="Times New Roman"/>
          <w:sz w:val="30"/>
          <w:szCs w:val="30"/>
        </w:rPr>
        <w:t>违反政策及相关要求的，接受外汇局依法实施的包括行政处罚、暂停或终止业务、对外公布相关处罚决定等在内的处理措施。</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四、本确认书适用于</w:t>
      </w:r>
      <w:r>
        <w:rPr>
          <w:rFonts w:ascii="Times New Roman" w:hAnsi="Times New Roman" w:eastAsia="仿宋_GB2312" w:cs="Times New Roman"/>
          <w:sz w:val="30"/>
        </w:rPr>
        <w:t>跨国公司跨境资金集中运营</w:t>
      </w:r>
      <w:r>
        <w:rPr>
          <w:rFonts w:ascii="Times New Roman" w:hAnsi="Times New Roman" w:eastAsia="仿宋_GB2312" w:cs="Times New Roman"/>
          <w:sz w:val="30"/>
          <w:szCs w:val="30"/>
        </w:rPr>
        <w:t>业务；本确认书未尽事项，按照有关外汇管理法规规定执行。</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五、本确认书适用于本单位及所属成员单位，自签署时生效。本单位将认真学习并遵守相关政策及要求，积极支持配合外汇局对</w:t>
      </w:r>
      <w:r>
        <w:rPr>
          <w:rFonts w:ascii="Times New Roman" w:hAnsi="Times New Roman" w:eastAsia="仿宋_GB2312" w:cs="Times New Roman"/>
          <w:sz w:val="30"/>
        </w:rPr>
        <w:t>跨国公司跨境资金集中运营业务</w:t>
      </w:r>
      <w:r>
        <w:rPr>
          <w:rFonts w:ascii="Times New Roman" w:hAnsi="Times New Roman" w:eastAsia="仿宋_GB2312" w:cs="Times New Roman"/>
          <w:sz w:val="30"/>
          <w:szCs w:val="30"/>
        </w:rPr>
        <w:t>的管理。</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企业（公章）：</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银行（公章）：</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法定代表人（签字）：</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负责人（签字）：</w:t>
      </w:r>
    </w:p>
    <w:p>
      <w:pPr>
        <w:ind w:firstLine="1200" w:firstLineChars="400"/>
        <w:rPr>
          <w:rFonts w:ascii="Times New Roman" w:hAnsi="Times New Roman" w:eastAsia="仿宋_GB2312" w:cs="Times New Roman"/>
          <w:sz w:val="30"/>
          <w:szCs w:val="30"/>
        </w:rPr>
      </w:pP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日</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日</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tbl>
      <w:tblPr>
        <w:tblStyle w:val="22"/>
        <w:tblW w:w="8197" w:type="dxa"/>
        <w:tblInd w:w="2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c>
          <w:tcPr>
            <w:tcW w:w="8197" w:type="dxa"/>
            <w:vAlign w:val="top"/>
          </w:tcPr>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为进一步促进贸易投资便利化，外汇局依法制定本确认书，提示企业、银行在开展</w:t>
            </w:r>
            <w:r>
              <w:rPr>
                <w:rFonts w:ascii="Times New Roman" w:hAnsi="Times New Roman" w:eastAsia="仿宋_GB2312" w:cs="Times New Roman"/>
                <w:sz w:val="30"/>
              </w:rPr>
              <w:t>跨国公司跨境资金集中运营业务</w:t>
            </w:r>
            <w:r>
              <w:rPr>
                <w:rFonts w:ascii="Times New Roman" w:hAnsi="Times New Roman" w:eastAsia="仿宋_GB2312" w:cs="Times New Roman"/>
                <w:sz w:val="30"/>
                <w:szCs w:val="30"/>
              </w:rPr>
              <w:t>中依法享有的权利和应当承担的义务。企业、银行签署本确认书并认真执行，享有按照跨境</w:t>
            </w:r>
            <w:r>
              <w:rPr>
                <w:rFonts w:ascii="Times New Roman" w:hAnsi="Times New Roman" w:eastAsia="仿宋_GB2312" w:cs="Times New Roman"/>
                <w:sz w:val="30"/>
              </w:rPr>
              <w:t>资金集中运营管理</w:t>
            </w:r>
            <w:r>
              <w:rPr>
                <w:rFonts w:ascii="Times New Roman" w:hAnsi="Times New Roman" w:eastAsia="仿宋_GB2312" w:cs="Times New Roman"/>
                <w:sz w:val="30"/>
                <w:szCs w:val="30"/>
              </w:rPr>
              <w:t>规定的便利措施办理相关业务的权利。</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外汇局根据国际收支形势等具体情况，制定、调整</w:t>
            </w:r>
            <w:r>
              <w:rPr>
                <w:rFonts w:ascii="Times New Roman" w:hAnsi="Times New Roman" w:eastAsia="仿宋_GB2312" w:cs="Times New Roman"/>
                <w:sz w:val="30"/>
              </w:rPr>
              <w:t>跨国公司跨境资金集中运营管理</w:t>
            </w:r>
            <w:r>
              <w:rPr>
                <w:rFonts w:ascii="Times New Roman" w:hAnsi="Times New Roman" w:eastAsia="仿宋_GB2312" w:cs="Times New Roman"/>
                <w:sz w:val="30"/>
                <w:szCs w:val="30"/>
              </w:rPr>
              <w:t>政策，并依法予以告知。</w:t>
            </w:r>
          </w:p>
          <w:p>
            <w:pPr>
              <w:ind w:firstLine="600" w:firstLineChars="200"/>
              <w:rPr>
                <w:rFonts w:ascii="Times New Roman" w:hAnsi="Times New Roman" w:eastAsia="仿宋_GB2312" w:cs="Times New Roman"/>
                <w:b/>
                <w:bCs/>
                <w:sz w:val="30"/>
                <w:szCs w:val="30"/>
              </w:rPr>
            </w:pPr>
            <w:r>
              <w:rPr>
                <w:rFonts w:ascii="Times New Roman" w:hAnsi="Times New Roman" w:eastAsia="仿宋_GB2312" w:cs="Times New Roman"/>
                <w:sz w:val="30"/>
                <w:szCs w:val="30"/>
              </w:rPr>
              <w:t>外汇局依法对跨国公司跨境</w:t>
            </w:r>
            <w:r>
              <w:rPr>
                <w:rFonts w:ascii="Times New Roman" w:hAnsi="Times New Roman" w:eastAsia="仿宋_GB2312" w:cs="Times New Roman"/>
                <w:sz w:val="30"/>
              </w:rPr>
              <w:t>资金集中运营业务</w:t>
            </w:r>
            <w:r>
              <w:rPr>
                <w:rFonts w:ascii="Times New Roman" w:hAnsi="Times New Roman" w:eastAsia="仿宋_GB2312" w:cs="Times New Roman"/>
                <w:sz w:val="30"/>
                <w:szCs w:val="30"/>
              </w:rPr>
              <w:t>进行监督检查。对企业、银行违规行为，按照《中华人民共和国外汇管理条例》等法规规定进行行政处罚。</w:t>
            </w:r>
          </w:p>
        </w:tc>
      </w:tr>
    </w:tbl>
    <w:p>
      <w:pPr>
        <w:widowControl/>
        <w:jc w:val="left"/>
        <w:rPr>
          <w:rFonts w:ascii="Times New Roman" w:hAnsi="Times New Roman" w:eastAsia="仿宋_GB2312" w:cs="Times New Roman"/>
          <w:kern w:val="0"/>
          <w:sz w:val="30"/>
          <w:szCs w:val="30"/>
        </w:rPr>
      </w:pPr>
    </w:p>
    <w:p>
      <w:pPr>
        <w:rPr>
          <w:rFonts w:ascii="Times New Roman" w:hAnsi="Times New Roman" w:eastAsia="仿宋_GB2312" w:cs="Times New Roman"/>
          <w:kern w:val="0"/>
          <w:sz w:val="30"/>
          <w:szCs w:val="30"/>
        </w:rPr>
      </w:pP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type="page"/>
      </w:r>
    </w:p>
    <w:p>
      <w:pPr>
        <w:widowControl/>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附录五</w:t>
      </w:r>
    </w:p>
    <w:p>
      <w:pPr>
        <w:jc w:val="center"/>
        <w:rPr>
          <w:rFonts w:ascii="Times New Roman" w:hAnsi="黑体" w:eastAsia="黑体" w:cs="Times New Roman"/>
          <w:kern w:val="0"/>
          <w:sz w:val="30"/>
          <w:szCs w:val="30"/>
        </w:rPr>
      </w:pPr>
    </w:p>
    <w:p>
      <w:pPr>
        <w:jc w:val="center"/>
        <w:rPr>
          <w:rFonts w:ascii="Times New Roman" w:hAnsi="黑体" w:eastAsia="黑体" w:cs="Times New Roman"/>
          <w:kern w:val="0"/>
          <w:sz w:val="30"/>
          <w:szCs w:val="30"/>
        </w:rPr>
      </w:pPr>
      <w:r>
        <w:rPr>
          <w:rFonts w:ascii="Times New Roman" w:hAnsi="黑体" w:eastAsia="黑体" w:cs="Times New Roman"/>
          <w:kern w:val="0"/>
          <w:sz w:val="30"/>
          <w:szCs w:val="30"/>
        </w:rPr>
        <w:t>常见问题</w:t>
      </w:r>
    </w:p>
    <w:p>
      <w:pPr>
        <w:jc w:val="center"/>
        <w:rPr>
          <w:rFonts w:ascii="Times New Roman" w:hAnsi="Times New Roman" w:eastAsia="黑体" w:cs="Times New Roman"/>
          <w:kern w:val="0"/>
          <w:sz w:val="30"/>
          <w:szCs w:val="30"/>
        </w:rPr>
      </w:pPr>
    </w:p>
    <w:p>
      <w:pPr>
        <w:ind w:firstLine="59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1.问：请问中资企业是否能够借入外债？</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答：除房地产企业和政府融资平台以外的中资企业，可以按照《中国人民银行关于全口径跨境融资宏观审慎管理有关事宜的通知》（银发〔2017〕9号）</w:t>
      </w:r>
      <w:r>
        <w:rPr>
          <w:rFonts w:hint="eastAsia" w:ascii="Times New Roman" w:hAnsi="Times New Roman" w:eastAsia="仿宋_GB2312" w:cs="Times New Roman"/>
          <w:kern w:val="0"/>
          <w:sz w:val="30"/>
          <w:szCs w:val="30"/>
        </w:rPr>
        <w:t>和</w:t>
      </w:r>
      <w:r>
        <w:rPr>
          <w:rFonts w:ascii="Times New Roman" w:hAnsi="Times New Roman" w:eastAsia="仿宋_GB2312" w:cs="Times New Roman"/>
          <w:kern w:val="0"/>
          <w:sz w:val="30"/>
          <w:szCs w:val="30"/>
        </w:rPr>
        <w:t>《中国人民银行</w:t>
      </w:r>
      <w:r>
        <w:rPr>
          <w:rFonts w:hint="eastAsia" w:ascii="Times New Roman" w:hAnsi="Times New Roman" w:eastAsia="仿宋_GB2312" w:cs="Times New Roman"/>
          <w:kern w:val="0"/>
          <w:sz w:val="30"/>
          <w:szCs w:val="30"/>
        </w:rPr>
        <w:t xml:space="preserve">  国家外汇管理局</w:t>
      </w:r>
      <w:r>
        <w:rPr>
          <w:rFonts w:ascii="Times New Roman" w:hAnsi="Times New Roman" w:eastAsia="仿宋_GB2312" w:cs="Times New Roman"/>
          <w:kern w:val="0"/>
          <w:sz w:val="30"/>
          <w:szCs w:val="30"/>
        </w:rPr>
        <w:t>关于</w:t>
      </w:r>
      <w:r>
        <w:rPr>
          <w:rFonts w:hint="eastAsia" w:ascii="Times New Roman" w:hAnsi="Times New Roman" w:eastAsia="仿宋_GB2312" w:cs="Times New Roman"/>
          <w:kern w:val="0"/>
          <w:sz w:val="30"/>
          <w:szCs w:val="30"/>
        </w:rPr>
        <w:t>调整</w:t>
      </w:r>
      <w:r>
        <w:rPr>
          <w:rFonts w:ascii="Times New Roman" w:hAnsi="Times New Roman" w:eastAsia="仿宋_GB2312" w:cs="Times New Roman"/>
          <w:kern w:val="0"/>
          <w:sz w:val="30"/>
          <w:szCs w:val="30"/>
        </w:rPr>
        <w:t>全口径跨境融资宏观审慎</w:t>
      </w:r>
      <w:r>
        <w:rPr>
          <w:rFonts w:hint="eastAsia" w:ascii="Times New Roman" w:hAnsi="Times New Roman" w:eastAsia="仿宋_GB2312" w:cs="Times New Roman"/>
          <w:kern w:val="0"/>
          <w:sz w:val="30"/>
          <w:szCs w:val="30"/>
        </w:rPr>
        <w:t>调节参数</w:t>
      </w:r>
      <w:r>
        <w:rPr>
          <w:rFonts w:ascii="Times New Roman" w:hAnsi="Times New Roman" w:eastAsia="仿宋_GB2312" w:cs="Times New Roman"/>
          <w:kern w:val="0"/>
          <w:sz w:val="30"/>
          <w:szCs w:val="30"/>
        </w:rPr>
        <w:t>的通知》（银发〔20</w:t>
      </w:r>
      <w:r>
        <w:rPr>
          <w:rFonts w:hint="eastAsia" w:ascii="Times New Roman" w:hAnsi="Times New Roman" w:eastAsia="仿宋_GB2312" w:cs="Times New Roman"/>
          <w:kern w:val="0"/>
          <w:sz w:val="30"/>
          <w:szCs w:val="30"/>
        </w:rPr>
        <w:t>20</w:t>
      </w:r>
      <w:r>
        <w:rPr>
          <w:rFonts w:ascii="Times New Roman" w:hAnsi="Times New Roman" w:eastAsia="仿宋_GB2312" w:cs="Times New Roman"/>
          <w:kern w:val="0"/>
          <w:sz w:val="30"/>
          <w:szCs w:val="30"/>
        </w:rPr>
        <w:t>〕</w:t>
      </w:r>
      <w:r>
        <w:rPr>
          <w:rFonts w:hint="eastAsia" w:ascii="Times New Roman" w:hAnsi="Times New Roman" w:eastAsia="仿宋_GB2312" w:cs="Times New Roman"/>
          <w:kern w:val="0"/>
          <w:sz w:val="30"/>
          <w:szCs w:val="30"/>
        </w:rPr>
        <w:t>64</w:t>
      </w:r>
      <w:r>
        <w:rPr>
          <w:rFonts w:ascii="Times New Roman" w:hAnsi="Times New Roman" w:eastAsia="仿宋_GB2312" w:cs="Times New Roman"/>
          <w:kern w:val="0"/>
          <w:sz w:val="30"/>
          <w:szCs w:val="30"/>
        </w:rPr>
        <w:t>号）等相关文件规定借入外债。</w:t>
      </w: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sectPr>
      <w:headerReference r:id="rId5" w:type="default"/>
      <w:footerReference r:id="rId7" w:type="default"/>
      <w:headerReference r:id="rId6"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2000000000000000000"/>
    <w:charset w:val="86"/>
    <w:family w:val="auto"/>
    <w:pitch w:val="default"/>
    <w:sig w:usb0="A00002BF" w:usb1="38CF7CFA" w:usb2="00082016"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Consolas">
    <w:panose1 w:val="020B0609020204030204"/>
    <w:charset w:val="00"/>
    <w:family w:val="auto"/>
    <w:pitch w:val="default"/>
    <w:sig w:usb0="E10002FF" w:usb1="4000FCFF" w:usb2="00000009" w:usb3="00000000" w:csb0="600001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16</w:t>
    </w:r>
    <w:r>
      <w:rPr>
        <w:lang w:val="zh-CN"/>
      </w:rPr>
      <w:fldChar w:fldCharType="end"/>
    </w:r>
  </w:p>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footnote w:id="0">
    <w:p>
      <w:pPr>
        <w:pStyle w:val="10"/>
        <w:rPr>
          <w:rFonts w:ascii="宋体" w:hAnsi="宋体"/>
          <w:sz w:val="21"/>
          <w:szCs w:val="21"/>
        </w:rPr>
      </w:pPr>
      <w:r>
        <w:rPr>
          <w:rStyle w:val="19"/>
          <w:rFonts w:ascii="宋体" w:hAnsi="宋体"/>
          <w:sz w:val="21"/>
          <w:szCs w:val="21"/>
        </w:rPr>
        <w:footnoteRef/>
      </w:r>
      <w:r>
        <w:rPr>
          <w:rFonts w:hint="eastAsia" w:ascii="宋体" w:hAnsi="宋体"/>
          <w:sz w:val="21"/>
          <w:szCs w:val="21"/>
        </w:rPr>
        <w:t>外币跨境融资以签约日的汇率水平折算。</w:t>
      </w:r>
    </w:p>
  </w:footnote>
  <w:footnote w:id="1">
    <w:p>
      <w:pPr>
        <w:pStyle w:val="10"/>
        <w:rPr>
          <w:rFonts w:ascii="宋体" w:hAnsi="宋体"/>
          <w:sz w:val="21"/>
          <w:szCs w:val="21"/>
        </w:rPr>
      </w:pPr>
      <w:r>
        <w:rPr>
          <w:rStyle w:val="19"/>
          <w:rFonts w:ascii="宋体" w:hAnsi="宋体"/>
          <w:sz w:val="21"/>
          <w:szCs w:val="21"/>
        </w:rPr>
        <w:footnoteRef/>
      </w:r>
      <w:r>
        <w:rPr>
          <w:rFonts w:hint="eastAsia" w:ascii="宋体" w:hAnsi="宋体"/>
          <w:sz w:val="21"/>
          <w:szCs w:val="21"/>
        </w:rPr>
        <w:t xml:space="preserve"> 债务人类型请按以下分类填写：中资企业、外资企业。</w:t>
      </w:r>
    </w:p>
  </w:footnote>
  <w:footnote w:id="2">
    <w:p>
      <w:pPr>
        <w:pStyle w:val="10"/>
        <w:rPr>
          <w:rFonts w:ascii="宋体" w:hAnsi="宋体"/>
          <w:sz w:val="21"/>
          <w:szCs w:val="21"/>
        </w:rPr>
      </w:pPr>
      <w:r>
        <w:rPr>
          <w:rStyle w:val="19"/>
          <w:rFonts w:ascii="宋体" w:hAnsi="宋体"/>
          <w:sz w:val="21"/>
          <w:szCs w:val="21"/>
        </w:rPr>
        <w:footnoteRef/>
      </w:r>
      <w:r>
        <w:rPr>
          <w:rFonts w:hint="eastAsia" w:ascii="宋体" w:hAnsi="宋体"/>
          <w:sz w:val="21"/>
          <w:szCs w:val="21"/>
        </w:rPr>
        <w:t>根据债务人上年度或最新的经审计的会计报表填写。</w:t>
      </w:r>
    </w:p>
  </w:footnote>
  <w:footnote w:id="3">
    <w:p>
      <w:pPr>
        <w:pStyle w:val="10"/>
        <w:rPr>
          <w:rFonts w:ascii="宋体" w:hAnsi="宋体"/>
          <w:sz w:val="21"/>
          <w:szCs w:val="21"/>
        </w:rPr>
      </w:pPr>
      <w:r>
        <w:rPr>
          <w:rStyle w:val="19"/>
          <w:rFonts w:ascii="宋体" w:hAnsi="宋体"/>
          <w:sz w:val="21"/>
          <w:szCs w:val="21"/>
        </w:rPr>
        <w:footnoteRef/>
      </w:r>
      <w:r>
        <w:rPr>
          <w:rFonts w:hint="eastAsia" w:ascii="宋体" w:hAnsi="宋体"/>
          <w:sz w:val="21"/>
          <w:szCs w:val="21"/>
        </w:rPr>
        <w:t>跨境融资风险加权余额上限=净资产×外债杠杆率×宏观审慎调节参数。其中，宏观审慎条件参数的初始值设定为1.25，外债杠杆率初始值设定为2。</w:t>
      </w:r>
    </w:p>
  </w:footnote>
  <w:footnote w:id="4">
    <w:p>
      <w:pPr>
        <w:pStyle w:val="10"/>
        <w:rPr>
          <w:rFonts w:ascii="宋体" w:hAnsi="宋体"/>
          <w:sz w:val="21"/>
          <w:szCs w:val="21"/>
        </w:rPr>
      </w:pPr>
      <w:r>
        <w:rPr>
          <w:rStyle w:val="19"/>
          <w:rFonts w:ascii="宋体" w:hAnsi="宋体"/>
          <w:sz w:val="21"/>
          <w:szCs w:val="21"/>
        </w:rPr>
        <w:footnoteRef/>
      </w:r>
      <w:r>
        <w:rPr>
          <w:rFonts w:hint="eastAsia" w:ascii="宋体" w:hAnsi="宋体"/>
          <w:sz w:val="21"/>
          <w:szCs w:val="21"/>
        </w:rPr>
        <w:t xml:space="preserve">纳入计算的中长期外债余额= 中长期现有外债余额 + 中长期本笔外债签约额 </w:t>
      </w:r>
      <w:r>
        <w:rPr>
          <w:rFonts w:ascii="宋体" w:hAnsi="宋体"/>
          <w:sz w:val="21"/>
          <w:szCs w:val="21"/>
        </w:rPr>
        <w:t>–</w:t>
      </w:r>
      <w:r>
        <w:rPr>
          <w:rFonts w:hint="eastAsia" w:ascii="宋体" w:hAnsi="宋体"/>
          <w:sz w:val="21"/>
          <w:szCs w:val="21"/>
        </w:rPr>
        <w:t xml:space="preserve"> 不纳入计算的业务类型的中长期外债余额。纳入计算的短期外债和外币外债余额参照此公式计算。</w:t>
      </w:r>
    </w:p>
  </w:footnote>
  <w:footnote w:id="5">
    <w:p>
      <w:pPr>
        <w:pStyle w:val="10"/>
        <w:rPr>
          <w:rFonts w:ascii="宋体" w:hAnsi="宋体"/>
          <w:sz w:val="21"/>
          <w:szCs w:val="21"/>
        </w:rPr>
      </w:pPr>
      <w:r>
        <w:rPr>
          <w:rStyle w:val="19"/>
          <w:rFonts w:ascii="宋体" w:hAnsi="宋体"/>
          <w:sz w:val="21"/>
          <w:szCs w:val="21"/>
        </w:rPr>
        <w:footnoteRef/>
      </w:r>
      <w:r>
        <w:rPr>
          <w:rFonts w:hint="eastAsia" w:ascii="宋体" w:hAnsi="宋体"/>
          <w:sz w:val="21"/>
          <w:szCs w:val="21"/>
        </w:rPr>
        <w:t xml:space="preserve"> 跨境融资风险加权余额=纳入计算的中长期外债余额×中长期外债期限风险转换因子+纳入计算的短期外债余额×短期外债期限风险转换因子+纳入计算的外币外债余额×汇率风险折算因子。其中，中长期、短期外债期限风险转换因子分别为1、1.5；汇率风险折算因子为0.5。</w:t>
      </w:r>
    </w:p>
  </w:footnote>
  <w:footnote w:id="6">
    <w:p>
      <w:pPr>
        <w:pStyle w:val="10"/>
        <w:rPr>
          <w:rFonts w:ascii="宋体" w:hAnsi="宋体"/>
        </w:rPr>
      </w:pPr>
      <w:r>
        <w:rPr>
          <w:rStyle w:val="19"/>
          <w:rFonts w:ascii="宋体" w:hAnsi="宋体"/>
        </w:rPr>
        <w:footnoteRef/>
      </w:r>
      <w:r>
        <w:rPr>
          <w:rFonts w:hint="eastAsia" w:ascii="宋体" w:hAnsi="宋体"/>
        </w:rPr>
        <w:t>外币跨境融资以签约日的汇率水平折算。</w:t>
      </w:r>
    </w:p>
  </w:footnote>
  <w:footnote w:id="7">
    <w:p>
      <w:pPr>
        <w:pStyle w:val="10"/>
        <w:rPr>
          <w:rFonts w:ascii="宋体" w:hAnsi="宋体"/>
        </w:rPr>
      </w:pPr>
      <w:r>
        <w:rPr>
          <w:rStyle w:val="19"/>
          <w:rFonts w:ascii="宋体" w:hAnsi="宋体"/>
        </w:rPr>
        <w:footnoteRef/>
      </w:r>
      <w:r>
        <w:rPr>
          <w:rFonts w:hint="eastAsia" w:ascii="宋体" w:hAnsi="宋体"/>
        </w:rPr>
        <w:t xml:space="preserve"> 债务人类型请按以下分类填写：中资企业、外资企业。</w:t>
      </w:r>
    </w:p>
  </w:footnote>
  <w:footnote w:id="8">
    <w:p>
      <w:pPr>
        <w:pStyle w:val="10"/>
        <w:rPr>
          <w:rFonts w:ascii="宋体" w:hAnsi="宋体"/>
        </w:rPr>
      </w:pPr>
      <w:r>
        <w:rPr>
          <w:rStyle w:val="19"/>
          <w:rFonts w:ascii="宋体" w:hAnsi="宋体"/>
        </w:rPr>
        <w:footnoteRef/>
      </w:r>
      <w:r>
        <w:rPr>
          <w:rFonts w:hint="eastAsia" w:ascii="宋体" w:hAnsi="宋体"/>
        </w:rPr>
        <w:t>根据债务人上年度或最新的经审计的会计报表填写。</w:t>
      </w:r>
    </w:p>
  </w:footnote>
  <w:footnote w:id="9">
    <w:p>
      <w:pPr>
        <w:pStyle w:val="10"/>
        <w:rPr>
          <w:rFonts w:ascii="宋体" w:hAnsi="宋体"/>
        </w:rPr>
      </w:pPr>
      <w:r>
        <w:rPr>
          <w:rStyle w:val="19"/>
          <w:rFonts w:ascii="宋体" w:hAnsi="宋体"/>
        </w:rPr>
        <w:footnoteRef/>
      </w:r>
      <w:r>
        <w:rPr>
          <w:rFonts w:hint="eastAsia" w:ascii="宋体" w:hAnsi="宋体"/>
        </w:rPr>
        <w:t>跨境融资风险加权余额上限=净资产×外债杠杆率×宏观审慎调节参数。其中，宏观审慎条件参数的初始值设定为1.25，外债杠杆率初始值设定为2。</w:t>
      </w:r>
    </w:p>
  </w:footnote>
  <w:footnote w:id="10">
    <w:p>
      <w:pPr>
        <w:pStyle w:val="10"/>
        <w:rPr>
          <w:rFonts w:ascii="宋体" w:hAnsi="宋体"/>
        </w:rPr>
      </w:pPr>
      <w:r>
        <w:rPr>
          <w:rStyle w:val="19"/>
          <w:rFonts w:ascii="宋体" w:hAnsi="宋体"/>
        </w:rPr>
        <w:footnoteRef/>
      </w:r>
      <w:r>
        <w:rPr>
          <w:rFonts w:hint="eastAsia" w:ascii="宋体" w:hAnsi="宋体"/>
        </w:rPr>
        <w:t xml:space="preserve">纳入计算的中长期外债余额= 中长期现有外债余额 + 中长期本笔外债签约额 </w:t>
      </w:r>
      <w:r>
        <w:rPr>
          <w:rFonts w:ascii="宋体" w:hAnsi="宋体"/>
        </w:rPr>
        <w:t>–</w:t>
      </w:r>
      <w:r>
        <w:rPr>
          <w:rFonts w:hint="eastAsia" w:ascii="宋体" w:hAnsi="宋体"/>
        </w:rPr>
        <w:t xml:space="preserve"> 不纳入计算的业务类型的中长期外债余额。纳入计算的短期外债和外币外债余额参照此公式计算。</w:t>
      </w:r>
    </w:p>
  </w:footnote>
  <w:footnote w:id="11">
    <w:p>
      <w:pPr>
        <w:pStyle w:val="10"/>
        <w:rPr>
          <w:rFonts w:ascii="宋体" w:hAnsi="宋体"/>
        </w:rPr>
      </w:pPr>
      <w:r>
        <w:rPr>
          <w:rStyle w:val="19"/>
          <w:rFonts w:ascii="宋体" w:hAnsi="宋体"/>
        </w:rPr>
        <w:footnoteRef/>
      </w:r>
      <w:r>
        <w:rPr>
          <w:rFonts w:hint="eastAsia" w:ascii="宋体" w:hAnsi="宋体"/>
        </w:rPr>
        <w:t xml:space="preserve"> 跨境融资风险加权余额=纳入计算的中长期外债余额×中长期外债期限风险转换因子+纳入计算的短期外债余额×短期外债期限风险转换因子+纳入计算的外币外债余额×汇率风险折算因子。其中，中长期、短期外债期限风险转换因子分别为1、1.5；汇率风险折算因子为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59921">
    <w:nsid w:val="5A10F1D1"/>
    <w:multiLevelType w:val="singleLevel"/>
    <w:tmpl w:val="5A10F1D1"/>
    <w:lvl w:ilvl="0" w:tentative="1">
      <w:start w:val="2"/>
      <w:numFmt w:val="chineseCounting"/>
      <w:suff w:val="nothing"/>
      <w:lvlText w:val="%1、"/>
      <w:lvlJc w:val="left"/>
    </w:lvl>
  </w:abstractNum>
  <w:abstractNum w:abstractNumId="1511059936">
    <w:nsid w:val="5A10F1E0"/>
    <w:multiLevelType w:val="singleLevel"/>
    <w:tmpl w:val="5A10F1E0"/>
    <w:lvl w:ilvl="0" w:tentative="1">
      <w:start w:val="3"/>
      <w:numFmt w:val="chineseCounting"/>
      <w:suff w:val="nothing"/>
      <w:lvlText w:val="%1、"/>
      <w:lvlJc w:val="left"/>
    </w:lvl>
  </w:abstractNum>
  <w:abstractNum w:abstractNumId="1511065422">
    <w:nsid w:val="5A11074E"/>
    <w:multiLevelType w:val="singleLevel"/>
    <w:tmpl w:val="5A11074E"/>
    <w:lvl w:ilvl="0" w:tentative="1">
      <w:start w:val="2"/>
      <w:numFmt w:val="decimal"/>
      <w:suff w:val="nothing"/>
      <w:lvlText w:val="（%1）"/>
      <w:lvlJc w:val="left"/>
    </w:lvl>
  </w:abstractNum>
  <w:num w:numId="1">
    <w:abstractNumId w:val="1511059921"/>
  </w:num>
  <w:num w:numId="2">
    <w:abstractNumId w:val="1511059936"/>
  </w:num>
  <w:num w:numId="3">
    <w:abstractNumId w:val="15110654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845DA"/>
    <w:rsid w:val="00004BFB"/>
    <w:rsid w:val="000137EF"/>
    <w:rsid w:val="00067BA3"/>
    <w:rsid w:val="000A3D58"/>
    <w:rsid w:val="000B7295"/>
    <w:rsid w:val="000E3B95"/>
    <w:rsid w:val="001137BA"/>
    <w:rsid w:val="0013083F"/>
    <w:rsid w:val="001335FB"/>
    <w:rsid w:val="001517C4"/>
    <w:rsid w:val="001522FC"/>
    <w:rsid w:val="0016410C"/>
    <w:rsid w:val="00172FE0"/>
    <w:rsid w:val="00175A92"/>
    <w:rsid w:val="00175EBD"/>
    <w:rsid w:val="001B46A8"/>
    <w:rsid w:val="001C5FD5"/>
    <w:rsid w:val="001D1836"/>
    <w:rsid w:val="001D23A3"/>
    <w:rsid w:val="001E3DAD"/>
    <w:rsid w:val="00201E9C"/>
    <w:rsid w:val="00216D83"/>
    <w:rsid w:val="0024098D"/>
    <w:rsid w:val="00246DA6"/>
    <w:rsid w:val="002A0385"/>
    <w:rsid w:val="002A6034"/>
    <w:rsid w:val="002C6C8D"/>
    <w:rsid w:val="0030694A"/>
    <w:rsid w:val="00321683"/>
    <w:rsid w:val="00324B23"/>
    <w:rsid w:val="00347B34"/>
    <w:rsid w:val="00353F6B"/>
    <w:rsid w:val="00367C6C"/>
    <w:rsid w:val="0038340C"/>
    <w:rsid w:val="003871D1"/>
    <w:rsid w:val="0039521E"/>
    <w:rsid w:val="003A4154"/>
    <w:rsid w:val="003B7415"/>
    <w:rsid w:val="003B7926"/>
    <w:rsid w:val="003E46F2"/>
    <w:rsid w:val="00402008"/>
    <w:rsid w:val="00420920"/>
    <w:rsid w:val="00445063"/>
    <w:rsid w:val="00465A6A"/>
    <w:rsid w:val="00472CC1"/>
    <w:rsid w:val="00495950"/>
    <w:rsid w:val="004A78ED"/>
    <w:rsid w:val="004D61BC"/>
    <w:rsid w:val="005A6271"/>
    <w:rsid w:val="005A7267"/>
    <w:rsid w:val="005C14C5"/>
    <w:rsid w:val="005C1682"/>
    <w:rsid w:val="005F215A"/>
    <w:rsid w:val="00602D96"/>
    <w:rsid w:val="0060572A"/>
    <w:rsid w:val="00606B3D"/>
    <w:rsid w:val="00621CA0"/>
    <w:rsid w:val="00624074"/>
    <w:rsid w:val="00626BEE"/>
    <w:rsid w:val="00631264"/>
    <w:rsid w:val="00643652"/>
    <w:rsid w:val="006461FE"/>
    <w:rsid w:val="00660EAF"/>
    <w:rsid w:val="0066129C"/>
    <w:rsid w:val="00677F3F"/>
    <w:rsid w:val="00691CF8"/>
    <w:rsid w:val="006B35CF"/>
    <w:rsid w:val="0070616A"/>
    <w:rsid w:val="0071112C"/>
    <w:rsid w:val="00715C9E"/>
    <w:rsid w:val="0072298F"/>
    <w:rsid w:val="00756B35"/>
    <w:rsid w:val="00771D90"/>
    <w:rsid w:val="00771F49"/>
    <w:rsid w:val="007813E1"/>
    <w:rsid w:val="007C416B"/>
    <w:rsid w:val="00830D11"/>
    <w:rsid w:val="008312B9"/>
    <w:rsid w:val="0083653B"/>
    <w:rsid w:val="008720C9"/>
    <w:rsid w:val="0088591A"/>
    <w:rsid w:val="00886AB5"/>
    <w:rsid w:val="008A21BD"/>
    <w:rsid w:val="008A6DB9"/>
    <w:rsid w:val="008B2F45"/>
    <w:rsid w:val="008D423A"/>
    <w:rsid w:val="008F3F5E"/>
    <w:rsid w:val="0091298F"/>
    <w:rsid w:val="00925C27"/>
    <w:rsid w:val="00934ABF"/>
    <w:rsid w:val="00940D33"/>
    <w:rsid w:val="009F0EE8"/>
    <w:rsid w:val="009F3834"/>
    <w:rsid w:val="00A15A32"/>
    <w:rsid w:val="00A31DCE"/>
    <w:rsid w:val="00A35962"/>
    <w:rsid w:val="00A436B8"/>
    <w:rsid w:val="00A640CB"/>
    <w:rsid w:val="00A73EF9"/>
    <w:rsid w:val="00A76827"/>
    <w:rsid w:val="00A800B0"/>
    <w:rsid w:val="00A91558"/>
    <w:rsid w:val="00AB433E"/>
    <w:rsid w:val="00AC0342"/>
    <w:rsid w:val="00AC0C76"/>
    <w:rsid w:val="00AD4E35"/>
    <w:rsid w:val="00AD5264"/>
    <w:rsid w:val="00AE408F"/>
    <w:rsid w:val="00AF08BE"/>
    <w:rsid w:val="00B152B4"/>
    <w:rsid w:val="00B15446"/>
    <w:rsid w:val="00B170D3"/>
    <w:rsid w:val="00B52929"/>
    <w:rsid w:val="00B643BD"/>
    <w:rsid w:val="00B720F0"/>
    <w:rsid w:val="00B80652"/>
    <w:rsid w:val="00B857CA"/>
    <w:rsid w:val="00B86761"/>
    <w:rsid w:val="00BE47A2"/>
    <w:rsid w:val="00C05618"/>
    <w:rsid w:val="00C125D3"/>
    <w:rsid w:val="00C14BC3"/>
    <w:rsid w:val="00C1742A"/>
    <w:rsid w:val="00C91A20"/>
    <w:rsid w:val="00C94951"/>
    <w:rsid w:val="00CA6854"/>
    <w:rsid w:val="00CB7187"/>
    <w:rsid w:val="00CC0B48"/>
    <w:rsid w:val="00CD76A0"/>
    <w:rsid w:val="00CF08E1"/>
    <w:rsid w:val="00D15895"/>
    <w:rsid w:val="00D203C1"/>
    <w:rsid w:val="00D217AF"/>
    <w:rsid w:val="00D32DE2"/>
    <w:rsid w:val="00D43501"/>
    <w:rsid w:val="00D845DA"/>
    <w:rsid w:val="00D85267"/>
    <w:rsid w:val="00DC0A6A"/>
    <w:rsid w:val="00DC7DB0"/>
    <w:rsid w:val="00DD5750"/>
    <w:rsid w:val="00DE07BF"/>
    <w:rsid w:val="00DF35C8"/>
    <w:rsid w:val="00DF4380"/>
    <w:rsid w:val="00E3090A"/>
    <w:rsid w:val="00E36A4B"/>
    <w:rsid w:val="00E67273"/>
    <w:rsid w:val="00E77648"/>
    <w:rsid w:val="00E924BA"/>
    <w:rsid w:val="00EC2E5C"/>
    <w:rsid w:val="00EC7735"/>
    <w:rsid w:val="00ED4786"/>
    <w:rsid w:val="00EE70F3"/>
    <w:rsid w:val="00F315AC"/>
    <w:rsid w:val="00F35DB9"/>
    <w:rsid w:val="00F81E3B"/>
    <w:rsid w:val="00F82881"/>
    <w:rsid w:val="00F83859"/>
    <w:rsid w:val="00FA003D"/>
    <w:rsid w:val="00FE2C20"/>
    <w:rsid w:val="059C0F9F"/>
    <w:rsid w:val="16C46912"/>
    <w:rsid w:val="1B4C695C"/>
    <w:rsid w:val="29A43856"/>
    <w:rsid w:val="2FDB3E92"/>
    <w:rsid w:val="339858D7"/>
    <w:rsid w:val="3A9D40B6"/>
    <w:rsid w:val="44087F15"/>
    <w:rsid w:val="63CA1FB6"/>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9"/>
        <o:r id="V:Rule2" type="connector" idref="#AutoShape 10"/>
        <o:r id="V:Rule3" type="connector" idref="#AutoShape 11"/>
        <o:r id="V:Rule4" type="connector" idref="#AutoShape 12"/>
        <o:r id="V:Rule5" type="connector" idref="#AutoShape 13"/>
        <o:r id="V:Rule6" type="connector" idref="#AutoShape 15"/>
        <o:r id="V:Rule7" type="connector" idref="#AutoShape 17"/>
        <o:r id="V:Rule8" type="connector" idref="#AutoShape 19"/>
        <o:r id="V:Rule9" type="connector" idref="#AutoShape 26"/>
        <o:r id="V:Rule10" type="connector" idref="#AutoShape 27"/>
        <o:r id="V:Rule11" type="connector" idref="#AutoShape 29"/>
        <o:r id="V:Rule12" type="connector" idref="#AutoShape 30"/>
        <o:r id="V:Rule13" type="connector" idref="#AutoShape 33"/>
        <o:r id="V:Rule14" type="connector" idref="#AutoShape 34"/>
        <o:r id="V:Rule15" type="connector" idref="#AutoShape 35"/>
        <o:r id="V:Rule16" type="connector" idref="#AutoShape 38"/>
        <o:r id="V:Rule17" type="callout" idref="#线形标注 3 95"/>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qFormat="1" w:uiPriority="99" w:semiHidden="0" w:name="HTML Preformatted"/>
    <w:lsdException w:qFormat="1" w:uiPriority="99" w:semiHidden="0"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1"/>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2"/>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3"/>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22">
    <w:name w:val="Normal Table"/>
    <w:unhideWhenUsed/>
    <w:qFormat/>
    <w:uiPriority w:val="99"/>
    <w:tblPr>
      <w:tblStyle w:val="22"/>
      <w:tblLayout w:type="fixed"/>
      <w:tblCellMar>
        <w:top w:w="0" w:type="dxa"/>
        <w:left w:w="108" w:type="dxa"/>
        <w:bottom w:w="0" w:type="dxa"/>
        <w:right w:w="108" w:type="dxa"/>
      </w:tblCellMar>
    </w:tblPr>
    <w:tcPr>
      <w:textDirection w:val="lrTb"/>
    </w:tcPr>
  </w:style>
  <w:style w:type="paragraph" w:styleId="5">
    <w:name w:val="Document Map"/>
    <w:basedOn w:val="1"/>
    <w:link w:val="42"/>
    <w:unhideWhenUsed/>
    <w:qFormat/>
    <w:uiPriority w:val="0"/>
    <w:rPr>
      <w:rFonts w:ascii="宋体"/>
      <w:sz w:val="18"/>
      <w:szCs w:val="18"/>
    </w:rPr>
  </w:style>
  <w:style w:type="paragraph" w:styleId="6">
    <w:name w:val="annotation text"/>
    <w:basedOn w:val="1"/>
    <w:link w:val="39"/>
    <w:unhideWhenUsed/>
    <w:qFormat/>
    <w:uiPriority w:val="99"/>
    <w:pPr>
      <w:jc w:val="left"/>
    </w:pPr>
    <w:rPr>
      <w:rFonts w:ascii="Calibri" w:hAnsi="Calibri" w:eastAsia="宋体" w:cs="Times New Roman"/>
    </w:rPr>
  </w:style>
  <w:style w:type="paragraph" w:styleId="7">
    <w:name w:val="Balloon Text"/>
    <w:basedOn w:val="1"/>
    <w:link w:val="36"/>
    <w:unhideWhenUsed/>
    <w:qFormat/>
    <w:uiPriority w:val="0"/>
    <w:rPr>
      <w:sz w:val="18"/>
      <w:szCs w:val="18"/>
    </w:rPr>
  </w:style>
  <w:style w:type="paragraph" w:styleId="8">
    <w:name w:val="footer"/>
    <w:basedOn w:val="1"/>
    <w:link w:val="35"/>
    <w:unhideWhenUsed/>
    <w:qFormat/>
    <w:uiPriority w:val="99"/>
    <w:pPr>
      <w:tabs>
        <w:tab w:val="center" w:pos="4153"/>
        <w:tab w:val="right" w:pos="8306"/>
      </w:tabs>
      <w:snapToGrid w:val="0"/>
      <w:jc w:val="left"/>
    </w:pPr>
    <w:rPr>
      <w:sz w:val="18"/>
      <w:szCs w:val="18"/>
    </w:rPr>
  </w:style>
  <w:style w:type="paragraph" w:styleId="9">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40"/>
    <w:semiHidden/>
    <w:qFormat/>
    <w:uiPriority w:val="0"/>
    <w:pPr>
      <w:snapToGrid w:val="0"/>
      <w:jc w:val="left"/>
    </w:pPr>
    <w:rPr>
      <w:rFonts w:ascii="Times New Roman" w:hAnsi="Times New Roman"/>
      <w:sz w:val="18"/>
      <w:szCs w:val="18"/>
    </w:rPr>
  </w:style>
  <w:style w:type="paragraph" w:styleId="11">
    <w:name w:val="HTML Preformatted"/>
    <w:basedOn w:val="1"/>
    <w:link w:val="38"/>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Strong"/>
    <w:basedOn w:val="13"/>
    <w:qFormat/>
    <w:uiPriority w:val="22"/>
    <w:rPr>
      <w:b/>
    </w:rPr>
  </w:style>
  <w:style w:type="character" w:styleId="15">
    <w:name w:val="FollowedHyperlink"/>
    <w:basedOn w:val="13"/>
    <w:unhideWhenUsed/>
    <w:qFormat/>
    <w:uiPriority w:val="99"/>
    <w:rPr>
      <w:color w:val="4D7AD8"/>
      <w:sz w:val="18"/>
      <w:szCs w:val="18"/>
      <w:u w:val="none"/>
    </w:rPr>
  </w:style>
  <w:style w:type="character" w:styleId="16">
    <w:name w:val="HTML Definition"/>
    <w:basedOn w:val="13"/>
    <w:unhideWhenUsed/>
    <w:qFormat/>
    <w:uiPriority w:val="99"/>
    <w:rPr>
      <w:i/>
    </w:rPr>
  </w:style>
  <w:style w:type="character" w:styleId="17">
    <w:name w:val="Hyperlink"/>
    <w:basedOn w:val="13"/>
    <w:unhideWhenUsed/>
    <w:qFormat/>
    <w:uiPriority w:val="99"/>
    <w:rPr>
      <w:rFonts w:hint="default" w:ascii="ˎ̥" w:hAnsi="ˎ̥"/>
      <w:color w:val="0453CC"/>
      <w:sz w:val="20"/>
      <w:szCs w:val="20"/>
      <w:u w:val="none"/>
    </w:rPr>
  </w:style>
  <w:style w:type="character" w:styleId="18">
    <w:name w:val="HTML Code"/>
    <w:basedOn w:val="13"/>
    <w:unhideWhenUsed/>
    <w:qFormat/>
    <w:uiPriority w:val="99"/>
    <w:rPr>
      <w:rFonts w:hint="default" w:ascii="Consolas" w:hAnsi="Consolas" w:eastAsia="Consolas" w:cs="Consolas"/>
      <w:sz w:val="21"/>
      <w:szCs w:val="21"/>
    </w:rPr>
  </w:style>
  <w:style w:type="character" w:styleId="19">
    <w:name w:val="footnote reference"/>
    <w:unhideWhenUsed/>
    <w:qFormat/>
    <w:uiPriority w:val="0"/>
    <w:rPr>
      <w:rFonts w:ascii="Times New Roman" w:hAnsi="Times New Roman" w:cs="Times New Roman"/>
      <w:vertAlign w:val="superscript"/>
    </w:rPr>
  </w:style>
  <w:style w:type="character" w:styleId="20">
    <w:name w:val="HTML Keyboard"/>
    <w:basedOn w:val="13"/>
    <w:unhideWhenUsed/>
    <w:qFormat/>
    <w:uiPriority w:val="99"/>
    <w:rPr>
      <w:rFonts w:ascii="Consolas" w:hAnsi="Consolas" w:eastAsia="Consolas" w:cs="Consolas"/>
      <w:sz w:val="21"/>
      <w:szCs w:val="21"/>
    </w:rPr>
  </w:style>
  <w:style w:type="character" w:styleId="21">
    <w:name w:val="HTML Sample"/>
    <w:basedOn w:val="13"/>
    <w:unhideWhenUsed/>
    <w:qFormat/>
    <w:uiPriority w:val="99"/>
    <w:rPr>
      <w:rFonts w:hint="default" w:ascii="Consolas" w:hAnsi="Consolas" w:eastAsia="Consolas" w:cs="Consolas"/>
      <w:sz w:val="21"/>
      <w:szCs w:val="21"/>
    </w:rPr>
  </w:style>
  <w:style w:type="paragraph" w:customStyle="1" w:styleId="23">
    <w:name w:val="List Paragraph"/>
    <w:basedOn w:val="1"/>
    <w:qFormat/>
    <w:uiPriority w:val="99"/>
    <w:pPr>
      <w:ind w:firstLine="420" w:firstLineChars="200"/>
    </w:pPr>
  </w:style>
  <w:style w:type="paragraph" w:customStyle="1" w:styleId="24">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5">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6">
    <w:name w:val="列出段落1"/>
    <w:basedOn w:val="1"/>
    <w:qFormat/>
    <w:uiPriority w:val="34"/>
    <w:pPr>
      <w:ind w:firstLine="420" w:firstLineChars="200"/>
    </w:pPr>
    <w:rPr>
      <w:rFonts w:ascii="Calibri" w:hAnsi="Calibri" w:eastAsia="宋体" w:cs="Times New Roman"/>
    </w:rPr>
  </w:style>
  <w:style w:type="paragraph" w:customStyle="1" w:styleId="27">
    <w:name w:val="列出段落4"/>
    <w:basedOn w:val="1"/>
    <w:qFormat/>
    <w:uiPriority w:val="0"/>
    <w:pPr>
      <w:ind w:firstLine="200" w:firstLineChars="200"/>
    </w:pPr>
    <w:rPr>
      <w:rFonts w:ascii="Calibri" w:hAnsi="Calibri" w:eastAsia="宋体" w:cs="Times New Roman"/>
    </w:rPr>
  </w:style>
  <w:style w:type="paragraph" w:customStyle="1" w:styleId="28">
    <w:name w:val="列出段落3"/>
    <w:basedOn w:val="1"/>
    <w:qFormat/>
    <w:uiPriority w:val="0"/>
    <w:pPr>
      <w:ind w:firstLine="420" w:firstLineChars="200"/>
    </w:pPr>
    <w:rPr>
      <w:rFonts w:ascii="Times New Roman" w:hAnsi="Times New Roman" w:eastAsia="宋体" w:cs="Times New Roman"/>
      <w:szCs w:val="24"/>
    </w:rPr>
  </w:style>
  <w:style w:type="paragraph" w:customStyle="1" w:styleId="29">
    <w:name w:val="p0"/>
    <w:basedOn w:val="1"/>
    <w:qFormat/>
    <w:uiPriority w:val="0"/>
    <w:pPr>
      <w:widowControl/>
    </w:pPr>
    <w:rPr>
      <w:rFonts w:ascii="Calibri" w:hAnsi="Calibri" w:eastAsia="宋体" w:cs="宋体"/>
      <w:kern w:val="0"/>
      <w:szCs w:val="21"/>
    </w:rPr>
  </w:style>
  <w:style w:type="paragraph" w:customStyle="1" w:styleId="30">
    <w:name w:val="Revision"/>
    <w:hidden/>
    <w:semiHidden/>
    <w:qFormat/>
    <w:uiPriority w:val="99"/>
    <w:rPr>
      <w:rFonts w:ascii="Calibri" w:hAnsi="Calibri" w:eastAsia="宋体" w:cs="黑体"/>
      <w:kern w:val="2"/>
      <w:sz w:val="21"/>
      <w:szCs w:val="22"/>
      <w:lang w:val="en-US" w:eastAsia="zh-CN" w:bidi="ar-SA"/>
    </w:rPr>
  </w:style>
  <w:style w:type="character" w:customStyle="1" w:styleId="31">
    <w:name w:val="标题 1 Char"/>
    <w:basedOn w:val="13"/>
    <w:link w:val="2"/>
    <w:qFormat/>
    <w:uiPriority w:val="9"/>
    <w:rPr>
      <w:rFonts w:ascii="黑体" w:hAnsi="黑体" w:eastAsia="黑体" w:cs="宋体"/>
      <w:color w:val="000000"/>
      <w:kern w:val="0"/>
      <w:sz w:val="30"/>
      <w:szCs w:val="30"/>
    </w:rPr>
  </w:style>
  <w:style w:type="character" w:customStyle="1" w:styleId="32">
    <w:name w:val="标题 2 Char"/>
    <w:basedOn w:val="13"/>
    <w:link w:val="3"/>
    <w:qFormat/>
    <w:uiPriority w:val="9"/>
    <w:rPr>
      <w:rFonts w:ascii="Cambria" w:hAnsi="Cambria" w:eastAsia="宋体" w:cs="Times New Roman"/>
      <w:b/>
      <w:bCs/>
      <w:sz w:val="32"/>
      <w:szCs w:val="32"/>
    </w:rPr>
  </w:style>
  <w:style w:type="character" w:customStyle="1" w:styleId="33">
    <w:name w:val="标题 3 Char"/>
    <w:basedOn w:val="13"/>
    <w:link w:val="4"/>
    <w:qFormat/>
    <w:uiPriority w:val="9"/>
    <w:rPr>
      <w:rFonts w:ascii="仿宋_GB2312" w:hAnsi="Calibri" w:eastAsia="仿宋_GB2312" w:cs="Times New Roman"/>
      <w:sz w:val="30"/>
      <w:szCs w:val="30"/>
    </w:rPr>
  </w:style>
  <w:style w:type="character" w:customStyle="1" w:styleId="34">
    <w:name w:val="页眉 Char"/>
    <w:basedOn w:val="13"/>
    <w:link w:val="9"/>
    <w:qFormat/>
    <w:uiPriority w:val="99"/>
    <w:rPr>
      <w:sz w:val="18"/>
      <w:szCs w:val="18"/>
    </w:rPr>
  </w:style>
  <w:style w:type="character" w:customStyle="1" w:styleId="35">
    <w:name w:val="页脚 Char"/>
    <w:basedOn w:val="13"/>
    <w:link w:val="8"/>
    <w:qFormat/>
    <w:uiPriority w:val="99"/>
    <w:rPr>
      <w:sz w:val="18"/>
      <w:szCs w:val="18"/>
    </w:rPr>
  </w:style>
  <w:style w:type="character" w:customStyle="1" w:styleId="36">
    <w:name w:val="批注框文本 Char"/>
    <w:basedOn w:val="13"/>
    <w:link w:val="7"/>
    <w:uiPriority w:val="0"/>
    <w:rPr>
      <w:sz w:val="18"/>
      <w:szCs w:val="18"/>
    </w:rPr>
  </w:style>
  <w:style w:type="character" w:customStyle="1" w:styleId="37">
    <w:name w:val="批注框文本 Char1"/>
    <w:basedOn w:val="13"/>
    <w:semiHidden/>
    <w:qFormat/>
    <w:uiPriority w:val="99"/>
    <w:rPr>
      <w:sz w:val="18"/>
      <w:szCs w:val="18"/>
    </w:rPr>
  </w:style>
  <w:style w:type="character" w:customStyle="1" w:styleId="38">
    <w:name w:val="HTML 预设格式 Char"/>
    <w:basedOn w:val="13"/>
    <w:link w:val="11"/>
    <w:qFormat/>
    <w:uiPriority w:val="99"/>
    <w:rPr>
      <w:rFonts w:ascii="宋体" w:hAnsi="宋体" w:eastAsia="宋体" w:cs="宋体"/>
      <w:kern w:val="0"/>
      <w:sz w:val="24"/>
      <w:szCs w:val="24"/>
    </w:rPr>
  </w:style>
  <w:style w:type="character" w:customStyle="1" w:styleId="39">
    <w:name w:val="批注文字 Char"/>
    <w:basedOn w:val="13"/>
    <w:link w:val="6"/>
    <w:qFormat/>
    <w:uiPriority w:val="99"/>
    <w:rPr>
      <w:rFonts w:ascii="Calibri" w:hAnsi="Calibri" w:eastAsia="宋体" w:cs="Times New Roman"/>
    </w:rPr>
  </w:style>
  <w:style w:type="character" w:customStyle="1" w:styleId="40">
    <w:name w:val="脚注文本 Char"/>
    <w:basedOn w:val="13"/>
    <w:link w:val="10"/>
    <w:semiHidden/>
    <w:qFormat/>
    <w:uiPriority w:val="0"/>
    <w:rPr>
      <w:rFonts w:ascii="Times New Roman" w:hAnsi="Times New Roman"/>
      <w:sz w:val="18"/>
      <w:szCs w:val="18"/>
    </w:rPr>
  </w:style>
  <w:style w:type="character" w:customStyle="1" w:styleId="41">
    <w:name w:val="标题 4 Char Char"/>
    <w:qFormat/>
    <w:uiPriority w:val="0"/>
    <w:rPr>
      <w:rFonts w:ascii="Calibri" w:hAnsi="Calibri"/>
      <w:b/>
      <w:bCs/>
      <w:sz w:val="28"/>
      <w:szCs w:val="28"/>
      <w:lang w:eastAsia="en-US" w:bidi="en-US"/>
    </w:rPr>
  </w:style>
  <w:style w:type="character" w:customStyle="1" w:styleId="42">
    <w:name w:val="文档结构图 Char"/>
    <w:basedOn w:val="13"/>
    <w:link w:val="5"/>
    <w:qFormat/>
    <w:uiPriority w:val="0"/>
    <w:rPr>
      <w:rFonts w:ascii="宋体"/>
      <w:sz w:val="18"/>
      <w:szCs w:val="18"/>
    </w:rPr>
  </w:style>
  <w:style w:type="character" w:customStyle="1" w:styleId="43">
    <w:name w:val="Intense Emphasis"/>
    <w:basedOn w:val="13"/>
    <w:qFormat/>
    <w:uiPriority w:val="21"/>
    <w:rPr>
      <w:b/>
      <w:bCs/>
      <w:i/>
      <w:iCs/>
      <w:color w:val="4F81BD"/>
    </w:rPr>
  </w:style>
  <w:style w:type="character" w:customStyle="1" w:styleId="44">
    <w:name w:val="文档结构图 Char1"/>
    <w:basedOn w:val="13"/>
    <w:semiHidden/>
    <w:qFormat/>
    <w:uiPriority w:val="99"/>
    <w:rPr>
      <w:rFonts w:ascii="宋体" w:eastAsia="宋体"/>
      <w:sz w:val="18"/>
      <w:szCs w:val="18"/>
    </w:rPr>
  </w:style>
  <w:style w:type="character" w:customStyle="1" w:styleId="45">
    <w:name w:val="脚注文本 Char2"/>
    <w:basedOn w:val="13"/>
    <w:semiHidden/>
    <w:qFormat/>
    <w:uiPriority w:val="99"/>
    <w:rPr>
      <w:sz w:val="18"/>
      <w:szCs w:val="18"/>
    </w:rPr>
  </w:style>
  <w:style w:type="character" w:customStyle="1" w:styleId="46">
    <w:name w:val="button"/>
    <w:basedOn w:val="13"/>
    <w:qFormat/>
    <w:uiPriority w:val="0"/>
    <w:rPr/>
  </w:style>
  <w:style w:type="character" w:customStyle="1" w:styleId="47">
    <w:name w:val="ant-radio+*"/>
    <w:basedOn w:val="13"/>
    <w:qFormat/>
    <w:uiPriority w:val="0"/>
    <w:rPr/>
  </w:style>
  <w:style w:type="character" w:customStyle="1" w:styleId="48">
    <w:name w:val="ant-select-tree-switcher"/>
    <w:basedOn w:val="13"/>
    <w:qFormat/>
    <w:uiPriority w:val="0"/>
    <w:rPr/>
  </w:style>
  <w:style w:type="character" w:customStyle="1" w:styleId="49">
    <w:name w:val="ant-tree-switcher6"/>
    <w:basedOn w:val="13"/>
    <w:uiPriority w:val="0"/>
    <w:rPr/>
  </w:style>
  <w:style w:type="character" w:customStyle="1" w:styleId="50">
    <w:name w:val="current-node"/>
    <w:basedOn w:val="13"/>
    <w:qFormat/>
    <w:uiPriority w:val="0"/>
    <w:rPr>
      <w:bdr w:val="single" w:color="F5B87B" w:sz="6" w:space="0"/>
      <w:shd w:val="clear" w:color="auto" w:fill="FFE8CC"/>
    </w:rPr>
  </w:style>
  <w:style w:type="character" w:customStyle="1" w:styleId="51">
    <w:name w:val="not-pass-node"/>
    <w:basedOn w:val="13"/>
    <w:qFormat/>
    <w:uiPriority w:val="0"/>
    <w:rPr>
      <w:bdr w:val="single" w:color="5ABD6B" w:sz="6" w:space="0"/>
      <w:shd w:val="clear" w:color="auto" w:fill="BFF3C3"/>
    </w:rPr>
  </w:style>
  <w:style w:type="character" w:customStyle="1" w:styleId="52">
    <w:name w:val="first-of-type"/>
    <w:basedOn w:val="13"/>
    <w:qFormat/>
    <w:uiPriority w:val="0"/>
    <w:rPr>
      <w:color w:val="FF0000"/>
    </w:rPr>
  </w:style>
  <w:style w:type="character" w:customStyle="1" w:styleId="53">
    <w:name w:val="first-of-type1"/>
    <w:basedOn w:val="13"/>
    <w:qFormat/>
    <w:uiPriority w:val="0"/>
    <w:rPr>
      <w:color w:val="FF0000"/>
    </w:rPr>
  </w:style>
  <w:style w:type="character" w:customStyle="1" w:styleId="54">
    <w:name w:val="wea-thumbnails-doc-content-subtitle"/>
    <w:basedOn w:val="13"/>
    <w:qFormat/>
    <w:uiPriority w:val="0"/>
    <w:rPr>
      <w:color w:val="9A9A9A"/>
    </w:rPr>
  </w:style>
  <w:style w:type="character" w:customStyle="1" w:styleId="55">
    <w:name w:val="ant-select-tree-iconele"/>
    <w:basedOn w:val="13"/>
    <w:qFormat/>
    <w:uiPriority w:val="0"/>
    <w:rPr/>
  </w:style>
  <w:style w:type="character" w:customStyle="1" w:styleId="56">
    <w:name w:val="ant-select-tree-checkbox2"/>
    <w:basedOn w:val="13"/>
    <w:qFormat/>
    <w:uiPriority w:val="0"/>
    <w:rPr/>
  </w:style>
  <w:style w:type="character" w:customStyle="1" w:styleId="57">
    <w:name w:val="ant-tree-checkbox6"/>
    <w:basedOn w:val="13"/>
    <w:qFormat/>
    <w:uiPriority w:val="0"/>
    <w:rPr/>
  </w:style>
  <w:style w:type="character" w:customStyle="1" w:styleId="58">
    <w:name w:val="ant-tree-iconele"/>
    <w:basedOn w:val="13"/>
    <w:qFormat/>
    <w:uiPriority w:val="0"/>
    <w:rPr/>
  </w:style>
  <w:style w:type="character" w:customStyle="1" w:styleId="59">
    <w:name w:val="tmpztreemove_arrow"/>
    <w:basedOn w:val="13"/>
    <w:qFormat/>
    <w:uiPriority w:val="0"/>
    <w:rPr/>
  </w:style>
  <w:style w:type="character" w:customStyle="1" w:styleId="60">
    <w:name w:val="hover28"/>
    <w:basedOn w:val="13"/>
    <w:qFormat/>
    <w:uiPriority w:val="0"/>
    <w:rPr>
      <w:color w:val="009DFF"/>
    </w:rPr>
  </w:style>
  <w:style w:type="character" w:customStyle="1" w:styleId="61">
    <w:name w:val="hover29"/>
    <w:basedOn w:val="13"/>
    <w:qFormat/>
    <w:uiPriority w:val="0"/>
    <w:rPr>
      <w:color w:val="009DFF"/>
    </w:rPr>
  </w:style>
  <w:style w:type="character" w:customStyle="1" w:styleId="62">
    <w:name w:val="passed-node"/>
    <w:basedOn w:val="13"/>
    <w:qFormat/>
    <w:uiPriority w:val="0"/>
    <w:rPr>
      <w:bdr w:val="single" w:color="49A8D4" w:sz="6" w:space="0"/>
      <w:shd w:val="clear" w:color="auto" w:fill="A9E3FF"/>
    </w:rPr>
  </w:style>
  <w:style w:type="character" w:customStyle="1" w:styleId="63">
    <w:name w:val="auto-pass-node"/>
    <w:basedOn w:val="13"/>
    <w:qFormat/>
    <w:uiPriority w:val="0"/>
    <w:rPr>
      <w:bdr w:val="single" w:color="DC4446" w:sz="6" w:space="0"/>
      <w:shd w:val="clear" w:color="auto" w:fill="A9E2FF"/>
    </w:rPr>
  </w:style>
  <w:style w:type="character" w:customStyle="1" w:styleId="64">
    <w:name w:val="button1"/>
    <w:basedOn w:val="13"/>
    <w:qFormat/>
    <w:uiPriority w:val="0"/>
    <w:rPr/>
  </w:style>
  <w:style w:type="character" w:customStyle="1" w:styleId="65">
    <w:name w:val="ant-select-tree-checkbox"/>
    <w:basedOn w:val="13"/>
    <w:qFormat/>
    <w:uiPriority w:val="0"/>
    <w:rPr/>
  </w:style>
  <w:style w:type="character" w:customStyle="1" w:styleId="66">
    <w:name w:val="hover"/>
    <w:basedOn w:val="13"/>
    <w:qFormat/>
    <w:uiPriority w:val="0"/>
    <w:rPr>
      <w:color w:val="009DFF"/>
    </w:rPr>
  </w:style>
  <w:style w:type="character" w:customStyle="1" w:styleId="67">
    <w:name w:val="hover1"/>
    <w:basedOn w:val="13"/>
    <w:qFormat/>
    <w:uiPriority w:val="0"/>
    <w:rPr>
      <w:color w:val="009DFF"/>
    </w:rPr>
  </w:style>
  <w:style w:type="character" w:customStyle="1" w:styleId="68">
    <w:name w:val="ant-tree-checkbox"/>
    <w:basedOn w:val="13"/>
    <w:qFormat/>
    <w:uiPriority w:val="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notes" Target="footnotes.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numbering" Target="numbering.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16</Pages>
  <Words>991</Words>
  <Characters>5650</Characters>
  <Lines>47</Lines>
  <Paragraphs>13</Paragraphs>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2020-06-28T02:12:00Z</dcterms:created>
  <dc:creator>朱敏1</dc:creator>
  <cp:lastModifiedBy>陈炅炜</cp:lastModifiedBy>
  <cp:lastPrinted>2020-07-02T08:51:00Z</cp:lastPrinted>
  <dcterms:modified xsi:type="dcterms:W3CDTF">2021-03-25T07:47:30Z</dcterms:modified>
  <dc:title>编号：57006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