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银行人民币结构性存款业务外汇登记</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w:t>
      </w:r>
      <w:r>
        <w:rPr>
          <w:rFonts w:hint="eastAsia" w:ascii="Times New Roman" w:hAnsi="Times New Roman" w:eastAsia="仿宋_GB2312" w:cs="Times New Roman"/>
          <w:sz w:val="32"/>
          <w:szCs w:val="32"/>
        </w:rPr>
        <w:t>国家外汇管理局陕西省分局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银行人民币结构性存款业务外汇登记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1"/>
        <w:rPr>
          <w:rFonts w:hint="eastAsia" w:ascii="Times New Roman" w:hAnsi="Times New Roman" w:eastAsia="仿宋_GB2312" w:cs="Times New Roman"/>
          <w:color w:val="auto"/>
          <w:sz w:val="30"/>
          <w:szCs w:val="30"/>
          <w:lang w:eastAsia="zh-CN"/>
        </w:rPr>
      </w:pP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1"/>
        <w:rPr>
          <w:rFonts w:hint="eastAsia" w:ascii="Times New Roman" w:hAnsi="Times New Roman" w:eastAsia="仿宋_GB2312" w:cs="Times New Roman"/>
          <w:color w:val="auto"/>
          <w:sz w:val="30"/>
          <w:szCs w:val="30"/>
          <w:lang w:eastAsia="zh-CN"/>
        </w:rPr>
      </w:pP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hint="eastAsia" w:ascii="Times New Roman" w:hAnsi="Times New Roman" w:eastAsia="仿宋_GB2312" w:cs="Times New Roman"/>
          <w:color w:val="auto"/>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办理登记的银行已经银行业监督管理部门批准获得开办衍生品交易业务资格。</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3968"/>
        <w:gridCol w:w="992"/>
        <w:gridCol w:w="457"/>
        <w:gridCol w:w="961"/>
        <w:gridCol w:w="457"/>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8"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54"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书面申请，并附《商业银行人民币结构性存款业务外汇登记申请表》</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rPr>
                <w:rFonts w:ascii="Times New Roman" w:hAnsi="Times New Roman" w:eastAsia="仿宋_GB2312" w:cs="Times New Roman"/>
                <w:sz w:val="24"/>
                <w:szCs w:val="24"/>
              </w:rPr>
            </w:pPr>
          </w:p>
        </w:tc>
        <w:tc>
          <w:tcPr>
            <w:tcW w:w="1154" w:type="dxa"/>
            <w:vAlign w:val="center"/>
          </w:tcPr>
          <w:p>
            <w:pP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3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银行业监督管理部门同意其开办衍生产品交易业务的批准文件</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11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sz w:val="30"/>
          <w:szCs w:val="30"/>
        </w:rPr>
        <w:t>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（十五）咨询途径、监督和投诉、公开查询等由所在地分局（外汇管理部）办理</w:t>
      </w:r>
    </w:p>
    <w:p>
      <w:pPr>
        <w:adjustRightInd w:val="0"/>
        <w:snapToGrid w:val="0"/>
        <w:spacing w:line="360" w:lineRule="auto"/>
        <w:ind w:firstLine="600"/>
        <w:rPr>
          <w:rFonts w:ascii="Times New Roman" w:hAnsi="Times New Roman" w:eastAsia="仿宋_GB2312" w:cs="Times New Roman"/>
          <w:color w:val="auto"/>
          <w:sz w:val="30"/>
          <w:szCs w:val="30"/>
        </w:rPr>
      </w:pPr>
      <w:r>
        <w:rPr>
          <w:rFonts w:ascii="Times New Roman" w:hAnsi="Times New Roman" w:eastAsia="仿宋_GB2312" w:cs="Times New Roman"/>
          <w:color w:val="auto"/>
          <w:sz w:val="30"/>
          <w:szCs w:val="30"/>
        </w:rPr>
        <w:t>向国家外汇局管理局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咨询、</w:t>
      </w:r>
      <w:r>
        <w:rPr>
          <w:rFonts w:hint="eastAsia" w:ascii="Times New Roman" w:hAnsi="Times New Roman" w:eastAsia="仿宋_GB2312" w:cs="Times New Roman"/>
          <w:color w:val="auto"/>
          <w:sz w:val="30"/>
          <w:szCs w:val="30"/>
        </w:rPr>
        <w:t>进度查询、</w:t>
      </w:r>
      <w:r>
        <w:rPr>
          <w:rFonts w:ascii="Times New Roman" w:hAnsi="Times New Roman" w:eastAsia="仿宋_GB2312" w:cs="Times New Roman"/>
          <w:color w:val="auto"/>
          <w:sz w:val="30"/>
          <w:szCs w:val="30"/>
        </w:rPr>
        <w:t>监督</w:t>
      </w:r>
      <w:r>
        <w:rPr>
          <w:rFonts w:hint="eastAsia" w:ascii="Times New Roman" w:hAnsi="Times New Roman" w:eastAsia="仿宋_GB2312" w:cs="Times New Roman"/>
          <w:color w:val="auto"/>
          <w:sz w:val="30"/>
          <w:szCs w:val="30"/>
        </w:rPr>
        <w:t>和</w:t>
      </w:r>
      <w:r>
        <w:rPr>
          <w:rFonts w:ascii="Times New Roman" w:hAnsi="Times New Roman" w:eastAsia="仿宋_GB2312" w:cs="Times New Roman"/>
          <w:color w:val="auto"/>
          <w:sz w:val="30"/>
          <w:szCs w:val="30"/>
        </w:rPr>
        <w:t>投诉等可通过</w:t>
      </w:r>
      <w:r>
        <w:rPr>
          <w:rFonts w:hint="eastAsia" w:ascii="Times New Roman" w:hAnsi="Times New Roman" w:eastAsia="仿宋_GB2312" w:cs="Times New Roman"/>
          <w:color w:val="auto"/>
          <w:sz w:val="30"/>
          <w:szCs w:val="30"/>
        </w:rPr>
        <w:t>电话、</w:t>
      </w:r>
      <w:r>
        <w:rPr>
          <w:rFonts w:ascii="Times New Roman" w:hAnsi="Times New Roman" w:eastAsia="仿宋_GB2312" w:cs="Times New Roman"/>
          <w:color w:val="auto"/>
          <w:sz w:val="30"/>
          <w:szCs w:val="30"/>
        </w:rPr>
        <w:t>国家外汇局管理局</w:t>
      </w:r>
      <w:r>
        <w:rPr>
          <w:rFonts w:hint="eastAsia" w:ascii="Times New Roman" w:hAnsi="Times New Roman" w:eastAsia="仿宋_GB2312" w:cs="Times New Roman"/>
          <w:color w:val="auto"/>
          <w:sz w:val="30"/>
          <w:szCs w:val="30"/>
        </w:rPr>
        <w:t>陕西省分局</w:t>
      </w:r>
      <w:r>
        <w:rPr>
          <w:rFonts w:ascii="Times New Roman" w:hAnsi="Times New Roman" w:eastAsia="仿宋_GB2312" w:cs="Times New Roman"/>
          <w:color w:val="auto"/>
          <w:sz w:val="30"/>
          <w:szCs w:val="30"/>
        </w:rPr>
        <w:t>官方互联网站</w:t>
      </w:r>
      <w:r>
        <w:rPr>
          <w:rFonts w:hint="eastAsia" w:ascii="Times New Roman" w:hAnsi="Times New Roman" w:eastAsia="仿宋_GB2312" w:cs="Times New Roman"/>
          <w:color w:val="auto"/>
          <w:sz w:val="30"/>
          <w:szCs w:val="30"/>
        </w:rPr>
        <w:t>咨询反馈</w:t>
      </w:r>
      <w:r>
        <w:rPr>
          <w:rFonts w:ascii="Times New Roman" w:hAnsi="Times New Roman" w:eastAsia="仿宋_GB2312" w:cs="Times New Roman"/>
          <w:color w:val="auto"/>
          <w:sz w:val="30"/>
          <w:szCs w:val="30"/>
        </w:rPr>
        <w:t>栏目进行。</w:t>
      </w:r>
    </w:p>
    <w:p>
      <w:pPr>
        <w:adjustRightInd w:val="0"/>
        <w:snapToGrid w:val="0"/>
        <w:spacing w:line="360" w:lineRule="auto"/>
        <w:ind w:firstLine="600"/>
        <w:rPr>
          <w:rFonts w:hint="default" w:ascii="Times New Roman" w:hAnsi="Times New Roman" w:eastAsia="仿宋_GB2312" w:cs="Times New Roman"/>
          <w:color w:val="auto"/>
          <w:sz w:val="30"/>
          <w:szCs w:val="30"/>
          <w:lang w:val="en-US" w:eastAsia="zh-CN"/>
        </w:rPr>
      </w:pPr>
      <w:r>
        <w:rPr>
          <w:rFonts w:hint="eastAsia" w:ascii="Times New Roman" w:hAnsi="Times New Roman" w:eastAsia="仿宋_GB2312" w:cs="Times New Roman"/>
          <w:color w:val="auto"/>
          <w:sz w:val="30"/>
          <w:szCs w:val="30"/>
        </w:rPr>
        <w:t>电话：029-88</w:t>
      </w:r>
      <w:r>
        <w:rPr>
          <w:rFonts w:hint="eastAsia" w:ascii="Times New Roman" w:hAnsi="Times New Roman" w:eastAsia="仿宋_GB2312" w:cs="Times New Roman"/>
          <w:color w:val="auto"/>
          <w:sz w:val="30"/>
          <w:szCs w:val="30"/>
          <w:lang w:val="en-US" w:eastAsia="zh-CN"/>
        </w:rPr>
        <w:t>150558；029-88150690</w:t>
      </w:r>
    </w:p>
    <w:p>
      <w:pPr>
        <w:adjustRightInd w:val="0"/>
        <w:snapToGrid w:val="0"/>
        <w:spacing w:line="360" w:lineRule="auto"/>
        <w:ind w:firstLine="600"/>
        <w:rPr>
          <w:rFonts w:ascii="Times New Roman" w:hAnsi="Times New Roman" w:eastAsia="仿宋_GB2312" w:cs="Times New Roman"/>
          <w:color w:val="auto"/>
          <w:sz w:val="30"/>
        </w:rPr>
      </w:pPr>
      <w:r>
        <w:rPr>
          <w:rFonts w:hint="eastAsia" w:ascii="Times New Roman" w:hAnsi="Times New Roman" w:eastAsia="仿宋_GB2312" w:cs="Times New Roman"/>
          <w:color w:val="auto"/>
          <w:sz w:val="30"/>
          <w:szCs w:val="30"/>
        </w:rPr>
        <w:t>网址：</w:t>
      </w:r>
      <w:r>
        <w:rPr>
          <w:rFonts w:ascii="Calibri" w:hAnsi="Calibri" w:eastAsia="宋体" w:cs="黑体"/>
          <w:color w:val="auto"/>
        </w:rPr>
        <w:fldChar w:fldCharType="begin"/>
      </w:r>
      <w:r>
        <w:rPr>
          <w:rFonts w:ascii="Calibri" w:hAnsi="Calibri" w:eastAsia="宋体" w:cs="黑体"/>
          <w:color w:val="auto"/>
        </w:rPr>
        <w:instrText xml:space="preserve"> HYPERLINK "http://www.safe.gov.cn" </w:instrText>
      </w:r>
      <w:r>
        <w:rPr>
          <w:rFonts w:ascii="Calibri" w:hAnsi="Calibri" w:eastAsia="宋体" w:cs="黑体"/>
          <w:color w:val="auto"/>
        </w:rPr>
        <w:fldChar w:fldCharType="separate"/>
      </w:r>
      <w:r>
        <w:rPr>
          <w:rFonts w:ascii="Times New Roman" w:hAnsi="Times New Roman" w:eastAsia="仿宋_GB2312" w:cs="Times New Roman"/>
          <w:color w:val="auto"/>
          <w:sz w:val="30"/>
        </w:rPr>
        <w:t>www.safe.gov.cn</w:t>
      </w:r>
      <w:r>
        <w:rPr>
          <w:rFonts w:ascii="Times New Roman" w:hAnsi="Times New Roman" w:eastAsia="仿宋_GB2312" w:cs="Times New Roman"/>
          <w:color w:val="auto"/>
          <w:sz w:val="30"/>
        </w:rPr>
        <w:fldChar w:fldCharType="end"/>
      </w:r>
      <w:r>
        <w:rPr>
          <w:rFonts w:hint="eastAsia" w:ascii="Times New Roman" w:hAnsi="Times New Roman" w:eastAsia="仿宋_GB2312" w:cs="Times New Roman"/>
          <w:color w:val="auto"/>
          <w:sz w:val="30"/>
        </w:rPr>
        <w:t>/shaanxi</w:t>
      </w:r>
    </w:p>
    <w:p>
      <w:pPr>
        <w:adjustRightInd w:val="0"/>
        <w:snapToGrid w:val="0"/>
        <w:spacing w:line="360" w:lineRule="auto"/>
        <w:ind w:firstLine="600"/>
        <w:rPr>
          <w:rFonts w:hint="eastAsia" w:ascii="黑体" w:hAnsi="黑体" w:eastAsia="黑体" w:cs="黑体"/>
          <w:color w:val="auto"/>
          <w:sz w:val="30"/>
          <w:szCs w:val="30"/>
        </w:rPr>
      </w:pPr>
      <w:r>
        <w:rPr>
          <w:rFonts w:hint="eastAsia" w:ascii="黑体" w:hAnsi="黑体" w:eastAsia="黑体" w:cs="黑体"/>
          <w:color w:val="auto"/>
          <w:sz w:val="30"/>
          <w:szCs w:val="30"/>
        </w:rPr>
        <w:t>（十</w:t>
      </w:r>
      <w:r>
        <w:rPr>
          <w:rFonts w:hint="eastAsia" w:ascii="黑体" w:hAnsi="黑体" w:eastAsia="黑体" w:cs="黑体"/>
          <w:color w:val="auto"/>
          <w:sz w:val="30"/>
          <w:szCs w:val="30"/>
          <w:lang w:eastAsia="zh-CN"/>
        </w:rPr>
        <w:t>六</w:t>
      </w:r>
      <w:r>
        <w:rPr>
          <w:rFonts w:hint="eastAsia" w:ascii="黑体" w:hAnsi="黑体" w:eastAsia="黑体" w:cs="黑体"/>
          <w:color w:val="auto"/>
          <w:sz w:val="30"/>
          <w:szCs w:val="30"/>
        </w:rPr>
        <w:t>）办公地址和时间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办公地址：西安市高新路49号，中国人民银行西安分行</w:t>
      </w:r>
      <w:r>
        <w:rPr>
          <w:rFonts w:hint="eastAsia" w:ascii="Times New Roman" w:hAnsi="Times New Roman" w:eastAsia="仿宋_GB2312" w:cs="Times New Roman"/>
          <w:color w:val="auto"/>
          <w:sz w:val="30"/>
          <w:szCs w:val="30"/>
          <w:lang w:eastAsia="zh-CN"/>
        </w:rPr>
        <w:t>机关大楼</w:t>
      </w:r>
      <w:bookmarkStart w:id="2" w:name="_GoBack"/>
      <w:bookmarkEnd w:id="2"/>
      <w:r>
        <w:rPr>
          <w:rFonts w:hint="eastAsia" w:ascii="Times New Roman" w:hAnsi="Times New Roman" w:eastAsia="仿宋_GB2312" w:cs="Times New Roman"/>
          <w:color w:val="auto"/>
          <w:sz w:val="30"/>
          <w:szCs w:val="30"/>
          <w:lang w:val="en-US" w:eastAsia="zh-CN"/>
        </w:rPr>
        <w:t>908</w:t>
      </w:r>
      <w:r>
        <w:rPr>
          <w:rFonts w:hint="eastAsia" w:ascii="Times New Roman" w:hAnsi="Times New Roman" w:eastAsia="仿宋_GB2312" w:cs="Times New Roman"/>
          <w:color w:val="auto"/>
          <w:sz w:val="30"/>
          <w:szCs w:val="30"/>
        </w:rPr>
        <w:t>房间。</w:t>
      </w:r>
    </w:p>
    <w:p>
      <w:pPr>
        <w:adjustRightInd w:val="0"/>
        <w:snapToGrid w:val="0"/>
        <w:spacing w:line="360" w:lineRule="auto"/>
        <w:ind w:firstLine="600"/>
        <w:rPr>
          <w:rFonts w:hint="eastAsia" w:ascii="Times New Roman" w:hAnsi="Times New Roman" w:eastAsia="仿宋_GB2312" w:cs="Times New Roman"/>
          <w:color w:val="auto"/>
          <w:sz w:val="30"/>
          <w:szCs w:val="30"/>
        </w:rPr>
      </w:pPr>
      <w:r>
        <w:rPr>
          <w:rFonts w:hint="eastAsia" w:ascii="Times New Roman" w:hAnsi="Times New Roman" w:eastAsia="仿宋_GB2312" w:cs="Times New Roman"/>
          <w:color w:val="auto"/>
          <w:sz w:val="30"/>
          <w:szCs w:val="30"/>
        </w:rPr>
        <w:t>办公时间：工作日8:30-11:30,13:30-17:00。</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5" o:spid="_x0000_s1026" style="position:absolute;left:0;margin-left:-11.2pt;margin-top:35.3pt;height:586.05pt;width:452.85pt;rotation:0f;z-index:251658240;" coordorigin="1211,3000" coordsize="9057,11721">
            <o:lock v:ext="edit" position="f" selection="f" grouping="f" rotation="f" cropping="f" text="f" aspectratio="f"/>
            <v:rect id="Rectangle 3"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5"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8"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0"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 o:spid="_x0000_s1035" style="position:absolute;left:1211;top:3000;height:7693;width:9057;rotation:0f;" coordorigin="1211,3000" coordsize="9057,7693">
              <o:lock v:ext="edit" position="f" selection="f" grouping="f" rotation="f" cropping="f" text="f" aspectratio="f"/>
              <v:shape id="AutoShape 12"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3" o:spid="_x0000_s1037" style="position:absolute;left:1211;top:3000;height:7693;width:9057;rotation:0f;" coordorigin="1211,3000" coordsize="9057,7693">
                <o:lock v:ext="edit" position="f" selection="f" grouping="f" rotation="f" cropping="f" text="f" aspectratio="f"/>
                <v:shape id="AutoShape 14" o:spid="_x0000_s1038"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5"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6"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7"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8" o:spid="_x0000_s1042"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19"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0"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1" o:spid="_x0000_s1045" type="#_x0000_t116" style="position:absolute;left:5913;top:4172;height:1623;width:304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2" o:spid="_x0000_s1046" style="position:absolute;left:1211;top:3000;height:7424;width:4730;rotation:0f;" coordorigin="1211,3000" coordsize="4730,7424">
                  <o:lock v:ext="edit" position="f" selection="f" grouping="f" rotation="f" cropping="f" text="f" aspectratio="f"/>
                  <v:shape id="AutoShape 23"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5" o:spid="_x0000_s1049" style="position:absolute;left:1211;top:3000;height:4049;width:3765;rotation:0f;" coordorigin="1211,3000" coordsize="3765,4049">
                    <o:lock v:ext="edit" position="f" selection="f" grouping="f" rotation="f" cropping="f" text="f" aspectratio="f"/>
                    <v:shape id="AutoShape 26"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51" type="#_x0000_t32" style="position:absolute;left:4193;top:5967;flip:y;height:26;width:783;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8" o:spid="_x0000_s1052" type="#_x0000_t4" style="position:absolute;left:1211;top:4936;height:2113;width:298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29"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0"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1"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2"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3"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4"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5" o:spid="_x0000_s1059" type="#_x0000_t32" style="position:absolute;left:9055;top:4886;flip:x;height:0;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pStyle w:val="3"/>
        <w:spacing w:before="0" w:after="0" w:line="240" w:lineRule="auto"/>
        <w:jc w:val="left"/>
        <w:rPr>
          <w:rFonts w:ascii="Times New Roman" w:hAnsi="Times New Roman"/>
          <w:b w:val="0"/>
          <w:sz w:val="28"/>
          <w:szCs w:val="28"/>
        </w:rPr>
      </w:pPr>
      <w:r>
        <w:rPr>
          <w:rFonts w:ascii="Times New Roman" w:hAnsi="Times New Roman" w:eastAsia="仿宋_GB2312"/>
          <w:b w:val="0"/>
          <w:sz w:val="30"/>
          <w:szCs w:val="30"/>
        </w:rPr>
        <w:t>附录二</w:t>
      </w:r>
      <w:bookmarkStart w:id="0" w:name="_Toc492328439"/>
      <w:bookmarkStart w:id="1" w:name="_Toc495992556"/>
    </w:p>
    <w:p>
      <w:pPr>
        <w:jc w:val="center"/>
        <w:rPr>
          <w:rFonts w:ascii="Times New Roman" w:hAnsi="Times New Roman" w:eastAsia="黑体" w:cs="Times New Roman"/>
          <w:sz w:val="30"/>
          <w:szCs w:val="30"/>
        </w:rPr>
      </w:pPr>
      <w:r>
        <w:rPr>
          <w:rFonts w:ascii="Times New Roman" w:hAnsi="黑体" w:eastAsia="黑体" w:cs="Times New Roman"/>
          <w:sz w:val="30"/>
          <w:szCs w:val="30"/>
        </w:rPr>
        <w:t>商业银行人民币结构性存款业务外汇登记申请表</w:t>
      </w:r>
      <w:bookmarkEnd w:id="0"/>
      <w:bookmarkEnd w:id="1"/>
      <w:r>
        <w:rPr>
          <w:rFonts w:ascii="Times New Roman" w:hAnsi="Times New Roman" w:eastAsia="黑体" w:cs="Times New Roman"/>
          <w:sz w:val="30"/>
          <w:szCs w:val="30"/>
        </w:rPr>
        <w:t>(</w:t>
      </w:r>
      <w:r>
        <w:rPr>
          <w:rFonts w:ascii="Times New Roman" w:hAnsi="黑体" w:eastAsia="黑体" w:cs="Times New Roman"/>
          <w:sz w:val="30"/>
          <w:szCs w:val="30"/>
        </w:rPr>
        <w:t>示范文本</w:t>
      </w:r>
      <w:r>
        <w:rPr>
          <w:rFonts w:ascii="Times New Roman" w:hAnsi="Times New Roman" w:eastAsia="黑体" w:cs="Times New Roman"/>
          <w:sz w:val="30"/>
          <w:szCs w:val="30"/>
        </w:rPr>
        <w:t>)</w:t>
      </w:r>
    </w:p>
    <w:tbl>
      <w:tblPr>
        <w:tblStyle w:val="17"/>
        <w:tblW w:w="8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0"/>
        <w:gridCol w:w="1672"/>
        <w:gridCol w:w="992"/>
        <w:gridCol w:w="567"/>
        <w:gridCol w:w="1276"/>
        <w:gridCol w:w="851"/>
        <w:gridCol w:w="1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nil"/>
              <w:left w:val="nil"/>
              <w:bottom w:val="nil"/>
              <w:right w:val="nil"/>
            </w:tcBorders>
            <w:vAlign w:val="center"/>
          </w:tcPr>
          <w:p>
            <w:pPr>
              <w:widowControl/>
              <w:rPr>
                <w:rFonts w:ascii="Times New Roman" w:hAnsi="Times New Roman" w:cs="Times New Roman"/>
                <w:kern w:val="0"/>
                <w:sz w:val="24"/>
              </w:rPr>
            </w:pPr>
            <w:r>
              <w:rPr>
                <w:rFonts w:ascii="Times New Roman" w:hAnsi="宋体" w:cs="Times New Roman"/>
                <w:kern w:val="0"/>
                <w:sz w:val="24"/>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top"/>
          </w:tcPr>
          <w:p>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hint="eastAsia" w:ascii="Times New Roman" w:hAnsi="宋体" w:cs="Times New Roman"/>
                <w:kern w:val="0"/>
                <w:sz w:val="24"/>
              </w:rPr>
              <w:t>金融机构标识码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r>
              <w:rPr>
                <w:rFonts w:ascii="Times New Roman" w:hAnsi="Times New Roman" w:cs="Times New Roman"/>
                <w:kern w:val="0"/>
                <w:sz w:val="24"/>
              </w:rPr>
              <w:t xml:space="preserve">      </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w:t>
            </w:r>
            <w:r>
              <w:rPr>
                <w:rFonts w:ascii="Times New Roman" w:hAnsi="Times New Roman" w:cs="Times New Roman"/>
                <w:kern w:val="0"/>
                <w:sz w:val="24"/>
              </w:rPr>
              <w:t xml:space="preserve">         </w:t>
            </w:r>
            <w:r>
              <w:rPr>
                <w:rFonts w:ascii="Times New Roman" w:hAnsi="宋体" w:cs="Times New Roman"/>
                <w:kern w:val="0"/>
                <w:sz w:val="24"/>
              </w:rPr>
              <w:t>最长期限：</w:t>
            </w:r>
            <w:r>
              <w:rPr>
                <w:rFonts w:ascii="Times New Roman" w:hAnsi="Times New Roman" w:cs="Times New Roman"/>
                <w:kern w:val="0"/>
                <w:sz w:val="24"/>
              </w:rPr>
              <w:t xml:space="preserve">          </w:t>
            </w:r>
            <w:r>
              <w:rPr>
                <w:rFonts w:ascii="Times New Roman" w:hAnsi="宋体" w:cs="Times New Roman"/>
                <w:kern w:val="0"/>
                <w:sz w:val="24"/>
              </w:rPr>
              <w:t>主要产品平均期限：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pPr>
        <w:jc w:val="righ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（外汇局业务印章）</w:t>
      </w:r>
    </w:p>
    <w:p>
      <w:pPr>
        <w:rPr>
          <w:rFonts w:ascii="Times New Roman" w:hAnsi="宋体"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年</w:t>
      </w:r>
      <w:r>
        <w:rPr>
          <w:rFonts w:ascii="Times New Roman" w:hAnsi="Times New Roman" w:cs="Times New Roman"/>
          <w:kern w:val="0"/>
          <w:sz w:val="24"/>
        </w:rPr>
        <w:t xml:space="preserve">   </w:t>
      </w:r>
      <w:r>
        <w:rPr>
          <w:rFonts w:ascii="Times New Roman" w:hAnsi="宋体" w:cs="Times New Roman"/>
          <w:kern w:val="0"/>
          <w:sz w:val="24"/>
        </w:rPr>
        <w:t>月</w:t>
      </w:r>
      <w:r>
        <w:rPr>
          <w:rFonts w:ascii="Times New Roman" w:hAnsi="Times New Roman" w:cs="Times New Roman"/>
          <w:kern w:val="0"/>
          <w:sz w:val="24"/>
        </w:rPr>
        <w:t xml:space="preserve">   </w:t>
      </w:r>
      <w:r>
        <w:rPr>
          <w:rFonts w:ascii="Times New Roman" w:hAnsi="宋体" w:cs="Times New Roman"/>
          <w:kern w:val="0"/>
          <w:sz w:val="24"/>
        </w:rPr>
        <w:t>日</w:t>
      </w:r>
    </w:p>
    <w:p>
      <w:pPr>
        <w:rPr>
          <w:rFonts w:ascii="Times New Roman" w:hAnsi="Times New Roman" w:cs="Times New Roman"/>
          <w:kern w:val="0"/>
          <w:sz w:val="30"/>
          <w:szCs w:val="30"/>
        </w:rPr>
      </w:pPr>
    </w:p>
    <w:p>
      <w:pPr>
        <w:widowControl/>
        <w:snapToGrid w:val="0"/>
        <w:rPr>
          <w:rFonts w:ascii="Times New Roman" w:hAnsi="Times New Roman" w:cs="Times New Roman"/>
          <w:kern w:val="0"/>
          <w:szCs w:val="21"/>
        </w:rPr>
      </w:pPr>
    </w:p>
    <w:p>
      <w:pPr>
        <w:widowControl/>
        <w:snapToGrid w:val="0"/>
        <w:rPr>
          <w:rFonts w:ascii="Times New Roman" w:hAnsi="Times New Roman" w:cs="Times New Roman"/>
          <w:kern w:val="0"/>
          <w:szCs w:val="21"/>
        </w:rPr>
      </w:pPr>
      <w:r>
        <w:rPr>
          <w:rFonts w:ascii="Times New Roman" w:hAnsi="宋体" w:cs="Times New Roman"/>
          <w:kern w:val="0"/>
          <w:szCs w:val="21"/>
        </w:rPr>
        <w:t>填写说明：</w:t>
      </w:r>
    </w:p>
    <w:p>
      <w:pPr>
        <w:widowControl/>
        <w:snapToGrid w:val="0"/>
        <w:rPr>
          <w:rFonts w:ascii="Times New Roman" w:hAnsi="Times New Roman" w:cs="Times New Roman"/>
          <w:kern w:val="0"/>
          <w:szCs w:val="21"/>
        </w:rPr>
      </w:pPr>
      <w:r>
        <w:rPr>
          <w:rFonts w:ascii="Times New Roman" w:hAnsi="Times New Roman" w:cs="Times New Roman"/>
          <w:kern w:val="0"/>
          <w:szCs w:val="21"/>
        </w:rPr>
        <w:t>1</w:t>
      </w:r>
      <w:r>
        <w:rPr>
          <w:rFonts w:ascii="Times New Roman" w:hAnsi="宋体" w:cs="Times New Roman"/>
          <w:kern w:val="0"/>
          <w:szCs w:val="21"/>
        </w:rPr>
        <w:t>、登记表编号由外汇局填写，规则为</w:t>
      </w:r>
      <w:r>
        <w:rPr>
          <w:rFonts w:ascii="Times New Roman" w:hAnsi="Times New Roman" w:cs="Times New Roman"/>
          <w:kern w:val="0"/>
          <w:szCs w:val="21"/>
        </w:rPr>
        <w:t>RSD+</w:t>
      </w:r>
      <w:r>
        <w:rPr>
          <w:rFonts w:ascii="Times New Roman" w:hAnsi="宋体" w:cs="Times New Roman"/>
          <w:kern w:val="0"/>
          <w:szCs w:val="21"/>
        </w:rPr>
        <w:t>六位地区代码</w:t>
      </w:r>
      <w:r>
        <w:rPr>
          <w:rFonts w:ascii="Times New Roman" w:hAnsi="Times New Roman" w:cs="Times New Roman"/>
          <w:kern w:val="0"/>
          <w:szCs w:val="21"/>
        </w:rPr>
        <w:t>+</w:t>
      </w:r>
      <w:r>
        <w:rPr>
          <w:rFonts w:ascii="Times New Roman" w:hAnsi="宋体" w:cs="Times New Roman"/>
          <w:kern w:val="0"/>
          <w:szCs w:val="21"/>
        </w:rPr>
        <w:t>四位年份代码</w:t>
      </w:r>
      <w:r>
        <w:rPr>
          <w:rFonts w:ascii="Times New Roman" w:hAnsi="Times New Roman" w:cs="Times New Roman"/>
          <w:kern w:val="0"/>
          <w:szCs w:val="21"/>
        </w:rPr>
        <w:t>+</w:t>
      </w:r>
      <w:r>
        <w:rPr>
          <w:rFonts w:ascii="Times New Roman" w:hAnsi="宋体" w:cs="Times New Roman"/>
          <w:kern w:val="0"/>
          <w:szCs w:val="21"/>
        </w:rPr>
        <w:t>四位顺序码。</w:t>
      </w:r>
    </w:p>
    <w:p>
      <w:pPr>
        <w:widowControl/>
        <w:snapToGrid w:val="0"/>
        <w:rPr>
          <w:rFonts w:ascii="Times New Roman" w:hAnsi="Times New Roman" w:cs="Times New Roman"/>
          <w:kern w:val="0"/>
          <w:szCs w:val="21"/>
        </w:rPr>
      </w:pPr>
      <w:r>
        <w:rPr>
          <w:rFonts w:ascii="Times New Roman" w:hAnsi="Times New Roman" w:cs="Times New Roman"/>
          <w:kern w:val="0"/>
          <w:szCs w:val="21"/>
        </w:rPr>
        <w:t>2</w:t>
      </w:r>
      <w:r>
        <w:rPr>
          <w:rFonts w:ascii="Times New Roman" w:hAnsi="宋体" w:cs="Times New Roman"/>
          <w:kern w:val="0"/>
          <w:szCs w:val="21"/>
        </w:rPr>
        <w:t>、登记表的内容由银行填写并加盖公章后提交外汇局。</w:t>
      </w:r>
    </w:p>
    <w:p>
      <w:pPr>
        <w:widowControl/>
        <w:snapToGrid w:val="0"/>
        <w:rPr>
          <w:rFonts w:ascii="Times New Roman" w:hAnsi="Times New Roman" w:cs="Times New Roman"/>
          <w:highlight w:val="cyan"/>
        </w:rPr>
      </w:pPr>
      <w:r>
        <w:rPr>
          <w:rFonts w:ascii="Times New Roman" w:hAnsi="Times New Roman" w:cs="Times New Roman"/>
          <w:kern w:val="0"/>
          <w:szCs w:val="21"/>
        </w:rPr>
        <w:t>3</w:t>
      </w:r>
      <w:r>
        <w:rPr>
          <w:rFonts w:ascii="Times New Roman" w:hAnsi="宋体" w:cs="Times New Roman"/>
          <w:kern w:val="0"/>
          <w:szCs w:val="21"/>
        </w:rPr>
        <w:t>、</w:t>
      </w:r>
      <w:r>
        <w:rPr>
          <w:rFonts w:ascii="Times New Roman" w:hAnsi="Times New Roman" w:cs="Times New Roman"/>
          <w:kern w:val="0"/>
          <w:szCs w:val="21"/>
        </w:rPr>
        <w:t>“</w:t>
      </w:r>
      <w:r>
        <w:rPr>
          <w:rFonts w:ascii="Times New Roman" w:hAnsi="宋体" w:cs="Times New Roman"/>
          <w:kern w:val="0"/>
          <w:szCs w:val="21"/>
        </w:rPr>
        <w:t>衍生业务资格批准文件文号及日期</w:t>
      </w:r>
      <w:r>
        <w:rPr>
          <w:rFonts w:ascii="Times New Roman" w:hAnsi="Times New Roman" w:cs="Times New Roman"/>
          <w:kern w:val="0"/>
          <w:szCs w:val="21"/>
        </w:rPr>
        <w:t>”</w:t>
      </w:r>
      <w:r>
        <w:rPr>
          <w:rFonts w:ascii="Times New Roman" w:hAnsi="宋体" w:cs="Times New Roman"/>
          <w:kern w:val="0"/>
          <w:szCs w:val="21"/>
        </w:rPr>
        <w:t>为银监部门批准银行从事衍生品业务的批准文件文号及日期。</w:t>
      </w: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jc w:val="center"/>
        <w:rPr>
          <w:rFonts w:ascii="Times New Roman" w:hAnsi="Times New Roman" w:eastAsia="黑体" w:cs="Times New Roman"/>
          <w:sz w:val="30"/>
          <w:szCs w:val="30"/>
        </w:rPr>
      </w:pPr>
      <w:r>
        <w:rPr>
          <w:rFonts w:ascii="Times New Roman" w:hAnsi="黑体" w:eastAsia="黑体" w:cs="Times New Roman"/>
          <w:sz w:val="30"/>
          <w:szCs w:val="30"/>
        </w:rPr>
        <w:t>商业银行人民币结构性存款业务外汇登记申请表</w:t>
      </w:r>
      <w:r>
        <w:rPr>
          <w:rFonts w:ascii="Times New Roman" w:hAnsi="Times New Roman" w:eastAsia="黑体" w:cs="Times New Roman"/>
          <w:sz w:val="30"/>
          <w:szCs w:val="30"/>
        </w:rPr>
        <w:t>(</w:t>
      </w:r>
      <w:r>
        <w:rPr>
          <w:rFonts w:ascii="Times New Roman" w:hAnsi="黑体" w:eastAsia="黑体" w:cs="Times New Roman"/>
          <w:sz w:val="30"/>
          <w:szCs w:val="30"/>
        </w:rPr>
        <w:t>错误示例</w:t>
      </w:r>
      <w:r>
        <w:rPr>
          <w:rFonts w:ascii="Times New Roman" w:hAnsi="Times New Roman" w:eastAsia="黑体" w:cs="Times New Roman"/>
          <w:sz w:val="30"/>
          <w:szCs w:val="30"/>
        </w:rPr>
        <w:t>)</w:t>
      </w:r>
    </w:p>
    <w:tbl>
      <w:tblPr>
        <w:tblStyle w:val="17"/>
        <w:tblW w:w="8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0"/>
        <w:gridCol w:w="1672"/>
        <w:gridCol w:w="992"/>
        <w:gridCol w:w="567"/>
        <w:gridCol w:w="1276"/>
        <w:gridCol w:w="851"/>
        <w:gridCol w:w="1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nil"/>
              <w:left w:val="nil"/>
              <w:bottom w:val="nil"/>
              <w:right w:val="nil"/>
            </w:tcBorders>
            <w:vAlign w:val="center"/>
          </w:tcPr>
          <w:p>
            <w:pPr>
              <w:widowControl/>
              <w:rPr>
                <w:rFonts w:ascii="Times New Roman" w:hAnsi="Times New Roman" w:cs="Times New Roman"/>
                <w:kern w:val="0"/>
                <w:sz w:val="24"/>
              </w:rPr>
            </w:pPr>
            <w:r>
              <w:rPr>
                <w:rFonts w:ascii="Times New Roman" w:hAnsi="宋体" w:cs="Times New Roman"/>
                <w:kern w:val="0"/>
                <w:sz w:val="24"/>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top"/>
          </w:tcPr>
          <w:p>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rect id="矩形 4" o:spid="_x0000_s1060" style="position:absolute;left:0;margin-left:-85.45pt;margin-top:36.7pt;height:91.5pt;width:59.3pt;rotation:0f;z-index:251660288;" o:ole="f" fillcolor="#FFFFFF" filled="t" o:preferrelative="t" stroked="t" coordsize="21600,21600">
                  <v:stroke color="#C00000" color2="#FFFFFF" miterlimit="2"/>
                  <v:imagedata gain="65536f" blacklevel="0f" gamma="0"/>
                  <o:lock v:ext="edit" position="f" selection="f" grouping="f" rotation="f" cropping="f" text="f" aspectratio="f"/>
                </v:rect>
              </w:pict>
            </w:r>
            <w:r>
              <w:rPr>
                <w:rFonts w:ascii="Times New Roman" w:hAnsi="Times New Roman" w:eastAsia="宋体" w:cs="Times New Roman"/>
                <w:kern w:val="0"/>
                <w:sz w:val="24"/>
                <w:szCs w:val="22"/>
                <w:lang w:val="en-US" w:eastAsia="zh-CN" w:bidi="ar-SA"/>
              </w:rPr>
              <w:pict>
                <v:shape id="椭圆 3" o:spid="_x0000_s1061" type="#_x0000_t3" style="position:absolute;left:0;margin-left:71.3pt;margin-top:50.2pt;height:25.5pt;width:62.25pt;rotation:0f;z-index:251659264;"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Times New Roman" w:eastAsia="宋体" w:cs="Times New Roman"/>
                <w:kern w:val="0"/>
                <w:sz w:val="24"/>
                <w:szCs w:val="22"/>
                <w:lang w:val="en-US" w:eastAsia="zh-CN" w:bidi="ar-SA"/>
              </w:rPr>
              <w:pict>
                <v:shape id="直接箭头连接符 2" o:spid="_x0000_s1062" type="#_x0000_t32" style="position:absolute;left:0;flip:x;margin-left:-26.2pt;margin-top:63.7pt;height:12pt;width:97.5pt;rotation:0f;z-index:251661312;"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宋体" w:cs="Times New Roman"/>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代码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文本框 1" o:spid="_x0000_s1063" type="#_x0000_t202" style="position:absolute;left:0;margin-left:-73.85pt;margin-top:-1.45pt;height:71.25pt;width:42.15pt;rotation:0f;z-index:251662336;" o:ole="f" fillcolor="#BBD5F0" filled="f" o:preferrelative="t" stroked="f" coordorigin="0,0" coordsize="21600,21600">
                  <v:fill type="gradient" on="f" color2="#9CBEE0" focus="100%" focussize="0f,0f" focusposition="0f,0f"/>
                  <v:imagedata gain="65536f" blacklevel="0f" gamma="0"/>
                  <o:lock v:ext="edit" position="f" selection="f" grouping="f" rotation="f" cropping="f" text="f" aspectratio="f"/>
                  <v:textbox>
                    <w:txbxContent>
                      <w:p>
                        <w:pPr>
                          <w:rPr>
                            <w:sz w:val="24"/>
                          </w:rPr>
                        </w:pPr>
                        <w:r>
                          <w:rPr>
                            <w:rFonts w:hint="eastAsia"/>
                            <w:sz w:val="24"/>
                          </w:rPr>
                          <w:t>地址填写不清楚</w:t>
                        </w:r>
                      </w:p>
                    </w:txbxContent>
                  </v:textbox>
                </v:shape>
              </w:pict>
            </w:r>
            <w:r>
              <w:rPr>
                <w:rFonts w:ascii="Times New Roman" w:hAnsi="宋体" w:cs="Times New Roman"/>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r>
              <w:rPr>
                <w:rFonts w:ascii="Times New Roman" w:hAnsi="Times New Roman" w:cs="Times New Roman"/>
                <w:kern w:val="0"/>
                <w:sz w:val="24"/>
              </w:rPr>
              <w:t xml:space="preserve">      </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w:t>
            </w:r>
            <w:r>
              <w:rPr>
                <w:rFonts w:ascii="Times New Roman" w:hAnsi="Times New Roman" w:cs="Times New Roman"/>
                <w:kern w:val="0"/>
                <w:sz w:val="24"/>
              </w:rPr>
              <w:t xml:space="preserve">         </w:t>
            </w:r>
            <w:r>
              <w:rPr>
                <w:rFonts w:ascii="Times New Roman" w:hAnsi="宋体" w:cs="Times New Roman"/>
                <w:kern w:val="0"/>
                <w:sz w:val="24"/>
              </w:rPr>
              <w:t>最长期限：</w:t>
            </w:r>
            <w:r>
              <w:rPr>
                <w:rFonts w:ascii="Times New Roman" w:hAnsi="Times New Roman" w:cs="Times New Roman"/>
                <w:kern w:val="0"/>
                <w:sz w:val="24"/>
              </w:rPr>
              <w:t xml:space="preserve">          </w:t>
            </w:r>
            <w:r>
              <w:rPr>
                <w:rFonts w:ascii="Times New Roman" w:hAnsi="宋体" w:cs="Times New Roman"/>
                <w:kern w:val="0"/>
                <w:sz w:val="24"/>
              </w:rPr>
              <w:t>主要产品平均期限：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pPr>
        <w:jc w:val="righ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（外汇局业务印章）</w:t>
      </w:r>
    </w:p>
    <w:p>
      <w:pPr>
        <w:rPr>
          <w:rFonts w:ascii="Times New Roman" w:hAnsi="Times New Roman" w:cs="Times New Roman"/>
          <w:kern w:val="0"/>
          <w:sz w:val="30"/>
          <w:szCs w:val="30"/>
        </w:rPr>
      </w:pPr>
      <w:r>
        <w:rPr>
          <w:rFonts w:ascii="Times New Roman" w:hAnsi="Times New Roman" w:cs="Times New Roman"/>
          <w:kern w:val="0"/>
          <w:sz w:val="24"/>
        </w:rPr>
        <w:t xml:space="preserve">                                                         </w:t>
      </w:r>
      <w:r>
        <w:rPr>
          <w:rFonts w:ascii="Times New Roman" w:hAnsi="宋体" w:cs="Times New Roman"/>
          <w:kern w:val="0"/>
          <w:sz w:val="24"/>
        </w:rPr>
        <w:t>年</w:t>
      </w:r>
      <w:r>
        <w:rPr>
          <w:rFonts w:ascii="Times New Roman" w:hAnsi="Times New Roman" w:cs="Times New Roman"/>
          <w:kern w:val="0"/>
          <w:sz w:val="24"/>
        </w:rPr>
        <w:t xml:space="preserve">   </w:t>
      </w:r>
      <w:r>
        <w:rPr>
          <w:rFonts w:ascii="Times New Roman" w:hAnsi="宋体" w:cs="Times New Roman"/>
          <w:kern w:val="0"/>
          <w:sz w:val="24"/>
        </w:rPr>
        <w:t>月</w:t>
      </w:r>
      <w:r>
        <w:rPr>
          <w:rFonts w:ascii="Times New Roman" w:hAnsi="Times New Roman" w:cs="Times New Roman"/>
          <w:kern w:val="0"/>
          <w:sz w:val="24"/>
        </w:rPr>
        <w:t xml:space="preserve">   </w:t>
      </w:r>
      <w:r>
        <w:rPr>
          <w:rFonts w:ascii="Times New Roman" w:hAnsi="宋体" w:cs="Times New Roman"/>
          <w:kern w:val="0"/>
          <w:sz w:val="24"/>
        </w:rPr>
        <w:t>日</w:t>
      </w:r>
    </w:p>
    <w:p>
      <w:pPr>
        <w:widowControl/>
        <w:snapToGrid w:val="0"/>
        <w:rPr>
          <w:rFonts w:ascii="Times New Roman" w:hAnsi="Times New Roman" w:cs="Times New Roman"/>
          <w:kern w:val="0"/>
          <w:sz w:val="24"/>
        </w:rPr>
      </w:pPr>
      <w:r>
        <w:rPr>
          <w:rFonts w:ascii="Times New Roman" w:hAnsi="宋体" w:cs="Times New Roman"/>
          <w:kern w:val="0"/>
          <w:sz w:val="24"/>
        </w:rPr>
        <w:t>填写说明：</w:t>
      </w:r>
    </w:p>
    <w:p>
      <w:pPr>
        <w:widowControl/>
        <w:snapToGrid w:val="0"/>
        <w:rPr>
          <w:rFonts w:ascii="Times New Roman" w:hAnsi="Times New Roman" w:cs="Times New Roman"/>
          <w:kern w:val="0"/>
          <w:sz w:val="24"/>
        </w:rPr>
      </w:pPr>
      <w:r>
        <w:rPr>
          <w:rFonts w:ascii="Times New Roman" w:hAnsi="Times New Roman" w:cs="Times New Roman"/>
          <w:kern w:val="0"/>
          <w:sz w:val="24"/>
        </w:rPr>
        <w:t>1</w:t>
      </w:r>
      <w:r>
        <w:rPr>
          <w:rFonts w:ascii="Times New Roman" w:hAnsi="宋体" w:cs="Times New Roman"/>
          <w:kern w:val="0"/>
          <w:sz w:val="24"/>
        </w:rPr>
        <w:t>、登记表编号由外汇局填写，规则为</w:t>
      </w:r>
      <w:r>
        <w:rPr>
          <w:rFonts w:ascii="Times New Roman" w:hAnsi="Times New Roman" w:cs="Times New Roman"/>
          <w:kern w:val="0"/>
          <w:sz w:val="24"/>
        </w:rPr>
        <w:t>RSD+</w:t>
      </w:r>
      <w:r>
        <w:rPr>
          <w:rFonts w:ascii="Times New Roman" w:hAnsi="宋体" w:cs="Times New Roman"/>
          <w:kern w:val="0"/>
          <w:sz w:val="24"/>
        </w:rPr>
        <w:t>六位地区代码</w:t>
      </w:r>
      <w:r>
        <w:rPr>
          <w:rFonts w:ascii="Times New Roman" w:hAnsi="Times New Roman" w:cs="Times New Roman"/>
          <w:kern w:val="0"/>
          <w:sz w:val="24"/>
        </w:rPr>
        <w:t>+</w:t>
      </w:r>
      <w:r>
        <w:rPr>
          <w:rFonts w:ascii="Times New Roman" w:hAnsi="宋体" w:cs="Times New Roman"/>
          <w:kern w:val="0"/>
          <w:sz w:val="24"/>
        </w:rPr>
        <w:t>四位年份代码</w:t>
      </w:r>
      <w:r>
        <w:rPr>
          <w:rFonts w:ascii="Times New Roman" w:hAnsi="Times New Roman" w:cs="Times New Roman"/>
          <w:kern w:val="0"/>
          <w:sz w:val="24"/>
        </w:rPr>
        <w:t>+</w:t>
      </w:r>
      <w:r>
        <w:rPr>
          <w:rFonts w:ascii="Times New Roman" w:hAnsi="宋体" w:cs="Times New Roman"/>
          <w:kern w:val="0"/>
          <w:sz w:val="24"/>
        </w:rPr>
        <w:t>四位顺序码。</w:t>
      </w:r>
    </w:p>
    <w:p>
      <w:pPr>
        <w:widowControl/>
        <w:snapToGrid w:val="0"/>
        <w:rPr>
          <w:rFonts w:ascii="Times New Roman" w:hAnsi="Times New Roman" w:cs="Times New Roman"/>
          <w:kern w:val="0"/>
          <w:sz w:val="24"/>
        </w:rPr>
      </w:pPr>
      <w:r>
        <w:rPr>
          <w:rFonts w:ascii="Times New Roman" w:hAnsi="Times New Roman" w:cs="Times New Roman"/>
          <w:kern w:val="0"/>
          <w:sz w:val="24"/>
        </w:rPr>
        <w:t>2</w:t>
      </w:r>
      <w:r>
        <w:rPr>
          <w:rFonts w:ascii="Times New Roman" w:hAnsi="宋体" w:cs="Times New Roman"/>
          <w:kern w:val="0"/>
          <w:sz w:val="24"/>
        </w:rPr>
        <w:t>、登记表的内容由银行填写并加盖公章后提交外汇局。</w:t>
      </w:r>
    </w:p>
    <w:p>
      <w:pPr>
        <w:widowControl/>
        <w:snapToGrid w:val="0"/>
        <w:rPr>
          <w:rFonts w:ascii="Times New Roman" w:hAnsi="Times New Roman" w:cs="Times New Roman"/>
          <w:kern w:val="0"/>
          <w:sz w:val="24"/>
        </w:rPr>
      </w:pPr>
      <w:r>
        <w:rPr>
          <w:rFonts w:ascii="Times New Roman" w:hAnsi="Times New Roman" w:cs="Times New Roman"/>
          <w:kern w:val="0"/>
          <w:sz w:val="24"/>
        </w:rPr>
        <w:t>3</w:t>
      </w:r>
      <w:r>
        <w:rPr>
          <w:rFonts w:ascii="Times New Roman" w:hAnsi="宋体" w:cs="Times New Roman"/>
          <w:kern w:val="0"/>
          <w:sz w:val="24"/>
        </w:rPr>
        <w:t>、</w:t>
      </w:r>
      <w:r>
        <w:rPr>
          <w:rFonts w:ascii="Times New Roman" w:hAnsi="Times New Roman" w:cs="Times New Roman"/>
          <w:kern w:val="0"/>
          <w:sz w:val="24"/>
        </w:rPr>
        <w:t>“</w:t>
      </w:r>
      <w:r>
        <w:rPr>
          <w:rFonts w:ascii="Times New Roman" w:hAnsi="宋体" w:cs="Times New Roman"/>
          <w:kern w:val="0"/>
          <w:sz w:val="24"/>
        </w:rPr>
        <w:t>衍生业务资格批准文件文号及日期</w:t>
      </w:r>
      <w:r>
        <w:rPr>
          <w:rFonts w:ascii="Times New Roman" w:hAnsi="Times New Roman" w:cs="Times New Roman"/>
          <w:kern w:val="0"/>
          <w:sz w:val="24"/>
        </w:rPr>
        <w:t>”</w:t>
      </w:r>
      <w:r>
        <w:rPr>
          <w:rFonts w:ascii="Times New Roman" w:hAnsi="宋体" w:cs="Times New Roman"/>
          <w:kern w:val="0"/>
          <w:sz w:val="24"/>
        </w:rPr>
        <w:t>为银监部门批准银行从事衍生品业务的批准文件文号及日期。</w:t>
      </w: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widowControl/>
        <w:jc w:val="center"/>
        <w:rPr>
          <w:rFonts w:ascii="Times New Roman" w:hAnsi="黑体" w:eastAsia="黑体" w:cs="Times New Roman"/>
          <w:sz w:val="30"/>
          <w:szCs w:val="30"/>
        </w:rPr>
      </w:pPr>
    </w:p>
    <w:p>
      <w:pPr>
        <w:widowControl/>
        <w:jc w:val="center"/>
        <w:rPr>
          <w:rFonts w:ascii="Times New Roman" w:hAnsi="黑体" w:eastAsia="黑体" w:cs="Times New Roman"/>
          <w:sz w:val="30"/>
          <w:szCs w:val="30"/>
        </w:rPr>
      </w:pPr>
      <w:r>
        <w:rPr>
          <w:rFonts w:ascii="Times New Roman" w:hAnsi="黑体" w:eastAsia="黑体" w:cs="Times New Roman"/>
          <w:sz w:val="30"/>
          <w:szCs w:val="30"/>
        </w:rPr>
        <w:t>常见问题</w:t>
      </w:r>
    </w:p>
    <w:p>
      <w:pPr>
        <w:widowControl/>
        <w:jc w:val="center"/>
        <w:rPr>
          <w:rFonts w:ascii="Times New Roman" w:hAnsi="Times New Roman" w:eastAsia="黑体" w:cs="Times New Roman"/>
          <w:sz w:val="30"/>
          <w:szCs w:val="30"/>
        </w:rPr>
      </w:pPr>
    </w:p>
    <w:p>
      <w:pPr>
        <w:pStyle w:val="24"/>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问：银行以资金管理人身份吸收人民币结构性存款的，应在首次开办业务前多少个工作日到外汇局办理登记？</w:t>
      </w:r>
    </w:p>
    <w:p>
      <w:pPr>
        <w:ind w:firstLine="600" w:firstLineChars="200"/>
        <w:rPr>
          <w:rFonts w:ascii="Times New Roman" w:hAnsi="Times New Roman" w:eastAsia="华文仿宋" w:cs="Times New Roman"/>
        </w:rPr>
      </w:pPr>
      <w:r>
        <w:rPr>
          <w:rFonts w:ascii="Times New Roman" w:hAnsi="Times New Roman" w:eastAsia="仿宋_GB2312" w:cs="Times New Roman"/>
          <w:bCs/>
          <w:kern w:val="0"/>
          <w:sz w:val="30"/>
          <w:szCs w:val="30"/>
        </w:rPr>
        <w:t>答：银行以资金管理人身份吸收人民币结构性存款的，应在首次开办业务前15个工作日内到外汇局办理登记。</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9</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577E"/>
    <w:rsid w:val="00041960"/>
    <w:rsid w:val="00042B58"/>
    <w:rsid w:val="00054B00"/>
    <w:rsid w:val="00055270"/>
    <w:rsid w:val="00055C5C"/>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67E"/>
    <w:rsid w:val="0012271F"/>
    <w:rsid w:val="00130519"/>
    <w:rsid w:val="00135BEE"/>
    <w:rsid w:val="0014667A"/>
    <w:rsid w:val="00154B58"/>
    <w:rsid w:val="00157C64"/>
    <w:rsid w:val="00157E81"/>
    <w:rsid w:val="00170126"/>
    <w:rsid w:val="00177059"/>
    <w:rsid w:val="00181D3E"/>
    <w:rsid w:val="0018730B"/>
    <w:rsid w:val="00196FAE"/>
    <w:rsid w:val="001A3E49"/>
    <w:rsid w:val="001A72AA"/>
    <w:rsid w:val="001B1E2C"/>
    <w:rsid w:val="001C44C7"/>
    <w:rsid w:val="001C5F87"/>
    <w:rsid w:val="001C6298"/>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72327"/>
    <w:rsid w:val="00291C17"/>
    <w:rsid w:val="0029313A"/>
    <w:rsid w:val="002A654A"/>
    <w:rsid w:val="002B0B1C"/>
    <w:rsid w:val="002B598D"/>
    <w:rsid w:val="002B61C1"/>
    <w:rsid w:val="002E1323"/>
    <w:rsid w:val="002E4F44"/>
    <w:rsid w:val="002F3868"/>
    <w:rsid w:val="00302119"/>
    <w:rsid w:val="00302E87"/>
    <w:rsid w:val="00310261"/>
    <w:rsid w:val="00343044"/>
    <w:rsid w:val="003444EC"/>
    <w:rsid w:val="00344B01"/>
    <w:rsid w:val="00353AC4"/>
    <w:rsid w:val="0035768F"/>
    <w:rsid w:val="003616B4"/>
    <w:rsid w:val="00385E73"/>
    <w:rsid w:val="003A57B2"/>
    <w:rsid w:val="003C7132"/>
    <w:rsid w:val="003D77A5"/>
    <w:rsid w:val="003E627D"/>
    <w:rsid w:val="003E6BF6"/>
    <w:rsid w:val="003F221D"/>
    <w:rsid w:val="003F3097"/>
    <w:rsid w:val="003F6BFA"/>
    <w:rsid w:val="003F761E"/>
    <w:rsid w:val="00402AE8"/>
    <w:rsid w:val="00405FE6"/>
    <w:rsid w:val="004105BC"/>
    <w:rsid w:val="004204D5"/>
    <w:rsid w:val="00421C27"/>
    <w:rsid w:val="004245D7"/>
    <w:rsid w:val="00426B97"/>
    <w:rsid w:val="00440A1F"/>
    <w:rsid w:val="00443603"/>
    <w:rsid w:val="00443604"/>
    <w:rsid w:val="004501EA"/>
    <w:rsid w:val="00460436"/>
    <w:rsid w:val="00460458"/>
    <w:rsid w:val="0046792D"/>
    <w:rsid w:val="004713B8"/>
    <w:rsid w:val="00475373"/>
    <w:rsid w:val="004767DF"/>
    <w:rsid w:val="00476DD2"/>
    <w:rsid w:val="00493CCC"/>
    <w:rsid w:val="004A0218"/>
    <w:rsid w:val="004A7840"/>
    <w:rsid w:val="004B45CC"/>
    <w:rsid w:val="004B545A"/>
    <w:rsid w:val="004B7E80"/>
    <w:rsid w:val="004C39E6"/>
    <w:rsid w:val="004C457E"/>
    <w:rsid w:val="004C48D5"/>
    <w:rsid w:val="004D03B7"/>
    <w:rsid w:val="004D1436"/>
    <w:rsid w:val="004D57AE"/>
    <w:rsid w:val="005056D4"/>
    <w:rsid w:val="00526B2B"/>
    <w:rsid w:val="005362B0"/>
    <w:rsid w:val="00542447"/>
    <w:rsid w:val="0055209B"/>
    <w:rsid w:val="0055392E"/>
    <w:rsid w:val="00557FD0"/>
    <w:rsid w:val="00564312"/>
    <w:rsid w:val="00587270"/>
    <w:rsid w:val="0059362C"/>
    <w:rsid w:val="005A177F"/>
    <w:rsid w:val="005A2981"/>
    <w:rsid w:val="005A399B"/>
    <w:rsid w:val="005C6937"/>
    <w:rsid w:val="005C7F02"/>
    <w:rsid w:val="005E17B6"/>
    <w:rsid w:val="005E2F8D"/>
    <w:rsid w:val="005F0A86"/>
    <w:rsid w:val="005F144A"/>
    <w:rsid w:val="005F1C00"/>
    <w:rsid w:val="00610F90"/>
    <w:rsid w:val="006126C1"/>
    <w:rsid w:val="0061621E"/>
    <w:rsid w:val="00630AA8"/>
    <w:rsid w:val="00630B2E"/>
    <w:rsid w:val="00643D2A"/>
    <w:rsid w:val="00664E11"/>
    <w:rsid w:val="00673B30"/>
    <w:rsid w:val="00683462"/>
    <w:rsid w:val="00696E5D"/>
    <w:rsid w:val="006B2586"/>
    <w:rsid w:val="006B5B86"/>
    <w:rsid w:val="006C5908"/>
    <w:rsid w:val="006C633E"/>
    <w:rsid w:val="006D734F"/>
    <w:rsid w:val="006E043F"/>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5F45"/>
    <w:rsid w:val="00794A6B"/>
    <w:rsid w:val="007A2780"/>
    <w:rsid w:val="007A68EA"/>
    <w:rsid w:val="007B06FC"/>
    <w:rsid w:val="007B0FEF"/>
    <w:rsid w:val="007B2DB5"/>
    <w:rsid w:val="007D2C11"/>
    <w:rsid w:val="007D6171"/>
    <w:rsid w:val="007D69EA"/>
    <w:rsid w:val="007E2C7B"/>
    <w:rsid w:val="007E411B"/>
    <w:rsid w:val="007F0863"/>
    <w:rsid w:val="007F2F3B"/>
    <w:rsid w:val="007F3138"/>
    <w:rsid w:val="00802307"/>
    <w:rsid w:val="00805C6A"/>
    <w:rsid w:val="0082168E"/>
    <w:rsid w:val="00821968"/>
    <w:rsid w:val="008471B6"/>
    <w:rsid w:val="00851521"/>
    <w:rsid w:val="0085686A"/>
    <w:rsid w:val="00860878"/>
    <w:rsid w:val="008731FF"/>
    <w:rsid w:val="00876D26"/>
    <w:rsid w:val="0088294A"/>
    <w:rsid w:val="0089282A"/>
    <w:rsid w:val="008A4538"/>
    <w:rsid w:val="008A704B"/>
    <w:rsid w:val="008B08D2"/>
    <w:rsid w:val="008B4EE5"/>
    <w:rsid w:val="008B5807"/>
    <w:rsid w:val="008D5FA0"/>
    <w:rsid w:val="008E2D38"/>
    <w:rsid w:val="008F5724"/>
    <w:rsid w:val="00902633"/>
    <w:rsid w:val="009027D8"/>
    <w:rsid w:val="0090372F"/>
    <w:rsid w:val="00904365"/>
    <w:rsid w:val="00911E27"/>
    <w:rsid w:val="00913EA6"/>
    <w:rsid w:val="0092129A"/>
    <w:rsid w:val="00925BB2"/>
    <w:rsid w:val="00930C8C"/>
    <w:rsid w:val="00933798"/>
    <w:rsid w:val="0093485D"/>
    <w:rsid w:val="0093562D"/>
    <w:rsid w:val="009360EA"/>
    <w:rsid w:val="00943B6D"/>
    <w:rsid w:val="00944AD7"/>
    <w:rsid w:val="0094694C"/>
    <w:rsid w:val="00947C57"/>
    <w:rsid w:val="00951149"/>
    <w:rsid w:val="00960EDB"/>
    <w:rsid w:val="009622DB"/>
    <w:rsid w:val="00964B7F"/>
    <w:rsid w:val="009664BC"/>
    <w:rsid w:val="00980F02"/>
    <w:rsid w:val="00991B77"/>
    <w:rsid w:val="00997523"/>
    <w:rsid w:val="009A0C5D"/>
    <w:rsid w:val="009C4672"/>
    <w:rsid w:val="009C491B"/>
    <w:rsid w:val="009D0911"/>
    <w:rsid w:val="009D24F8"/>
    <w:rsid w:val="009D688C"/>
    <w:rsid w:val="009F7A36"/>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A7717"/>
    <w:rsid w:val="00AB131E"/>
    <w:rsid w:val="00AB142C"/>
    <w:rsid w:val="00AB644F"/>
    <w:rsid w:val="00AC3F5E"/>
    <w:rsid w:val="00AD114B"/>
    <w:rsid w:val="00AE416D"/>
    <w:rsid w:val="00AE7ACF"/>
    <w:rsid w:val="00B06409"/>
    <w:rsid w:val="00B17D66"/>
    <w:rsid w:val="00B35D3A"/>
    <w:rsid w:val="00B40A6C"/>
    <w:rsid w:val="00B422F1"/>
    <w:rsid w:val="00B71531"/>
    <w:rsid w:val="00B730D9"/>
    <w:rsid w:val="00B7456C"/>
    <w:rsid w:val="00B84131"/>
    <w:rsid w:val="00B8630E"/>
    <w:rsid w:val="00B931F4"/>
    <w:rsid w:val="00B95573"/>
    <w:rsid w:val="00B96395"/>
    <w:rsid w:val="00BA2AF8"/>
    <w:rsid w:val="00BB2650"/>
    <w:rsid w:val="00BB48C2"/>
    <w:rsid w:val="00BB5BDC"/>
    <w:rsid w:val="00BB7B76"/>
    <w:rsid w:val="00BC2656"/>
    <w:rsid w:val="00BD233D"/>
    <w:rsid w:val="00BD2A77"/>
    <w:rsid w:val="00BF039C"/>
    <w:rsid w:val="00BF4EF0"/>
    <w:rsid w:val="00C02E44"/>
    <w:rsid w:val="00C054EE"/>
    <w:rsid w:val="00C147D2"/>
    <w:rsid w:val="00C2075F"/>
    <w:rsid w:val="00C23799"/>
    <w:rsid w:val="00C274C9"/>
    <w:rsid w:val="00C31E02"/>
    <w:rsid w:val="00C54291"/>
    <w:rsid w:val="00C672C3"/>
    <w:rsid w:val="00C712B2"/>
    <w:rsid w:val="00C86E41"/>
    <w:rsid w:val="00C97FED"/>
    <w:rsid w:val="00CA1DBB"/>
    <w:rsid w:val="00CA2622"/>
    <w:rsid w:val="00CA7C0C"/>
    <w:rsid w:val="00CA7F2C"/>
    <w:rsid w:val="00CA7FF8"/>
    <w:rsid w:val="00CB5DE7"/>
    <w:rsid w:val="00CC068D"/>
    <w:rsid w:val="00CC20FD"/>
    <w:rsid w:val="00CC4922"/>
    <w:rsid w:val="00CD1FF6"/>
    <w:rsid w:val="00CD2EF8"/>
    <w:rsid w:val="00CE25C7"/>
    <w:rsid w:val="00CE3335"/>
    <w:rsid w:val="00CE4849"/>
    <w:rsid w:val="00CE5C8E"/>
    <w:rsid w:val="00CE5F49"/>
    <w:rsid w:val="00D01626"/>
    <w:rsid w:val="00D04E1B"/>
    <w:rsid w:val="00D17A44"/>
    <w:rsid w:val="00D33A4D"/>
    <w:rsid w:val="00D33F76"/>
    <w:rsid w:val="00D41F5E"/>
    <w:rsid w:val="00D43DC0"/>
    <w:rsid w:val="00D47D32"/>
    <w:rsid w:val="00D54E56"/>
    <w:rsid w:val="00D6407D"/>
    <w:rsid w:val="00D67CAC"/>
    <w:rsid w:val="00D93E78"/>
    <w:rsid w:val="00DB304F"/>
    <w:rsid w:val="00DB4F92"/>
    <w:rsid w:val="00DC6E91"/>
    <w:rsid w:val="00DC700C"/>
    <w:rsid w:val="00DC7514"/>
    <w:rsid w:val="00DD3845"/>
    <w:rsid w:val="00DF32AC"/>
    <w:rsid w:val="00DF65A3"/>
    <w:rsid w:val="00E002F1"/>
    <w:rsid w:val="00E1687A"/>
    <w:rsid w:val="00E20A2E"/>
    <w:rsid w:val="00E277DE"/>
    <w:rsid w:val="00E27EE9"/>
    <w:rsid w:val="00E3239D"/>
    <w:rsid w:val="00E3439B"/>
    <w:rsid w:val="00E42C5F"/>
    <w:rsid w:val="00E50D1A"/>
    <w:rsid w:val="00E53418"/>
    <w:rsid w:val="00E65A1B"/>
    <w:rsid w:val="00E72F1F"/>
    <w:rsid w:val="00E934AB"/>
    <w:rsid w:val="00EA06AC"/>
    <w:rsid w:val="00EA08BF"/>
    <w:rsid w:val="00EA24FB"/>
    <w:rsid w:val="00EA3345"/>
    <w:rsid w:val="00EB3204"/>
    <w:rsid w:val="00EB50BA"/>
    <w:rsid w:val="00EC3D33"/>
    <w:rsid w:val="00ED302A"/>
    <w:rsid w:val="00ED3A42"/>
    <w:rsid w:val="00EE02BC"/>
    <w:rsid w:val="00EE6970"/>
    <w:rsid w:val="00EF38D0"/>
    <w:rsid w:val="00EF3DDF"/>
    <w:rsid w:val="00EF4A8C"/>
    <w:rsid w:val="00F003D1"/>
    <w:rsid w:val="00F17C1C"/>
    <w:rsid w:val="00F23FBB"/>
    <w:rsid w:val="00F2678C"/>
    <w:rsid w:val="00F27B38"/>
    <w:rsid w:val="00F40278"/>
    <w:rsid w:val="00F41832"/>
    <w:rsid w:val="00F41ABD"/>
    <w:rsid w:val="00F426D0"/>
    <w:rsid w:val="00F45AC2"/>
    <w:rsid w:val="00F56988"/>
    <w:rsid w:val="00F620FB"/>
    <w:rsid w:val="00F6571F"/>
    <w:rsid w:val="00F75451"/>
    <w:rsid w:val="00F8255C"/>
    <w:rsid w:val="00F8687E"/>
    <w:rsid w:val="00F90E20"/>
    <w:rsid w:val="00F93331"/>
    <w:rsid w:val="00F95549"/>
    <w:rsid w:val="00FA04A8"/>
    <w:rsid w:val="00FA1E24"/>
    <w:rsid w:val="00FA24FB"/>
    <w:rsid w:val="00FA632B"/>
    <w:rsid w:val="00FB38EA"/>
    <w:rsid w:val="00FB5E0F"/>
    <w:rsid w:val="00FB6AFF"/>
    <w:rsid w:val="00FC4D8F"/>
    <w:rsid w:val="00FC6A5C"/>
    <w:rsid w:val="00FD06D3"/>
    <w:rsid w:val="00FD7B59"/>
    <w:rsid w:val="00FE3157"/>
    <w:rsid w:val="00FE6865"/>
    <w:rsid w:val="00FE6993"/>
    <w:rsid w:val="00FF4448"/>
    <w:rsid w:val="07CA39EC"/>
    <w:rsid w:val="08122010"/>
    <w:rsid w:val="0CC302C1"/>
    <w:rsid w:val="137F750D"/>
    <w:rsid w:val="1C8A38A7"/>
    <w:rsid w:val="22D75AF5"/>
    <w:rsid w:val="2520427A"/>
    <w:rsid w:val="2FBC5B4F"/>
    <w:rsid w:val="3B017029"/>
    <w:rsid w:val="470D44D0"/>
    <w:rsid w:val="48251A2E"/>
    <w:rsid w:val="62CF1955"/>
    <w:rsid w:val="6E6404AB"/>
    <w:rsid w:val="7C8409EE"/>
    <w:rsid w:val="7F2464A6"/>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
        <o:r id="V:Rule2" type="connector" idref="#AutoShape 7"/>
        <o:r id="V:Rule3" type="connector" idref="#AutoShape 8"/>
        <o:r id="V:Rule4" type="connector" idref="#AutoShape 9"/>
        <o:r id="V:Rule5" type="connector" idref="#AutoShape 10"/>
        <o:r id="V:Rule6" type="connector" idref="#AutoShape 12"/>
        <o:r id="V:Rule7" type="connector" idref="#AutoShape 14"/>
        <o:r id="V:Rule8" type="connector" idref="#AutoShape 16"/>
        <o:r id="V:Rule9" type="connector" idref="#AutoShape 23"/>
        <o:r id="V:Rule10" type="connector" idref="#AutoShape 24"/>
        <o:r id="V:Rule11" type="connector" idref="#AutoShape 26"/>
        <o:r id="V:Rule12" type="connector" idref="#AutoShape 27"/>
        <o:r id="V:Rule13" type="connector" idref="#AutoShape 30"/>
        <o:r id="V:Rule14" type="connector" idref="#AutoShape 31"/>
        <o:r id="V:Rule15" type="connector" idref="#AutoShape 32"/>
        <o:r id="V:Rule16" type="connector" idref="#AutoShape 35"/>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qFormat/>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qFormat/>
    <w:uiPriority w:val="0"/>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qFormat/>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qFormat/>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qFormat/>
    <w:uiPriority w:val="99"/>
    <w:rPr>
      <w:sz w:val="18"/>
      <w:szCs w:val="18"/>
    </w:rPr>
  </w:style>
  <w:style w:type="character" w:customStyle="1" w:styleId="28">
    <w:name w:val="页脚 Char"/>
    <w:basedOn w:val="13"/>
    <w:link w:val="8"/>
    <w:qFormat/>
    <w:uiPriority w:val="99"/>
    <w:rPr>
      <w:sz w:val="18"/>
      <w:szCs w:val="18"/>
    </w:rPr>
  </w:style>
  <w:style w:type="character" w:customStyle="1" w:styleId="29">
    <w:name w:val="批注框文本 Char"/>
    <w:basedOn w:val="13"/>
    <w:link w:val="7"/>
    <w:semiHidden/>
    <w:qFormat/>
    <w:uiPriority w:val="0"/>
    <w:rPr>
      <w:sz w:val="18"/>
      <w:szCs w:val="18"/>
    </w:rPr>
  </w:style>
  <w:style w:type="character" w:customStyle="1" w:styleId="30">
    <w:name w:val="HTML 预设格式 Char"/>
    <w:basedOn w:val="13"/>
    <w:link w:val="11"/>
    <w:qFormat/>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424</Words>
  <Characters>2417</Characters>
  <Lines>20</Lines>
  <Paragraphs>5</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2020-02-26T08:14:00Z</dcterms:created>
  <dc:creator>裴建君2</dc:creator>
  <cp:lastModifiedBy>陈炅炜</cp:lastModifiedBy>
  <cp:lastPrinted>2017-11-24T00:22:00Z</cp:lastPrinted>
  <dcterms:modified xsi:type="dcterms:W3CDTF">2021-03-25T07:42:08Z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