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进口付汇事前审核</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r>
        <w:rPr>
          <w:rFonts w:hint="eastAsia" w:ascii="Times New Roman" w:hAnsi="Times New Roman" w:eastAsia="仿宋_GB2312" w:cs="Times New Roman"/>
          <w:sz w:val="30"/>
          <w:szCs w:val="30"/>
          <w:lang w:eastAsia="zh-CN"/>
        </w:rPr>
        <w:t>。</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adjustRightInd w:val="0"/>
        <w:snapToGrid w:val="0"/>
        <w:spacing w:line="360" w:lineRule="auto"/>
        <w:ind w:firstLine="596" w:firstLineChars="200"/>
        <w:rPr>
          <w:rFonts w:ascii="Times New Roman" w:hAnsi="Times New Roman" w:eastAsia="仿宋_GB2312" w:cs="Times New Roman"/>
          <w:color w:val="auto"/>
          <w:spacing w:val="-1"/>
          <w:sz w:val="30"/>
          <w:szCs w:val="30"/>
        </w:rPr>
      </w:pPr>
      <w:r>
        <w:rPr>
          <w:rFonts w:hint="eastAsia" w:ascii="Times New Roman" w:hAnsi="Times New Roman" w:eastAsia="仿宋_GB2312" w:cs="Times New Roman"/>
          <w:color w:val="auto"/>
          <w:sz w:val="30"/>
          <w:szCs w:val="30"/>
        </w:rPr>
        <w:t>国家外汇管理局陕西省分局</w:t>
      </w:r>
      <w:r>
        <w:rPr>
          <w:rFonts w:hint="eastAsia" w:ascii="Times New Roman" w:hAnsi="Times New Roman" w:eastAsia="仿宋_GB2312" w:cs="Times New Roman"/>
          <w:color w:val="auto"/>
          <w:sz w:val="30"/>
          <w:szCs w:val="30"/>
          <w:lang w:eastAsia="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1749"/>
        <w:gridCol w:w="1700"/>
        <w:gridCol w:w="587"/>
        <w:gridCol w:w="1113"/>
        <w:gridCol w:w="215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1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15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jc w:val="cente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49"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4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49" w:type="dxa"/>
            <w:vAlign w:val="center"/>
          </w:tcPr>
          <w:p>
            <w:pPr>
              <w:jc w:val="center"/>
              <w:rPr>
                <w:rStyle w:val="16"/>
                <w:rFonts w:ascii="Times New Roman" w:hAnsi="Times New Roman" w:cs="Times New Roman"/>
              </w:rPr>
            </w:pPr>
            <w:r>
              <w:rPr>
                <w:rFonts w:ascii="Times New Roman" w:hAnsi="Times New Roman" w:eastAsia="仿宋_GB2312" w:cs="Times New Roman"/>
                <w:sz w:val="24"/>
                <w:szCs w:val="24"/>
              </w:rPr>
              <w:t>原收汇凭证</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rPr>
                <w:rFonts w:ascii="Times New Roman" w:hAnsi="Times New Roman"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49" w:type="dxa"/>
            <w:vAlign w:val="center"/>
          </w:tcPr>
          <w:p>
            <w:pPr>
              <w:jc w:val="center"/>
              <w:rPr>
                <w:rStyle w:val="16"/>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70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1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15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10"/>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widowControl w:val="0"/>
        <w:numPr>
          <w:ilvl w:val="0"/>
          <w:numId w:val="1"/>
        </w:numPr>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跨国公司资金集中运营-经常项目资金集中收付和轧差净额结算业务备案申请材料清单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298"/>
        <w:gridCol w:w="1012"/>
        <w:gridCol w:w="452"/>
        <w:gridCol w:w="1134"/>
        <w:gridCol w:w="2227"/>
        <w:gridCol w:w="1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29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1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2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033"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29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012"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29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01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033"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10"/>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adjustRightInd w:val="0"/>
        <w:snapToGrid w:val="0"/>
        <w:spacing w:line="360" w:lineRule="auto"/>
        <w:ind w:firstLine="600" w:firstLineChars="2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申请人可通过窗口、邮寄</w:t>
      </w:r>
      <w:r>
        <w:rPr>
          <w:rFonts w:hint="eastAsia" w:ascii="Times New Roman" w:hAnsi="Times New Roman" w:eastAsia="仿宋_GB2312" w:cs="Times New Roman"/>
          <w:color w:val="auto"/>
          <w:sz w:val="30"/>
          <w:szCs w:val="30"/>
          <w:lang w:eastAsia="zh-CN"/>
        </w:rPr>
        <w:t>向国家外汇管理局陕西省分局</w:t>
      </w:r>
      <w:r>
        <w:rPr>
          <w:rFonts w:ascii="Times New Roman" w:hAnsi="Times New Roman" w:eastAsia="仿宋_GB2312" w:cs="Times New Roman"/>
          <w:color w:val="auto"/>
          <w:sz w:val="30"/>
          <w:szCs w:val="30"/>
        </w:rPr>
        <w:t>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color w:val="auto"/>
          <w:sz w:val="30"/>
          <w:szCs w:val="30"/>
          <w:highlight w:val="none"/>
        </w:rPr>
      </w:pPr>
      <w:r>
        <w:rPr>
          <w:rFonts w:ascii="Times New Roman" w:hAnsi="Times New Roman" w:eastAsia="仿宋_GB2312" w:cs="Times New Roman"/>
          <w:color w:val="auto"/>
          <w:sz w:val="30"/>
          <w:szCs w:val="30"/>
          <w:highlight w:val="none"/>
        </w:rPr>
        <w:t>国家外汇管理局</w:t>
      </w:r>
      <w:r>
        <w:rPr>
          <w:rFonts w:hint="eastAsia" w:ascii="Times New Roman" w:hAnsi="Times New Roman" w:eastAsia="仿宋_GB2312" w:cs="Times New Roman"/>
          <w:color w:val="auto"/>
          <w:sz w:val="30"/>
          <w:szCs w:val="30"/>
          <w:highlight w:val="none"/>
        </w:rPr>
        <w:t>陕西省</w:t>
      </w:r>
      <w:r>
        <w:rPr>
          <w:rFonts w:ascii="Times New Roman" w:hAnsi="Times New Roman" w:eastAsia="仿宋_GB2312" w:cs="Times New Roman"/>
          <w:color w:val="auto"/>
          <w:sz w:val="30"/>
          <w:szCs w:val="30"/>
          <w:highlight w:val="none"/>
        </w:rPr>
        <w:t>分局向申请企业出具贸易外汇业务登记表或备案通知书。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eastAsia"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150719；029-88150690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color w:val="auto"/>
        </w:rPr>
        <w:fldChar w:fldCharType="begin"/>
      </w:r>
      <w:r>
        <w:rPr>
          <w:color w:val="auto"/>
        </w:rPr>
        <w:instrText xml:space="preserve">HYPERLINK "http://www.safe.gov.cn/" </w:instrText>
      </w:r>
      <w:r>
        <w:rPr>
          <w:color w:val="auto"/>
        </w:rPr>
        <w:fldChar w:fldCharType="separate"/>
      </w:r>
      <w:r>
        <w:rPr>
          <w:rFonts w:ascii="Times New Roman" w:hAnsi="Times New Roman" w:eastAsia="仿宋_GB2312" w:cs="Times New Roman"/>
          <w:color w:val="auto"/>
          <w:sz w:val="30"/>
        </w:rPr>
        <w:t>www.safe.gov.cn</w:t>
      </w:r>
      <w:r>
        <w:rPr>
          <w:color w:val="auto"/>
        </w:rPr>
        <w:fldChar w:fldCharType="end"/>
      </w:r>
      <w:r>
        <w:rPr>
          <w:rFonts w:hint="eastAsia" w:ascii="Times New Roman" w:hAnsi="Times New Roman" w:eastAsia="仿宋_GB2312" w:cs="Times New Roman"/>
          <w:color w:val="auto"/>
          <w:sz w:val="30"/>
        </w:rPr>
        <w:t>/shaanxi</w:t>
      </w:r>
    </w:p>
    <w:p>
      <w:pPr>
        <w:ind w:firstLine="600"/>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r>
        <w:rPr>
          <w:rFonts w:hint="eastAsia" w:ascii="Times New Roman" w:hAnsi="Times New Roman" w:eastAsia="仿宋_GB2312" w:cs="Times New Roman"/>
          <w:color w:val="auto"/>
          <w:sz w:val="30"/>
          <w:szCs w:val="30"/>
        </w:rPr>
        <w:t>907房间。</w:t>
      </w:r>
    </w:p>
    <w:p>
      <w:pPr>
        <w:adjustRightInd w:val="0"/>
        <w:snapToGrid w:val="0"/>
        <w:spacing w:line="360" w:lineRule="auto"/>
        <w:ind w:firstLine="601"/>
        <w:rPr>
          <w:rFonts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6"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7"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8"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29"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0"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1"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2"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3"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4"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5"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6"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7"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8"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39"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0"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1"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2"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3"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4"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14</w:t>
    </w:r>
    <w:r>
      <w:rPr>
        <w:lang w:val="zh-CN"/>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val="zh-CN"/>
      </w:rPr>
      <w:t>15</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2432982">
    <w:nsid w:val="601BC656"/>
    <w:multiLevelType w:val="singleLevel"/>
    <w:tmpl w:val="601BC656"/>
    <w:lvl w:ilvl="0" w:tentative="1">
      <w:start w:val="6"/>
      <w:numFmt w:val="chineseCounting"/>
      <w:suff w:val="nothing"/>
      <w:lvlText w:val="（%1）"/>
      <w:lvlJc w:val="left"/>
    </w:lvl>
  </w:abstractNum>
  <w:num w:numId="1">
    <w:abstractNumId w:val="1612432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D5C1C"/>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3DF"/>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4701E"/>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016908DE"/>
    <w:rsid w:val="020277D8"/>
    <w:rsid w:val="06395510"/>
    <w:rsid w:val="09E9764E"/>
    <w:rsid w:val="0B1A6AC6"/>
    <w:rsid w:val="0C2E7888"/>
    <w:rsid w:val="0C316E89"/>
    <w:rsid w:val="0E937FF7"/>
    <w:rsid w:val="11311F96"/>
    <w:rsid w:val="14B43A04"/>
    <w:rsid w:val="177667EE"/>
    <w:rsid w:val="185C6614"/>
    <w:rsid w:val="1CEC7E01"/>
    <w:rsid w:val="1D4B572B"/>
    <w:rsid w:val="1D613643"/>
    <w:rsid w:val="203778E9"/>
    <w:rsid w:val="26B23BC8"/>
    <w:rsid w:val="29493649"/>
    <w:rsid w:val="2F596206"/>
    <w:rsid w:val="31D077C5"/>
    <w:rsid w:val="33E36CFE"/>
    <w:rsid w:val="3A1357D6"/>
    <w:rsid w:val="3D900F90"/>
    <w:rsid w:val="3E8C68AA"/>
    <w:rsid w:val="483C0D65"/>
    <w:rsid w:val="4AE536EB"/>
    <w:rsid w:val="4F267EE8"/>
    <w:rsid w:val="50062DD9"/>
    <w:rsid w:val="58F05975"/>
    <w:rsid w:val="5DB65C4E"/>
    <w:rsid w:val="6235017A"/>
    <w:rsid w:val="63FA5093"/>
    <w:rsid w:val="65AC31CF"/>
    <w:rsid w:val="687377EB"/>
    <w:rsid w:val="6BDC6503"/>
    <w:rsid w:val="6EDD106E"/>
    <w:rsid w:val="6FD9000D"/>
    <w:rsid w:val="74524963"/>
    <w:rsid w:val="759252EF"/>
    <w:rsid w:val="75C13F1F"/>
    <w:rsid w:val="77116A65"/>
    <w:rsid w:val="79DE7E7D"/>
    <w:rsid w:val="79ED0498"/>
    <w:rsid w:val="7BFC01F8"/>
    <w:rsid w:val="7DD47A7D"/>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annotation text"/>
    <w:basedOn w:val="1"/>
    <w:unhideWhenUsed/>
    <w:uiPriority w:val="99"/>
    <w:pPr>
      <w:jc w:val="left"/>
    </w:pPr>
  </w:style>
  <w:style w:type="paragraph" w:styleId="3">
    <w:name w:val="Balloon Text"/>
    <w:basedOn w:val="1"/>
    <w:link w:val="15"/>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styleId="8">
    <w:name w:val="annotation reference"/>
    <w:basedOn w:val="6"/>
    <w:unhideWhenUsed/>
    <w:uiPriority w:val="99"/>
    <w:rPr>
      <w:sz w:val="21"/>
      <w:szCs w:val="21"/>
    </w:rPr>
  </w:style>
  <w:style w:type="table" w:styleId="10">
    <w:name w:val="Table Grid"/>
    <w:basedOn w:val="9"/>
    <w:uiPriority w:val="59"/>
    <w:pPr/>
    <w:tblPr>
      <w:tblStyle w:val="9"/>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1">
    <w:name w:val="列出段落1"/>
    <w:basedOn w:val="1"/>
    <w:qFormat/>
    <w:uiPriority w:val="34"/>
    <w:pPr>
      <w:ind w:firstLine="420" w:firstLineChars="200"/>
    </w:pPr>
  </w:style>
  <w:style w:type="paragraph" w:customStyle="1" w:styleId="12">
    <w:name w:val="修订1"/>
    <w:hidden/>
    <w:semiHidden/>
    <w:uiPriority w:val="99"/>
    <w:rPr>
      <w:rFonts w:ascii="Calibri" w:hAnsi="Calibri" w:eastAsia="宋体" w:cs="黑体"/>
      <w:kern w:val="2"/>
      <w:sz w:val="21"/>
      <w:szCs w:val="22"/>
      <w:lang w:val="en-US" w:eastAsia="zh-CN" w:bidi="ar-SA"/>
    </w:rPr>
  </w:style>
  <w:style w:type="character" w:customStyle="1" w:styleId="13">
    <w:name w:val="页眉 Char"/>
    <w:basedOn w:val="6"/>
    <w:link w:val="5"/>
    <w:uiPriority w:val="99"/>
    <w:rPr>
      <w:sz w:val="18"/>
      <w:szCs w:val="18"/>
    </w:rPr>
  </w:style>
  <w:style w:type="character" w:customStyle="1" w:styleId="14">
    <w:name w:val="页脚 Char"/>
    <w:basedOn w:val="6"/>
    <w:link w:val="4"/>
    <w:uiPriority w:val="99"/>
    <w:rPr>
      <w:sz w:val="18"/>
      <w:szCs w:val="18"/>
    </w:rPr>
  </w:style>
  <w:style w:type="character" w:customStyle="1" w:styleId="15">
    <w:name w:val="批注框文本 Char"/>
    <w:basedOn w:val="6"/>
    <w:link w:val="3"/>
    <w:semiHidden/>
    <w:uiPriority w:val="99"/>
    <w:rPr>
      <w:sz w:val="18"/>
      <w:szCs w:val="18"/>
    </w:rPr>
  </w:style>
  <w:style w:type="character" w:customStyle="1" w:styleId="16">
    <w:name w:val="mini-outputtext"/>
    <w:basedOn w:val="6"/>
    <w:uiPriority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859</Words>
  <Characters>4899</Characters>
  <Lines>40</Lines>
  <Paragraphs>11</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陈炅炜</cp:lastModifiedBy>
  <cp:lastPrinted>2020-05-08T08:38:00Z</cp:lastPrinted>
  <dcterms:modified xsi:type="dcterms:W3CDTF">2021-04-01T08:27:52Z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