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56" w:rsidRDefault="00743056" w:rsidP="00743056">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省级分局和计划单列市分局办理的境外上市公司境内股东持股登记</w:t>
      </w:r>
    </w:p>
    <w:p w:rsidR="00743056" w:rsidRDefault="00743056" w:rsidP="00743056">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【000171107003】</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743056" w:rsidRDefault="00743056" w:rsidP="007430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跨境证券、衍生产品外汇业务核准【00017110700Y】</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743056" w:rsidRDefault="00743056" w:rsidP="0074305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省级分局和计划单列市分局办理的境外上市公司境内股东持股登记【000171107003】</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7362F1" w:rsidRDefault="00743056" w:rsidP="007362F1">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1.省级分局和计划单列市分局办理的境外上市公司境内股东持股新办登记(00017110700301)</w:t>
      </w:r>
    </w:p>
    <w:p w:rsidR="00743056" w:rsidRDefault="007362F1" w:rsidP="007362F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743056">
        <w:rPr>
          <w:rFonts w:ascii="方正仿宋_GBK" w:eastAsia="方正仿宋_GBK" w:hAnsi="方正仿宋_GBK" w:cs="方正仿宋_GBK" w:hint="eastAsia"/>
          <w:sz w:val="28"/>
          <w:szCs w:val="28"/>
        </w:rPr>
        <w:t>.省级分局和计划单列市分局办理的境外上市公司境内股东持股变更登记(00017110700302)(草稿)</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743056" w:rsidRDefault="00743056" w:rsidP="007430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（1）《中华人民共和国外汇管理条例》第十七条</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743056" w:rsidRDefault="00743056" w:rsidP="007430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（1）《国家外汇管理局关于境外上市外汇管理有关问题的通知》（汇发〔2014〕54号）第四条</w:t>
      </w:r>
    </w:p>
    <w:p w:rsidR="00743056" w:rsidRDefault="00743056" w:rsidP="007430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（2）《国家外汇管理局关于全面推开H股“全流通” 改革所涉外汇管理工作的批复》（汇复〔2014〕54号）第一条</w:t>
      </w:r>
    </w:p>
    <w:p w:rsidR="00743056" w:rsidRDefault="00743056" w:rsidP="007430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w:t>
      </w:r>
      <w:r>
        <w:rPr>
          <w:rFonts w:ascii="方正仿宋_GBK" w:eastAsia="方正仿宋_GBK" w:hAnsi="方正仿宋_GBK" w:cs="方正仿宋_GBK"/>
          <w:sz w:val="28"/>
          <w:szCs w:val="28"/>
        </w:rPr>
        <w:lastRenderedPageBreak/>
        <w:t>告2021年第1号）</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743056" w:rsidRDefault="00743056" w:rsidP="007430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743056">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43056" w:rsidRDefault="00743056" w:rsidP="00743056">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境外上市公司境内股东持股登记及变更登记</w:t>
      </w:r>
    </w:p>
    <w:p w:rsidR="00743056" w:rsidRDefault="00743056" w:rsidP="00743056">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1.省级分局和计划单列市分局办理的境外上市公司境内股东持股新办登记</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（1）境内公司在境外上市。</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（2）境外上市公司境内股东拟增持或减持境外上市公司股份。</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2.省级分局和计划单列市分局办理的境外上市公司境内股东持股变更登记</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境外上市公司境内股东持股登记后，实际增持或减持情况与登记情形不一致。</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外上市外汇管理有关问题的通知》（汇发〔2014〕54号）第四条境内公司境外上市后，其境内股东根据有关规定拟增持或减持境外上市公司股份的，应在拟增持或减持前20个工作日内，持下列材料到境内股东所在地外汇局办理境外持股登记......。</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自然人,企业法人</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743056" w:rsidRDefault="00743056" w:rsidP="00743056">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743056" w:rsidRDefault="00743056" w:rsidP="00743056">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1.省级分局和计划单列市分局办理的境外上市公司境内股东持</w:t>
      </w:r>
      <w:r>
        <w:rPr>
          <w:rFonts w:ascii="方正仿宋_GBK" w:eastAsia="方正仿宋_GBK" w:hAnsi="方正仿宋_GBK" w:cs="方正仿宋_GBK" w:hint="eastAsia"/>
          <w:sz w:val="28"/>
          <w:szCs w:val="28"/>
        </w:rPr>
        <w:lastRenderedPageBreak/>
        <w:t>股新办登记</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（1）营业执照（或统一社会信用代码证、身份证件）原件或加盖公章的复印件1份。</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（2）加盖公章的书面申请原件1份（附《境外持股登记表》。</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（3）关于增持或减持事项的董事会或股东大会决议（如有）原件及加盖公章的复印件各1份（验原件，留存复印件）。</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需经财政部门、国有资产管理部门等相关部门批准的，应提供相关部门的批准文件。参与H股“全流通”的境内股东，应提供证监会批准参加H股“全流通”业务的批复文件，以及关于境内股东原非境外上市股份转境外上市股份的相关证明材料原件及加盖公章的复印件各1份（验原件，留存复印件）。</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2.省级分局和计划单列市分局办理的境外上市公司境内股东持股变更登记</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（1）营业执照（或统一社会信用代码证、身份证件）原件或加盖公章的复印件1份。</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（2）书面申请1份。最新填写的《境外持股登记表》1份。</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（3）相关交易真实性证明材料原件及加盖公章的复印件各1份（验原件，留存复印件）。</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家外汇管理局关于境外上市外汇管理有关问题的通知》（汇发〔2014〕54号）第四条境内公司境外上市后，其境内股东根据有关规定拟增持或减持境外上市公司股份的，应在拟增持或减持前20个工作日内，持下列材料到境内股东所在地外汇局办理境外持股</w:t>
      </w:r>
      <w:r>
        <w:rPr>
          <w:rFonts w:ascii="方正仿宋_GBK" w:eastAsia="方正仿宋_GBK" w:hAnsi="方正仿宋_GBK" w:cs="方正仿宋_GBK" w:hint="eastAsia"/>
          <w:sz w:val="28"/>
          <w:szCs w:val="28"/>
        </w:rPr>
        <w:lastRenderedPageBreak/>
        <w:t>登记：(一)书面申请，并附《境外持股登记表》；(二)关于增持或减持事项的董事会或股东大会决议(如有)；(三)需经财政部门、国有资产管理部门等相关部门批准的，应提供相关部门的批准文件。</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743056" w:rsidRDefault="00743056" w:rsidP="0074305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43056" w:rsidRDefault="00743056" w:rsidP="0074305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743056" w:rsidRDefault="00743056" w:rsidP="00743056">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 xml:space="preserve">    （一）申请事项属于本局职责范围，但依法不需要取得行政许可的，应即时告知申请人不受理，出具不予受理行政许可通知书；</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（二）申请不符合法定条件、拟不予行政许可的，应出具不予行政许可决定书，并说明不予行政许可的理由，告知申请人享有依法申请行政复议的权利。</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43056" w:rsidRDefault="00743056" w:rsidP="0074305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743056" w:rsidRDefault="00743056" w:rsidP="0074305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743056" w:rsidRDefault="00743056" w:rsidP="0074305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w:t>
      </w:r>
      <w:r>
        <w:rPr>
          <w:rFonts w:ascii="方正仿宋_GBK" w:eastAsia="方正仿宋_GBK" w:hAnsi="方正仿宋_GBK" w:cs="方正仿宋_GBK"/>
          <w:sz w:val="28"/>
          <w:szCs w:val="28"/>
        </w:rPr>
        <w:lastRenderedPageBreak/>
        <w:t>管副局长批准，可延长10个工作日，并向申请人出具延长行政许可办理期限通知书，说明延长期限的理由。行政许可办理期限只能延长一次。</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743056" w:rsidRDefault="00743056" w:rsidP="0074305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743056" w:rsidRDefault="00743056" w:rsidP="00743056">
      <w:pPr>
        <w:spacing w:line="600" w:lineRule="exact"/>
        <w:ind w:firstLineChars="200" w:firstLine="560"/>
        <w:rPr>
          <w:rFonts w:ascii="方正仿宋_GBK" w:eastAsia="方正仿宋_GBK" w:hAnsi="方正仿宋_GBK" w:cs="方正仿宋_GBK"/>
          <w:b/>
          <w:bCs/>
          <w:color w:val="FF0000"/>
          <w:sz w:val="28"/>
          <w:szCs w:val="28"/>
        </w:rPr>
      </w:pPr>
      <w:r>
        <w:rPr>
          <w:rFonts w:ascii="方正仿宋_GBK" w:eastAsia="方正仿宋_GBK" w:hAnsi="方正仿宋_GBK" w:cs="方正仿宋_GBK" w:hint="eastAsia"/>
          <w:sz w:val="28"/>
          <w:szCs w:val="28"/>
        </w:rPr>
        <w:t>无</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743056" w:rsidRDefault="00743056" w:rsidP="0074305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743056" w:rsidRDefault="00743056" w:rsidP="0074305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（1）无</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743056" w:rsidRDefault="00743056" w:rsidP="0074305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743056" w:rsidRDefault="00743056" w:rsidP="0074305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743056" w:rsidRDefault="00743056" w:rsidP="007430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全国</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743056" w:rsidRDefault="00743056" w:rsidP="00743056">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（1）无</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743056" w:rsidRDefault="00743056" w:rsidP="0074305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743056" w:rsidRDefault="00743056" w:rsidP="0074305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743056" w:rsidRDefault="00743056" w:rsidP="00743056">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743056" w:rsidRDefault="00743056" w:rsidP="00743056">
      <w:pPr>
        <w:spacing w:line="600" w:lineRule="exact"/>
        <w:ind w:firstLineChars="200" w:firstLine="560"/>
        <w:jc w:val="left"/>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743056" w:rsidRDefault="00743056" w:rsidP="00743056">
      <w:pPr>
        <w:spacing w:line="540" w:lineRule="exact"/>
        <w:ind w:firstLineChars="200" w:firstLine="560"/>
        <w:outlineLvl w:val="2"/>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743056" w:rsidRDefault="00743056" w:rsidP="0074305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743056" w:rsidRDefault="00743056" w:rsidP="0074305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743056" w:rsidRDefault="00743056" w:rsidP="00743056">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lastRenderedPageBreak/>
        <w:t>无</w:t>
      </w:r>
    </w:p>
    <w:p w:rsidR="00743056" w:rsidRDefault="00743056" w:rsidP="0074305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3056" w:rsidRDefault="00743056" w:rsidP="007430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743056" w:rsidRDefault="00743056" w:rsidP="007430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w:t>
      </w:r>
    </w:p>
    <w:p w:rsidR="00743056" w:rsidRDefault="00743056" w:rsidP="007430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743056" w:rsidRDefault="00743056" w:rsidP="007430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743056" w:rsidRDefault="00743056" w:rsidP="007430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E70C89" w:rsidRPr="00743056" w:rsidRDefault="00E70C89"/>
    <w:sectPr w:rsidR="00E70C89" w:rsidRPr="00743056" w:rsidSect="00E7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4A4" w:rsidRDefault="005D44A4" w:rsidP="007362F1">
      <w:r>
        <w:separator/>
      </w:r>
    </w:p>
  </w:endnote>
  <w:endnote w:type="continuationSeparator" w:id="1">
    <w:p w:rsidR="005D44A4" w:rsidRDefault="005D44A4" w:rsidP="007362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4A4" w:rsidRDefault="005D44A4" w:rsidP="007362F1">
      <w:r>
        <w:separator/>
      </w:r>
    </w:p>
  </w:footnote>
  <w:footnote w:type="continuationSeparator" w:id="1">
    <w:p w:rsidR="005D44A4" w:rsidRDefault="005D44A4" w:rsidP="007362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3056"/>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1F8F"/>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44A4"/>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362F1"/>
    <w:rsid w:val="007428C7"/>
    <w:rsid w:val="00743056"/>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5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62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62F1"/>
    <w:rPr>
      <w:rFonts w:ascii="Calibri" w:eastAsia="宋体" w:hAnsi="Calibri" w:cs="Times New Roman"/>
      <w:sz w:val="18"/>
      <w:szCs w:val="18"/>
    </w:rPr>
  </w:style>
  <w:style w:type="paragraph" w:styleId="a4">
    <w:name w:val="footer"/>
    <w:basedOn w:val="a"/>
    <w:link w:val="Char0"/>
    <w:uiPriority w:val="99"/>
    <w:semiHidden/>
    <w:unhideWhenUsed/>
    <w:rsid w:val="007362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62F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cp:revision>
  <dcterms:created xsi:type="dcterms:W3CDTF">2023-09-28T07:26:00Z</dcterms:created>
  <dcterms:modified xsi:type="dcterms:W3CDTF">2023-09-28T08:18:00Z</dcterms:modified>
</cp:coreProperties>
</file>