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noChangeArrowheads="1"/>
                    </pic:cNvPicPr>
                  </pic:nvPicPr>
                  <pic:blipFill>
                    <a:blip r:embed="rId6"/>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bookmarkStart w:id="3" w:name="_GoBack"/>
      <w:bookmarkEnd w:id="3"/>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四、境内公司境外上市或发行境外存托凭证登记及变更、注销登记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2.《国家外汇管理局关于境外上市外汇管理有关问题的通知》（汇发〔2014〕54号）。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3.《H股公司境内未上市股份申请“全流通”业务指引》（证监会公告〔201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〕22号）。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 《存托凭证跨境资金管理办法（试行）》（中国人民银行 国家外汇管理局公告〔201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〕第8号）。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境外上市发行股票（含优先股及股票派生形式证券）、可转换为股票的公司债券、存托凭证等法律法规允许的证券，并在境外证券交易所公开上市流通的境内公司。境内公司应在境外发行活动（含行使超额配售）结束之日起15个工作日内，到其所在地外汇局办理境外上市登记。</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w:t>
      </w:r>
      <w:r>
        <w:rPr>
          <w:rFonts w:hint="eastAsia" w:ascii="Times New Roman" w:hAnsi="Times New Roman" w:eastAsia="黑体" w:cs="Times New Roman"/>
          <w:sz w:val="30"/>
          <w:szCs w:val="30"/>
        </w:rPr>
        <w:t>或发行境外存托凭证</w:t>
      </w:r>
      <w:r>
        <w:rPr>
          <w:rFonts w:ascii="Times New Roman" w:hAnsi="Times New Roman" w:eastAsia="黑体" w:cs="Times New Roman"/>
          <w:sz w:val="30"/>
          <w:szCs w:val="30"/>
        </w:rPr>
        <w:t>登记申请材料</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中国证监会许可境内公司境外上市</w:t>
            </w:r>
            <w:r>
              <w:rPr>
                <w:rFonts w:hint="eastAsia" w:ascii="Times New Roman" w:hAnsi="Times New Roman" w:eastAsia="仿宋_GB2312" w:cs="Times New Roman"/>
                <w:kern w:val="0"/>
                <w:sz w:val="24"/>
                <w:szCs w:val="24"/>
              </w:rPr>
              <w:t>或发行境外存托凭证</w:t>
            </w:r>
            <w:r>
              <w:rPr>
                <w:rFonts w:ascii="Times New Roman" w:hAnsi="Times New Roman" w:eastAsia="仿宋_GB2312" w:cs="Times New Roman"/>
                <w:kern w:val="0"/>
                <w:sz w:val="24"/>
                <w:szCs w:val="24"/>
              </w:rPr>
              <w:t>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境外发行结束的公告文件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国家外汇管理局关于境内投资者参与境外上市购付汇的批准文件（如有）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right="-58"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w:t>
      </w:r>
      <w:r>
        <w:rPr>
          <w:rFonts w:hint="eastAsia" w:ascii="Times New Roman" w:hAnsi="Times New Roman" w:eastAsia="黑体" w:cs="Times New Roman"/>
          <w:sz w:val="30"/>
          <w:szCs w:val="30"/>
        </w:rPr>
        <w:t>.</w:t>
      </w:r>
      <w:r>
        <w:rPr>
          <w:rFonts w:ascii="Times New Roman" w:hAnsi="Times New Roman" w:eastAsia="黑体" w:cs="Times New Roman"/>
          <w:sz w:val="30"/>
          <w:szCs w:val="30"/>
        </w:rPr>
        <w:t>H</w:t>
      </w:r>
      <w:r>
        <w:rPr>
          <w:rFonts w:hint="eastAsia" w:ascii="Times New Roman" w:hAnsi="Times New Roman" w:eastAsia="黑体" w:cs="Times New Roman"/>
          <w:sz w:val="30"/>
          <w:szCs w:val="30"/>
        </w:rPr>
        <w:t>股</w:t>
      </w:r>
      <w:r>
        <w:rPr>
          <w:rFonts w:ascii="Times New Roman" w:hAnsi="Times New Roman" w:eastAsia="黑体" w:cs="Times New Roman"/>
          <w:sz w:val="30"/>
          <w:szCs w:val="30"/>
        </w:rPr>
        <w:t>“</w:t>
      </w:r>
      <w:r>
        <w:rPr>
          <w:rFonts w:hint="eastAsia" w:ascii="Times New Roman" w:hAnsi="Times New Roman" w:eastAsia="黑体" w:cs="Times New Roman"/>
          <w:sz w:val="30"/>
          <w:szCs w:val="30"/>
        </w:rPr>
        <w:t>全流通</w:t>
      </w:r>
      <w:r>
        <w:rPr>
          <w:rFonts w:ascii="Times New Roman" w:hAnsi="Times New Roman" w:eastAsia="黑体" w:cs="Times New Roman"/>
          <w:sz w:val="30"/>
          <w:szCs w:val="30"/>
        </w:rPr>
        <w:t>”</w:t>
      </w:r>
      <w:r>
        <w:rPr>
          <w:rFonts w:hint="eastAsia" w:ascii="Times New Roman" w:hAnsi="Times New Roman" w:eastAsia="黑体" w:cs="Times New Roman"/>
          <w:sz w:val="30"/>
          <w:szCs w:val="30"/>
        </w:rPr>
        <w:t>变更登记申请材料</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中国证监会批准参加</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业务的许可文件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境外上市公司关于开展</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业务的公告文件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bl>
    <w:p>
      <w:pPr>
        <w:ind w:right="-58"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境内公司境外上市其他变更登记申请材料</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主管部门关于变更事项的相关批复或备案文件（如有）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相关公告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4</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境内公司境外上市注销登记申请材料</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w:t>
            </w:r>
            <w:r>
              <w:rPr>
                <w:rFonts w:ascii="Times New Roman" w:hAnsi="Times New Roman" w:eastAsia="仿宋_GB2312" w:cs="Times New Roman"/>
                <w:color w:val="000000"/>
                <w:sz w:val="24"/>
                <w:szCs w:val="24"/>
              </w:rPr>
              <w:t>，并附</w:t>
            </w:r>
            <w:r>
              <w:rPr>
                <w:rFonts w:ascii="Times New Roman" w:hAnsi="Times New Roman" w:eastAsia="仿宋_GB2312" w:cs="Times New Roman"/>
                <w:kern w:val="0"/>
                <w:sz w:val="24"/>
                <w:szCs w:val="24"/>
              </w:rPr>
              <w:t>《境外上市登记表》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退市公告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sz w:val="24"/>
                <w:szCs w:val="24"/>
              </w:rPr>
              <w:t>主管部门关于注销事项的相关批复或备案文件（如有）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54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rPr>
        <w:t>申请人可通过所在地外汇局业务窗口</w:t>
      </w:r>
      <w:r>
        <w:rPr>
          <w:rFonts w:hint="eastAsia" w:ascii="Times New Roman" w:hAnsi="Times New Roman" w:eastAsia="仿宋_GB2312" w:cs="Times New Roman"/>
          <w:sz w:val="30"/>
          <w:szCs w:val="30"/>
          <w:highlight w:val="none"/>
        </w:rPr>
        <w:t>或国家外汇管理局政务服务网上办理系统</w:t>
      </w:r>
      <w:r>
        <w:rPr>
          <w:rFonts w:ascii="Times New Roman" w:hAnsi="Times New Roman" w:eastAsia="仿宋_GB2312" w:cs="Times New Roman"/>
          <w:sz w:val="30"/>
          <w:szCs w:val="30"/>
        </w:rPr>
        <w:t>提交材料</w:t>
      </w:r>
      <w:r>
        <w:rPr>
          <w:rFonts w:hint="eastAsia" w:ascii="Times New Roman" w:hAnsi="Times New Roman" w:eastAsia="仿宋_GB2312" w:cs="Times New Roman"/>
          <w:sz w:val="30"/>
          <w:szCs w:val="30"/>
        </w:rPr>
        <w:t>。</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54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540" w:lineRule="exact"/>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540" w:lineRule="exact"/>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540" w:lineRule="exact"/>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540" w:lineRule="exact"/>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540" w:lineRule="exact"/>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（十五）咨询途径、监督和投诉、办公地址和时间、公开查询方式等由所在地分局（外汇管理部）另行公布</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向各地外汇局进行咨询、办理进程查询、监督和投诉等可通过各地外汇局官方互联网站的相应栏目进行。网址可通过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pict>
          <v:group id="Group 680" o:spid="_x0000_s1026" o:spt="203" style="position:absolute;left:0pt;margin-left:-21pt;margin-top:14.85pt;height:586.05pt;width:455.05pt;z-index:252214272;mso-width-relative:page;mso-height-relative:page;" coordorigin="-180,0" coordsize="910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">
            <o:lock v:ext="edit"/>
            <v:rect id="Rectangle 681" o:spid="_x0000_s1027" o:spt="1" style="position:absolute;left:2908;top:8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path/>
              <v:fill focussize="0,0"/>
              <v:stroke/>
              <v:imagedata o:title=""/>
              <o:lock v:ext="edit"/>
              <v:textbox>
                <w:txbxContent>
                  <w:p>
                    <w:pPr>
                      <w:jc w:val="center"/>
                    </w:pPr>
                    <w:r>
                      <w:t>审核</w:t>
                    </w:r>
                  </w:p>
                </w:txbxContent>
              </v:textbox>
            </v:rect>
            <v:shape id="AutoShape 682" o:spid="_x0000_s1028" o:spt="116" type="#_x0000_t116" style="position:absolute;left:4420;top:10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AqcUA&#10;AADcAAAADwAAAGRycy9kb3ducmV2LnhtbESPT2vDMAzF74N+B6PBLqN1OrZSsrolBMZ6KIz1z13E&#10;WhJmy8H2mvTbT4fBbhLv6b2fNrvJO3WlmPrABpaLAhRxE2zPrYHz6W2+BpUyskUXmAzcKMFuO7vb&#10;YGnDyJ90PeZWSQinEg10OQ+l1qnpyGNahIFYtK8QPWZZY6ttxFHCvdNPRbHSHnuWhg4Hqjtqvo8/&#10;3sDHwdXR1TS+17fL/nx5rh4Pq8qYh/upegWVacr/5r/rvRX8F6GV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8CpxQAAANwAAAAPAAAAAAAAAAAAAAAAAJgCAABkcnMv&#10;ZG93bnJldi54bWxQSwUGAAAAAAQABAD1AAAAigM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683" o:spid="_x0000_s1029" o:spt="116" type="#_x0000_t116" style="position:absolute;left:695;top:10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lMsIA&#10;AADcAAAADwAAAGRycy9kb3ducmV2LnhtbERP32vCMBB+H/g/hBvsZWjq2GRWo5SCzAdh6PT9aM62&#10;LLmUJNr63y8Dwbf7+H7ecj1YI67kQ+tYwXSSgSCunG65VnD82Yw/QYSIrNE4JgU3CrBejZ6WmGvX&#10;856uh1iLFMIhRwVNjF0uZagashgmriNO3Nl5izFBX0vtsU/h1si3LJtJiy2nhgY7Khuqfg8Xq+B7&#10;Z0pvSuq/yttpezy9F6+7WaHUy/NQLEBEGuJDfHdvdZr/MY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2UywgAAANwAAAAPAAAAAAAAAAAAAAAAAJgCAABkcnMvZG93&#10;bnJldi54bWxQSwUGAAAAAAQABAD1AAAAhwM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0" o:spt="32" type="#_x0000_t32" style="position:absolute;left:4382;top:7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path arrowok="t"/>
              <v:fill on="f" focussize="0,0"/>
              <v:stroke endarrow="block"/>
              <v:imagedata o:title=""/>
              <o:lock v:ext="edit"/>
            </v:shape>
            <v:shape id="AutoShape 685" o:spid="_x0000_s1031" o:spt="32" type="#_x0000_t32" style="position:absolute;left:6331;top:9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path arrowok="t"/>
              <v:fill on="f" focussize="0,0"/>
              <v:stroke endarrow="block"/>
              <v:imagedata o:title=""/>
              <o:lock v:ext="edit"/>
            </v:shape>
            <v:shape id="AutoShape 686" o:spid="_x0000_s1032" o:spt="32" type="#_x0000_t32" style="position:absolute;left:2358;top:9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path arrowok="t"/>
              <v:fill on="f" focussize="0,0"/>
              <v:stroke endarrow="block"/>
              <v:imagedata o:title=""/>
              <o:lock v:ext="edit"/>
            </v:shape>
            <v:shape id="AutoShape 687" o:spid="_x0000_s1033" o:spt="32" type="#_x0000_t32" style="position:absolute;left:4383;top:8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path arrowok="t"/>
              <v:fill on="f" focussize="0,0"/>
              <v:stroke/>
              <v:imagedata o:title=""/>
              <o:lock v:ext="edit"/>
            </v:shape>
            <v:shape id="AutoShape 688" o:spid="_x0000_s1034" o:spt="32" type="#_x0000_t32" style="position:absolute;left:2359;top:9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path arrowok="t"/>
              <v:fill on="f" focussize="0,0"/>
              <v:stroke/>
              <v:imagedata o:title=""/>
              <o:lock v:ext="edit"/>
            </v:shape>
            <v:group id="Group 689" o:spid="_x0000_s1035" o:spt="203" style="position:absolute;left:-180;top:0;height:7693;width:9101;" coordorigin="-180,0" coordsize="910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o:lock v:ext="edit"/>
              <v:shape id="AutoShape 690" o:spid="_x0000_s1036" o:spt="32" type="#_x0000_t32" style="position:absolute;left:5893;top:6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path arrowok="t"/>
                <v:fill on="f" focussize="0,0"/>
                <v:stroke endarrow="block"/>
                <v:imagedata o:title=""/>
                <o:lock v:ext="edit"/>
              </v:shape>
              <v:group id="Group 691" o:spid="_x0000_s1037" o:spt="203" style="position:absolute;left:-180;top:0;height:7693;width:9101;" coordorigin="-180,0" coordsize="910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o:lock v:ext="edit"/>
                <v:shape id="AutoShape 692" o:spid="_x0000_s1038" o:spt="34" type="#_x0000_t34" style="position:absolute;left:6366;top:3154;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8yF8YAAADcAAAADwAAAGRycy9kb3ducmV2LnhtbESPT2vCQBDF70K/wzKF3nSjQiqpq2il&#10;tODJP2CPQ3aapN2dDdmNpt++cxB6m+G9ee83y/XgnbpSF5vABqaTDBRxGWzDlYHz6W28ABUTskUX&#10;mAz8UoT16mG0xMKGGx/oekyVkhCOBRqoU2oLrWNZk8c4CS2xaF+h85hk7SptO7xJuHd6lmW59tiw&#10;NNTY0mtN5c+x9wa2+20/n7tDn/Lz9+fzZec274upMU+Pw+YFVKIh/Zvv1x9W8HO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MhfGAAAA3AAAAA8AAAAAAAAA&#10;AAAAAAAAoQIAAGRycy9kb3ducmV2LnhtbFBLBQYAAAAABAAEAPkAAACUAwAAAAA=&#10;" adj="33">
                  <v:path arrowok="t"/>
                  <v:fill on="f" focussize="0,0"/>
                  <v:stroke joinstyle="miter"/>
                  <v:imagedata o:title=""/>
                  <o:lock v:ext="edit"/>
                </v:shape>
                <v:shape id="Text Box 693" o:spid="_x0000_s1039" o:spt="202" type="#_x0000_t202" style="position:absolute;left:7996;top:2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ArsEA&#10;AADcAAAADwAAAGRycy9kb3ducmV2LnhtbERPTYvCMBC9L/gfwgh7WTS1B1mrsRRR1quuF29DM7bF&#10;ZtI20VZ//WZB8DaP9zmrdDC1uFPnKssKZtMIBHFudcWFgtPvbvINwnlkjbVlUvAgB+l69LHCRNue&#10;D3Q/+kKEEHYJKii9bxIpXV6SQTe1DXHgLrYz6APsCqk77EO4qWUcRXNpsOLQUGJDm5Ly6/FmFNh+&#10;+zCW2ij+Oj/NzyZrD5e4VepzPGRLEJ4G/xa/3Hsd5s8X8P9Mu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wQK7BAAAA3AAAAA8AAAAAAAAAAAAAAAAAmAIAAGRycy9kb3du&#10;cmV2LnhtbFBLBQYAAAAABAAEAPUAAACGAwAAAAA=&#10;">
                  <v:path/>
                  <v:fill focussize="0,0"/>
                  <v:stroke color="#FFFFFF" joinstyle="miter"/>
                  <v:imagedata o:title=""/>
                  <o:lock v:ext="edit"/>
                  <v:textbox>
                    <w:txbxContent>
                      <w:p>
                        <w:pPr>
                          <w:jc w:val="center"/>
                        </w:pPr>
                        <w:r>
                          <w:rPr>
                            <w:rFonts w:hint="eastAsia"/>
                          </w:rPr>
                          <w:t>不能提供符合受理要求的材料</w:t>
                        </w:r>
                      </w:p>
                    </w:txbxContent>
                  </v:textbox>
                </v:shape>
                <v:shape id="AutoShape 694" o:spid="_x0000_s1040" o:spt="32" type="#_x0000_t32" style="position:absolute;left:5893;top:4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d6cYAAADcAAAADwAAAGRycy9kb3ducmV2LnhtbESPQWvCQBCF70L/wzIFb7qxB1ujq5RC&#10;S7F4qErQ25CdJqHZ2bC7auyv7xwEbzO8N+99s1j1rlVnCrHxbGAyzkARl942XBnY795HL6BiQrbY&#10;eiYDV4qwWj4MFphbf+FvOm9TpSSEY44G6pS6XOtY1uQwjn1HLNqPDw6TrKHSNuBFwl2rn7Jsqh02&#10;LA01dvRWU/m7PTkDh6/ZqbgWG1oXk9n6iMHFv92HMcPH/nUOKlGf7ubb9acV/Gf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XenGAAAA3AAAAA8AAAAAAAAA&#10;AAAAAAAAoQIAAGRycy9kb3ducmV2LnhtbFBLBQYAAAAABAAEAPkAAACUAwAAAAA=&#10;">
                  <v:path arrowok="t"/>
                  <v:fill on="f" focussize="0,0"/>
                  <v:stroke endarrow="block"/>
                  <v:imagedata o:title=""/>
                  <o:lock v:ext="edit"/>
                </v:shape>
                <v:shape id="Text Box 695" o:spid="_x0000_s1041" o:spt="202" type="#_x0000_t202" style="position:absolute;left:2568;top:6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dcIA&#10;AADcAAAADwAAAGRycy9kb3ducmV2LnhtbERPTWuDQBC9B/oflinkEppVD02xriLSkF6T9NLb4E5U&#10;6s6qu40mv75bKPQ2j/c5WbGYXlxpcp1lBfE2AkFcW91xo+DjvH96AeE8ssbeMim4kYMif1hlmGo7&#10;85GuJ9+IEMIuRQWt90MqpatbMui2diAO3MVOBn2AUyP1hHMIN71MouhZGuw4NLQ4UNVS/XX6Ngrs&#10;/HYzlsYo2XzezaEqx+MlGZVaPy7lKwhPi/8X/7nfdZi/i+H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9p1wgAAANwAAAAPAAAAAAAAAAAAAAAAAJgCAABkcnMvZG93&#10;bnJldi54bWxQSwUGAAAAAAQABAD1AAAAhwMAAAAA&#10;">
                  <v:path/>
                  <v:fill focussize="0,0"/>
                  <v:stroke color="#FFFFFF" joinstyle="miter"/>
                  <v:imagedata o:title=""/>
                  <o:lock v:ext="edit"/>
                  <v:textbox>
                    <w:txbxContent>
                      <w:p>
                        <w:pPr>
                          <w:jc w:val="center"/>
                        </w:pPr>
                        <w:r>
                          <w:rPr>
                            <w:rFonts w:hint="eastAsia"/>
                          </w:rPr>
                          <w:t>材料齐全并符合受理要求</w:t>
                        </w:r>
                      </w:p>
                    </w:txbxContent>
                  </v:textbox>
                </v:shape>
                <v:shape id="AutoShape 696" o:spid="_x0000_s1042" o:spt="4" type="#_x0000_t4" style="position:absolute;left:4156;top:4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vmMEA&#10;AADcAAAADwAAAGRycy9kb3ducmV2LnhtbERPzWoCMRC+F/oOYYTealYPVbZGEaEg1ourDzDdjJvV&#10;zWRN4u727U2h4G0+vt9ZrAbbiI58qB0rmIwzEMSl0zVXCk7Hr/c5iBCRNTaOScEvBVgtX18WmGvX&#10;84G6IlYihXDIUYGJsc2lDKUhi2HsWuLEnZ23GBP0ldQe+xRuGznNsg9psebUYLCljaHyWtytgstP&#10;a/r9/HbOitJ3crf329vhW6m30bD+BBFpiE/xv3ur0/zZFP6e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Rb5jBAAAA3AAAAA8AAAAAAAAAAAAAAAAAmAIAAGRycy9kb3du&#10;cmV2LnhtbFBLBQYAAAAABAAEAPUAAACGAwAAAAA=&#10;">
                  <v:path/>
                  <v:fill focussize="0,0"/>
                  <v:stroke joinstyle="miter"/>
                  <v:imagedata o:title=""/>
                  <o:lock v:ext="edit"/>
                  <v:textbox>
                    <w:txbxContent>
                      <w:p>
                        <w:r>
                          <w:rPr>
                            <w:rFonts w:hint="eastAsia"/>
                          </w:rPr>
                          <w:t>申请人补充材料</w:t>
                        </w:r>
                      </w:p>
                    </w:txbxContent>
                  </v:textbox>
                </v:shape>
                <v:rect id="Rectangle 697" o:spid="_x0000_s1043" o:spt="1" style="position:absolute;left:2568;top:7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698" o:spid="_x0000_s1044" o:spt="1" style="position:absolute;left:4566;top:3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path/>
                  <v:fill focussize="0,0"/>
                  <v:stroke/>
                  <v:imagedata o:title=""/>
                  <o:lock v:ext="edit"/>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5" o:spt="116" type="#_x0000_t116" style="position:absolute;left:4566;top:1337;height:1423;width:281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V8IA&#10;AADcAAAADwAAAGRycy9kb3ducmV2LnhtbERP32vCMBB+H/g/hBvsZWjq2JxUo5SCzAdh6PT9aM62&#10;LLmUJNr63y8Dwbf7+H7ecj1YI67kQ+tYwXSSgSCunG65VnD82YznIEJE1mgck4IbBVivRk9LzLXr&#10;eU/XQ6xFCuGQo4Imxi6XMlQNWQwT1xEn7uy8xZigr6X22Kdwa+Rbls2kxZZTQ4MdlQ1Vv4eLVfC9&#10;M6U3JfVf5e20PZ7ei9fdrFDq5XkoFiAiDfEhvru3Os3//ID/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zNXwgAAANwAAAAPAAAAAAAAAAAAAAAAAJgCAABkcnMvZG93&#10;bnJldi54bWxQSwUGAAAAAAQABAD1AAAAhwM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700" o:spid="_x0000_s1046" o:spt="203" style="position:absolute;left:-180;top:0;height:7424;width:4774;" coordorigin="-180,0" coordsize="477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o:lock v:ext="edit"/>
                  <v:shape id="AutoShape 701" o:spid="_x0000_s1047" o:spt="32" type="#_x0000_t32" style="position:absolute;left:3663;top:3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path arrowok="t"/>
                    <v:fill on="f" focussize="0,0"/>
                    <v:stroke endarrow="block"/>
                    <v:imagedata o:title=""/>
                    <o:lock v:ext="edit"/>
                  </v:shape>
                  <v:shape id="AutoShape 702" o:spid="_x0000_s1048" o:spt="32" type="#_x0000_t32" style="position:absolute;left:1355;top:3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path arrowok="t"/>
                    <v:fill on="f" focussize="0,0"/>
                    <v:stroke/>
                    <v:imagedata o:title=""/>
                    <o:lock v:ext="edit"/>
                  </v:shape>
                  <v:group id="Group 703" o:spid="_x0000_s1049" o:spt="203" style="position:absolute;left:-180;top:0;height:4020;width:3809;" coordorigin="-180,0" coordsize="3809,4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o:lock v:ext="edit"/>
                    <v:shape id="AutoShape 704" o:spid="_x0000_s1050" o:spt="32" type="#_x0000_t32" style="position:absolute;left:1396;top:1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path arrowok="t"/>
                      <v:fill on="f" focussize="0,0"/>
                      <v:stroke endarrow="block"/>
                      <v:imagedata o:title=""/>
                      <o:lock v:ext="edit"/>
                    </v:shape>
                    <v:shape id="AutoShape 705" o:spid="_x0000_s1051" o:spt="32" type="#_x0000_t32" style="position:absolute;left:2400;top:2967;height:0;width:1229;"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kAsMAAADcAAAADwAAAGRycy9kb3ducmV2LnhtbERPTWsCMRC9C/6HMEIvUrMrVGRrlFUQ&#10;tOBB296nm+kmuJmsm6jbf98UhN7m8T5nsepdI27UBetZQT7JQBBXXluuFXy8b5/nIEJE1th4JgU/&#10;FGC1HA4WWGh/5yPdTrEWKYRDgQpMjG0hZagMOQwT3xIn7tt3DmOCXS11h/cU7ho5zbKZdGg5NRhs&#10;aWOoOp+uTsFhn6/LL2P3b8eLPbxsy+Zajz+Vehr15SuISH38Fz/cO53mz3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JALDAAAA3AAAAA8AAAAAAAAAAAAA&#10;AAAAoQIAAGRycy9kb3ducmV2LnhtbFBLBQYAAAAABAAEAPkAAACRAwAAAAA=&#10;">
                      <v:path arrowok="t"/>
                      <v:fill on="f" focussize="0,0"/>
                      <v:stroke/>
                      <v:imagedata o:title=""/>
                      <o:lock v:ext="edit"/>
                    </v:shape>
                    <v:shape id="AutoShape 706" o:spid="_x0000_s1052" o:spt="4" type="#_x0000_t4" style="position:absolute;left:-180;top:1936;height:2084;width:295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v8EA&#10;AADcAAAADwAAAGRycy9kb3ducmV2LnhtbERPzWrCQBC+C32HZQq96UYPJaSuIoIg1otpH2CaHbPR&#10;7GzcXZP07bsFwdt8fL+zXI+2FT350DhWMJ9lIIgrpxuuFXx/7aY5iBCRNbaOScEvBVivXiZLLLQb&#10;+ER9GWuRQjgUqMDE2BVShsqQxTBzHXHizs5bjAn6WmqPQwq3rVxk2bu02HBqMNjR1lB1Le9WweWn&#10;M8Mxv52zsvK9PBz9/nb6VOrtddx8gIg0xqf44d7rND9fwP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EH7/BAAAA3AAAAA8AAAAAAAAAAAAAAAAAmAIAAGRycy9kb3du&#10;cmV2LnhtbFBLBQYAAAAABAAEAPUAAACGAw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707" o:spid="_x0000_s1053" o:spt="116" type="#_x0000_t116" style="position:absolute;left:184;top: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n8IA&#10;AADcAAAADwAAAGRycy9kb3ducmV2LnhtbERPS2sCMRC+F/ofwhS8lJqtFpGtUZYF0YMg9XEfNtPd&#10;pclkSVJ3/fdGELzNx/ecxWqwRlzIh9axgs9xBoK4crrlWsHpuP6YgwgRWaNxTAquFGC1fH1ZYK5d&#10;zz90OcRapBAOOSpoYuxyKUPVkMUwdh1x4n6dtxgT9LXUHvsUbo2cZNlMWmw5NTTYUdlQ9Xf4twr2&#10;O1N6U1K/Ka/n7en8VbzvZoVSo7eh+AYRaYhP8cO91Wn+fAr3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36fwgAAANwAAAAPAAAAAAAAAAAAAAAAAJgCAABkcnMvZG93&#10;bnJldi54bWxQSwUGAAAAAAQABAD1AAAAhwM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708" o:spid="_x0000_s1054" o:spt="32" type="#_x0000_t32" style="position:absolute;left:1355;top:7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path arrowok="t"/>
                    <v:fill on="f" focussize="0,0"/>
                    <v:stroke endarrow="block"/>
                    <v:imagedata o:title=""/>
                    <o:lock v:ext="edit"/>
                  </v:shape>
                  <v:shape id="AutoShape 709" o:spid="_x0000_s1055" o:spt="32" type="#_x0000_t32" style="position:absolute;left:3663;top:1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path arrowok="t"/>
                    <v:fill on="f" focussize="0,0"/>
                    <v:stroke/>
                    <v:imagedata o:title=""/>
                    <o:lock v:ext="edit"/>
                  </v:shape>
                  <v:shape id="AutoShape 710" o:spid="_x0000_s1056" o:spt="32" type="#_x0000_t32" style="position:absolute;left:3663;top:1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path arrowok="t"/>
                    <v:fill on="f" focussize="0,0"/>
                    <v:stroke endarrow="block"/>
                    <v:imagedata o:title=""/>
                    <o:lock v:ext="edit"/>
                  </v:shape>
                  <v:shape id="Text Box 711" o:spid="_x0000_s1057" o:spt="202" type="#_x0000_t202" style="position:absolute;left:597;top:5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vcAA&#10;AADcAAAADwAAAGRycy9kb3ducmV2LnhtbERPTYvCMBC9L/gfwgheFk3twZVqFBFFr7pevA3N2Bab&#10;SdtEW/31RhC8zeN9znzZmVLcqXGFZQXjUQSCOLW64EzB6X87nIJwHlljaZkUPMjBctH7mWOibcsH&#10;uh99JkIIuwQV5N5XiZQuzcmgG9mKOHAX2xj0ATaZ1A22IdyUMo6iiTRYcGjIsaJ1Tun1eDMKbLt5&#10;GEt1FP+en2a3XtWHS1wrNeh3qxkIT53/ij/uvQ7zp3/wfiZ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XvcAAAADcAAAADwAAAAAAAAAAAAAAAACYAgAAZHJzL2Rvd25y&#10;ZXYueG1sUEsFBgAAAAAEAAQA9QAAAIUDAAAAAA==&#10;">
                    <v:path/>
                    <v:fill focussize="0,0"/>
                    <v:stroke color="#FFFFFF" joinstyle="miter"/>
                    <v:imagedata o:title=""/>
                    <o:lock v:ext="edit"/>
                    <v:textbox>
                      <w:txbxContent>
                        <w:p>
                          <w:r>
                            <w:rPr>
                              <w:rFonts w:hint="eastAsia"/>
                            </w:rPr>
                            <w:t>是</w:t>
                          </w:r>
                        </w:p>
                      </w:txbxContent>
                    </v:textbox>
                  </v:shape>
                  <v:shape id="Text Box 712" o:spid="_x0000_s1058" o:spt="202" type="#_x0000_t202" style="position:absolute;left:2799;top:2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IucMUA&#10;AADcAAAADwAAAGRycy9kb3ducmV2LnhtbESPQWvCQBCF7wX/wzKCt7rRg4TUVYpVVIqFRr1Ps2MS&#10;mp0N2VXT/vrOQehthvfmvW/my9416kZdqD0bmIwTUMSFtzWXBk7HzXMKKkRki41nMvBDAZaLwdMc&#10;M+vv/Em3PJZKQjhkaKCKsc20DkVFDsPYt8SiXXznMMraldp2eJdw1+hpksy0w5qlocKWVhUV3/nV&#10;GZgeMO7zy3Y7S9+/fk+rt490fb4aMxr2ry+gIvXx3/y43lnBT4VW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i5wxQAAANwAAAAPAAAAAAAAAAAAAAAAAJgCAABkcnMv&#10;ZG93bnJldi54bWxQSwUGAAAAAAQABAD1AAAAigMAAAAA&#10;">
                    <v:path/>
                    <v:fill focussize="0,0"/>
                    <v:stroke color="#FFFFFF" joinstyle="miter"/>
                    <v:imagedata o:title=""/>
                    <o:lock v:ext="edit"/>
                    <v:textbox style="mso-fit-shape-to-text:t;">
                      <w:txbxContent>
                        <w:p>
                          <w:r>
                            <w:rPr>
                              <w:rFonts w:hint="eastAsia"/>
                            </w:rPr>
                            <w:t>否</w:t>
                          </w:r>
                        </w:p>
                      </w:txbxContent>
                    </v:textbox>
                  </v:shape>
                </v:group>
                <v:shape id="AutoShape 713" o:spid="_x0000_s1059" o:spt="32" type="#_x0000_t32" style="position:absolute;left:7384;top:1886;flip:x;height:0;width:153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PEMEAAADcAAAADwAAAGRycy9kb3ducmV2LnhtbERP32vCMBB+H/g/hBP2tqYKE9cZixYG&#10;shfRDbbHoznbYHMpTdbU/34ZDHy7j+/nbcrJdmKkwRvHChZZDoK4dtpwo+Dz4+1pDcIHZI2dY1Jw&#10;Iw/ldvawwUK7yCcaz6ERKYR9gQraEPpCSl+3ZNFnridO3MUNFkOCQyP1gDGF204u83wlLRpODS32&#10;VLVUX88/VoGJRzP2hyru37++vY5kbs/OKPU4n3avIAJN4S7+dx90mr9+gb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R88QwQAAANwAAAAPAAAAAAAAAAAAAAAA&#10;AKECAABkcnMvZG93bnJldi54bWxQSwUGAAAAAAQABAD5AAAAjwMAAAAA&#10;">
                  <v:path arrowok="t"/>
                  <v:fill on="f" focussize="0,0"/>
                  <v:stroke endarrow="block"/>
                  <v:imagedata o:title=""/>
                  <o:lock v:ext="edit"/>
                </v:shape>
              </v:group>
            </v:group>
          </v:group>
        </w:pict>
      </w: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宋体" w:cs="Times New Roman"/>
        </w:rPr>
        <w:pict>
          <v:roundrect id="AutoShape 667" o:spid="_x0000_s1064" o:spt="2" style="position:absolute;left:0pt;margin-left:202.4pt;margin-top:277.65pt;height:71.35pt;width:180.85pt;z-index:252200960;mso-width-relative:page;mso-height-relative:page;" filled="f" stroked="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">
            <v:path/>
            <v:fill on="f" focussize="0,0"/>
            <v:stroke on="f"/>
            <v:imagedata o:title=""/>
            <o:lock v:ext="edit"/>
          </v:roundrect>
        </w:pict>
      </w:r>
      <w:r>
        <w:rPr>
          <w:rFonts w:ascii="Times New Roman" w:hAnsi="Times New Roman" w:eastAsia="仿宋_GB2312" w:cs="Times New Roman"/>
          <w:kern w:val="0"/>
          <w:sz w:val="30"/>
          <w:szCs w:val="30"/>
        </w:rPr>
        <w:t>附录二</w:t>
      </w:r>
      <w:bookmarkStart w:id="0" w:name="_Toc495992544"/>
      <w:bookmarkStart w:id="1" w:name="_Toc492328427"/>
      <w:bookmarkStart w:id="2" w:name="_Toc487492185"/>
    </w:p>
    <w:p>
      <w:pPr>
        <w:ind w:right="300"/>
        <w:jc w:val="center"/>
        <w:rPr>
          <w:rFonts w:ascii="Times New Roman" w:hAnsi="Times New Roman" w:eastAsia="仿宋_GB2312" w:cs="Times New Roman"/>
          <w:kern w:val="0"/>
          <w:sz w:val="30"/>
          <w:szCs w:val="30"/>
        </w:rPr>
      </w:pPr>
      <w:r>
        <w:rPr>
          <w:rFonts w:ascii="Times New Roman" w:hAnsi="Times New Roman" w:eastAsia="黑体" w:cs="Times New Roman"/>
          <w:sz w:val="30"/>
          <w:szCs w:val="30"/>
        </w:rPr>
        <w:t>境外上市登记表</w:t>
      </w:r>
      <w:bookmarkEnd w:id="0"/>
      <w:bookmarkEnd w:id="1"/>
      <w:bookmarkEnd w:id="2"/>
      <w:r>
        <w:rPr>
          <w:rFonts w:ascii="Times New Roman" w:hAnsi="Times New Roman" w:eastAsia="黑体" w:cs="Times New Roman"/>
          <w:sz w:val="30"/>
          <w:szCs w:val="30"/>
        </w:rPr>
        <w:t>（示范文本）</w:t>
      </w:r>
    </w:p>
    <w:p>
      <w:pPr>
        <w:spacing w:line="400" w:lineRule="exact"/>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hint="eastAsia" w:ascii="Times New Roman" w:hAnsi="Times New Roman" w:eastAsia="华文楷体" w:cs="Times New Roman"/>
          <w:sz w:val="24"/>
        </w:rPr>
        <w:t xml:space="preserve"> </w:t>
      </w:r>
      <w:r>
        <w:rPr>
          <w:rFonts w:ascii="Times New Roman" w:hAnsi="Times New Roman" w:eastAsia="华文楷体" w:cs="Times New Roman"/>
          <w:sz w:val="24"/>
        </w:rPr>
        <w:t>□</w:t>
      </w:r>
      <w:r>
        <w:rPr>
          <w:rFonts w:ascii="Times New Roman" w:hAnsi="华文楷体" w:eastAsia="华文楷体" w:cs="Times New Roman"/>
          <w:sz w:val="24"/>
        </w:rPr>
        <w:t>注销登记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Style w:val="13"/>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46"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401" w:type="dxa"/>
            <w:gridSpan w:val="21"/>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3187" w:type="dxa"/>
            <w:gridSpan w:val="12"/>
            <w:tcBorders>
              <w:left w:val="single" w:color="auto" w:sz="4" w:space="0"/>
            </w:tcBorders>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873"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530" w:type="dxa"/>
            <w:gridSpan w:val="6"/>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46"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039" w:type="dxa"/>
            <w:gridSpan w:val="4"/>
            <w:tcBorders>
              <w:lef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总股本变更原因</w:t>
            </w:r>
          </w:p>
        </w:tc>
        <w:tc>
          <w:tcPr>
            <w:tcW w:w="6401" w:type="dxa"/>
            <w:gridSpan w:val="21"/>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增发（含超额配售）</w:t>
            </w:r>
            <w:r>
              <w:rPr>
                <w:rFonts w:ascii="Times New Roman" w:hAnsi="Times New Roman" w:eastAsia="华文楷体" w:cs="Times New Roman"/>
                <w:sz w:val="24"/>
              </w:rPr>
              <w:t xml:space="preserve">      □</w:t>
            </w:r>
            <w:r>
              <w:rPr>
                <w:rFonts w:ascii="Times New Roman" w:hAnsi="华文楷体" w:eastAsia="华文楷体" w:cs="Times New Roman"/>
                <w:sz w:val="24"/>
              </w:rPr>
              <w:t>回购</w:t>
            </w:r>
            <w:r>
              <w:rPr>
                <w:rFonts w:ascii="Times New Roman" w:hAnsi="Times New Roman" w:eastAsia="华文楷体" w:cs="Times New Roman"/>
                <w:sz w:val="24"/>
              </w:rPr>
              <w:t xml:space="preserve">      □</w:t>
            </w:r>
            <w:r>
              <w:rPr>
                <w:rFonts w:ascii="Times New Roman" w:hAnsi="华文楷体" w:eastAsia="华文楷体" w:cs="Times New Roman"/>
                <w:sz w:val="24"/>
              </w:rPr>
              <w:t>可转债转股</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资本公积、盈余公积、未分配利润转增股本</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其他</w:t>
            </w:r>
            <w:r>
              <w:rPr>
                <w:rFonts w:ascii="Times New Roman" w:hAnsi="华文楷体" w:eastAsia="华文楷体" w:cs="Times New Roman"/>
                <w:sz w:val="24"/>
                <w:u w:val="single"/>
              </w:rPr>
              <w:t>（具体说明：</w:t>
            </w:r>
            <w:r>
              <w:rPr>
                <w:rFonts w:ascii="Times New Roman" w:hAnsi="Times New Roman" w:eastAsia="华文楷体" w:cs="Times New Roman"/>
                <w:sz w:val="24"/>
                <w:u w:val="single"/>
              </w:rPr>
              <w:t xml:space="preserve">                                 </w:t>
            </w:r>
            <w:r>
              <w:rPr>
                <w:rFonts w:ascii="Times New Roman" w:hAnsi="华文楷体" w:eastAsia="华文楷体" w:cs="Times New Roman"/>
                <w:sz w:val="24"/>
                <w:u w:val="single"/>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4037" w:type="dxa"/>
            <w:gridSpan w:val="16"/>
            <w:vAlign w:val="center"/>
          </w:tcPr>
          <w:p>
            <w:pPr>
              <w:spacing w:line="340" w:lineRule="exact"/>
              <w:jc w:val="center"/>
              <w:rPr>
                <w:rFonts w:ascii="Times New Roman" w:hAnsi="Times New Roman" w:eastAsia="华文楷体" w:cs="Times New Roman"/>
                <w:sz w:val="24"/>
              </w:rPr>
            </w:pPr>
          </w:p>
        </w:tc>
        <w:tc>
          <w:tcPr>
            <w:tcW w:w="851" w:type="dxa"/>
            <w:gridSpan w:val="2"/>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主要境内股东的基本信息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p>
        </w:tc>
        <w:tc>
          <w:tcPr>
            <w:tcW w:w="1482"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名称（或姓名）</w:t>
            </w:r>
          </w:p>
        </w:tc>
        <w:tc>
          <w:tcPr>
            <w:tcW w:w="1825"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526" w:type="dxa"/>
            <w:gridSpan w:val="5"/>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持股比例</w:t>
            </w:r>
          </w:p>
        </w:tc>
        <w:tc>
          <w:tcPr>
            <w:tcW w:w="1513" w:type="dxa"/>
            <w:gridSpan w:val="3"/>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注册地址</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境内股东</w:t>
            </w:r>
            <w:r>
              <w:rPr>
                <w:rFonts w:ascii="Times New Roman" w:hAnsi="Times New Roman" w:eastAsia="华文楷体" w:cs="Times New Roman"/>
                <w:sz w:val="24"/>
              </w:rPr>
              <w:t>1</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境内股东</w:t>
            </w:r>
            <w:r>
              <w:rPr>
                <w:rFonts w:ascii="Times New Roman" w:hAnsi="Times New Roman" w:eastAsia="华文楷体" w:cs="Times New Roman"/>
                <w:sz w:val="24"/>
              </w:rPr>
              <w:t>2</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（可加行）</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发行信息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发行方式</w:t>
            </w:r>
          </w:p>
        </w:tc>
        <w:tc>
          <w:tcPr>
            <w:tcW w:w="7385" w:type="dxa"/>
            <w:gridSpan w:val="24"/>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首次发行</w:t>
            </w:r>
            <w:r>
              <w:rPr>
                <w:rFonts w:ascii="Times New Roman" w:hAnsi="Times New Roman" w:eastAsia="华文楷体" w:cs="Times New Roman"/>
                <w:sz w:val="24"/>
              </w:rPr>
              <w:t xml:space="preserve">           □</w:t>
            </w:r>
            <w:r>
              <w:rPr>
                <w:rFonts w:ascii="Times New Roman" w:hAnsi="华文楷体" w:eastAsia="华文楷体" w:cs="Times New Roman"/>
                <w:sz w:val="24"/>
              </w:rPr>
              <w:t>增发（含超额配售）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12" w:type="dxa"/>
            <w:gridSpan w:val="4"/>
            <w:vMerge w:val="restart"/>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发行种类</w:t>
            </w:r>
          </w:p>
        </w:tc>
        <w:tc>
          <w:tcPr>
            <w:tcW w:w="3462" w:type="dxa"/>
            <w:gridSpan w:val="14"/>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股票</w:t>
            </w:r>
          </w:p>
        </w:tc>
        <w:tc>
          <w:tcPr>
            <w:tcW w:w="1559" w:type="dxa"/>
            <w:gridSpan w:val="5"/>
            <w:vMerge w:val="restart"/>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存托凭证</w:t>
            </w:r>
          </w:p>
        </w:tc>
        <w:tc>
          <w:tcPr>
            <w:tcW w:w="2364" w:type="dxa"/>
            <w:gridSpan w:val="5"/>
            <w:vMerge w:val="restart"/>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12" w:type="dxa"/>
            <w:gridSpan w:val="4"/>
            <w:vMerge w:val="continue"/>
            <w:vAlign w:val="center"/>
          </w:tcPr>
          <w:p>
            <w:pPr>
              <w:spacing w:line="340" w:lineRule="exact"/>
              <w:jc w:val="left"/>
              <w:rPr>
                <w:rFonts w:ascii="Times New Roman" w:hAnsi="Times New Roman" w:eastAsia="华文楷体" w:cs="Times New Roman"/>
                <w:sz w:val="24"/>
              </w:rPr>
            </w:pPr>
          </w:p>
        </w:tc>
        <w:tc>
          <w:tcPr>
            <w:tcW w:w="1761"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普通股</w:t>
            </w:r>
          </w:p>
        </w:tc>
        <w:tc>
          <w:tcPr>
            <w:tcW w:w="170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优先股</w:t>
            </w:r>
          </w:p>
        </w:tc>
        <w:tc>
          <w:tcPr>
            <w:tcW w:w="1559" w:type="dxa"/>
            <w:gridSpan w:val="5"/>
            <w:vMerge w:val="continue"/>
            <w:vAlign w:val="center"/>
          </w:tcPr>
          <w:p>
            <w:pPr>
              <w:spacing w:line="340" w:lineRule="exact"/>
              <w:jc w:val="center"/>
              <w:rPr>
                <w:rFonts w:ascii="Times New Roman" w:hAnsi="Times New Roman" w:eastAsia="华文楷体" w:cs="Times New Roman"/>
                <w:sz w:val="24"/>
              </w:rPr>
            </w:pPr>
          </w:p>
        </w:tc>
        <w:tc>
          <w:tcPr>
            <w:tcW w:w="2364" w:type="dxa"/>
            <w:gridSpan w:val="5"/>
            <w:vMerge w:val="continue"/>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名称及代码</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发行时间</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发行数量</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766" w:type="dxa"/>
            <w:vMerge w:val="restart"/>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实际募集资金</w:t>
            </w:r>
          </w:p>
        </w:tc>
        <w:tc>
          <w:tcPr>
            <w:tcW w:w="746"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金额</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sz w:val="24"/>
              </w:rPr>
            </w:pPr>
          </w:p>
        </w:tc>
        <w:tc>
          <w:tcPr>
            <w:tcW w:w="746"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61" w:type="dxa"/>
            <w:gridSpan w:val="6"/>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701"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559" w:type="dxa"/>
            <w:gridSpan w:val="5"/>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364" w:type="dxa"/>
            <w:gridSpan w:val="5"/>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sz w:val="24"/>
              </w:rPr>
            </w:pPr>
          </w:p>
        </w:tc>
        <w:tc>
          <w:tcPr>
            <w:tcW w:w="4208" w:type="dxa"/>
            <w:gridSpan w:val="17"/>
            <w:tcBorders>
              <w:top w:val="single" w:color="auto" w:sz="4" w:space="0"/>
            </w:tcBorders>
            <w:vAlign w:val="center"/>
          </w:tcPr>
          <w:p>
            <w:pPr>
              <w:jc w:val="center"/>
              <w:rPr>
                <w:rFonts w:ascii="Times New Roman" w:hAnsi="Times New Roman" w:eastAsia="华文楷体" w:cs="Times New Roman"/>
                <w:sz w:val="24"/>
              </w:rPr>
            </w:pPr>
            <w:r>
              <w:rPr>
                <w:rFonts w:ascii="Times New Roman" w:hAnsi="华文楷体" w:eastAsia="华文楷体" w:cs="Times New Roman"/>
                <w:sz w:val="24"/>
              </w:rPr>
              <w:t>合计金额（折美元）</w:t>
            </w:r>
          </w:p>
        </w:tc>
        <w:tc>
          <w:tcPr>
            <w:tcW w:w="3923"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发行募集资金运用信息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国有股减持上缴社保基金情况</w:t>
            </w:r>
          </w:p>
        </w:tc>
        <w:tc>
          <w:tcPr>
            <w:tcW w:w="2186" w:type="dxa"/>
            <w:gridSpan w:val="9"/>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国有股东减持股数</w:t>
            </w:r>
          </w:p>
        </w:tc>
        <w:tc>
          <w:tcPr>
            <w:tcW w:w="1175"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660" w:type="dxa"/>
            <w:gridSpan w:val="7"/>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850"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9"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946" w:type="dxa"/>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186" w:type="dxa"/>
            <w:gridSpan w:val="9"/>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国有股东上缴社保基金股数</w:t>
            </w:r>
          </w:p>
        </w:tc>
        <w:tc>
          <w:tcPr>
            <w:tcW w:w="1181" w:type="dxa"/>
            <w:gridSpan w:val="4"/>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654" w:type="dxa"/>
            <w:gridSpan w:val="6"/>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上缴社保基金金额</w:t>
            </w:r>
          </w:p>
        </w:tc>
        <w:tc>
          <w:tcPr>
            <w:tcW w:w="850" w:type="dxa"/>
            <w:gridSpan w:val="2"/>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9" w:type="dxa"/>
            <w:gridSpan w:val="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946" w:type="dxa"/>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募集资金运用计划</w:t>
            </w:r>
          </w:p>
        </w:tc>
        <w:tc>
          <w:tcPr>
            <w:tcW w:w="1335" w:type="dxa"/>
            <w:gridSpan w:val="6"/>
            <w:vMerge w:val="restart"/>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留存境外</w:t>
            </w:r>
          </w:p>
        </w:tc>
        <w:tc>
          <w:tcPr>
            <w:tcW w:w="1276" w:type="dxa"/>
            <w:gridSpan w:val="4"/>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用途</w:t>
            </w:r>
          </w:p>
        </w:tc>
        <w:tc>
          <w:tcPr>
            <w:tcW w:w="2410" w:type="dxa"/>
            <w:gridSpan w:val="9"/>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金额</w:t>
            </w:r>
          </w:p>
        </w:tc>
        <w:tc>
          <w:tcPr>
            <w:tcW w:w="2505" w:type="dxa"/>
            <w:gridSpan w:val="6"/>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调回境内</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2" w:space="0"/>
              <w:right w:val="single" w:color="auto" w:sz="4" w:space="0"/>
            </w:tcBorders>
            <w:vAlign w:val="center"/>
          </w:tcPr>
          <w:p>
            <w:pPr>
              <w:spacing w:line="340" w:lineRule="exact"/>
              <w:rPr>
                <w:rFonts w:ascii="Times New Roman" w:hAnsi="Times New Roman" w:eastAsia="华文楷体" w:cs="Times New Roman"/>
                <w:sz w:val="24"/>
              </w:rPr>
            </w:pPr>
            <w:r>
              <w:rPr>
                <w:rFonts w:ascii="Times New Roman" w:hAnsi="华文楷体" w:eastAsia="华文楷体" w:cs="Times New Roman"/>
                <w:sz w:val="24"/>
              </w:rPr>
              <w:t>其中</w:t>
            </w:r>
            <w:r>
              <w:rPr>
                <w:rFonts w:ascii="Times New Roman" w:hAnsi="Times New Roman" w:eastAsia="华文楷体" w:cs="Times New Roman"/>
                <w:sz w:val="24"/>
              </w:rPr>
              <w:t>:</w:t>
            </w:r>
            <w:r>
              <w:rPr>
                <w:rFonts w:ascii="Times New Roman" w:hAnsi="华文楷体" w:eastAsia="华文楷体" w:cs="Times New Roman"/>
                <w:sz w:val="24"/>
              </w:rPr>
              <w:t>结汇</w:t>
            </w:r>
          </w:p>
        </w:tc>
        <w:tc>
          <w:tcPr>
            <w:tcW w:w="2410" w:type="dxa"/>
            <w:gridSpan w:val="9"/>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账户信息</w:t>
            </w:r>
          </w:p>
        </w:tc>
        <w:tc>
          <w:tcPr>
            <w:tcW w:w="2611" w:type="dxa"/>
            <w:gridSpan w:val="10"/>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2410" w:type="dxa"/>
            <w:gridSpan w:val="9"/>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境外上市专用外汇账户账号</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结汇待支付账户账号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募集资金实际运用情况</w:t>
            </w:r>
          </w:p>
        </w:tc>
        <w:tc>
          <w:tcPr>
            <w:tcW w:w="1335" w:type="dxa"/>
            <w:gridSpan w:val="6"/>
            <w:vMerge w:val="restart"/>
            <w:tcBorders>
              <w:top w:val="single" w:color="auto" w:sz="2"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留存境外</w:t>
            </w:r>
          </w:p>
        </w:tc>
        <w:tc>
          <w:tcPr>
            <w:tcW w:w="1276" w:type="dxa"/>
            <w:gridSpan w:val="4"/>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用途</w:t>
            </w:r>
          </w:p>
        </w:tc>
        <w:tc>
          <w:tcPr>
            <w:tcW w:w="2410" w:type="dxa"/>
            <w:gridSpan w:val="9"/>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金额</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调回境内</w:t>
            </w:r>
            <w:r>
              <w:rPr>
                <w:rFonts w:ascii="Times New Roman" w:hAnsi="Times New Roman" w:eastAsia="华文楷体" w:cs="Times New Roman"/>
                <w:sz w:val="24"/>
              </w:rPr>
              <w:t xml:space="preserve">     </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其中</w:t>
            </w:r>
            <w:r>
              <w:rPr>
                <w:rFonts w:ascii="Times New Roman" w:hAnsi="Times New Roman" w:eastAsia="华文楷体" w:cs="Times New Roman"/>
                <w:sz w:val="24"/>
              </w:rPr>
              <w:t>:</w:t>
            </w:r>
            <w:r>
              <w:rPr>
                <w:rFonts w:ascii="Times New Roman" w:hAnsi="华文楷体" w:eastAsia="华文楷体" w:cs="Times New Roman"/>
                <w:sz w:val="24"/>
              </w:rPr>
              <w:t>结汇</w:t>
            </w:r>
          </w:p>
        </w:tc>
        <w:tc>
          <w:tcPr>
            <w:tcW w:w="2410" w:type="dxa"/>
            <w:gridSpan w:val="9"/>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回购境外股份信息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557" w:type="dxa"/>
            <w:gridSpan w:val="12"/>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证监会许可文号（如有）</w:t>
            </w:r>
          </w:p>
        </w:tc>
        <w:tc>
          <w:tcPr>
            <w:tcW w:w="5340" w:type="dxa"/>
            <w:gridSpan w:val="16"/>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汇出</w:t>
            </w:r>
          </w:p>
        </w:tc>
        <w:tc>
          <w:tcPr>
            <w:tcW w:w="1334" w:type="dxa"/>
            <w:gridSpan w:val="6"/>
            <w:tcBorders>
              <w:top w:val="single" w:color="auto" w:sz="2" w:space="0"/>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2835" w:type="dxa"/>
            <w:gridSpan w:val="10"/>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情况</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334"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2835" w:type="dxa"/>
            <w:gridSpan w:val="10"/>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回购剩余资金调回</w:t>
            </w:r>
          </w:p>
        </w:tc>
        <w:tc>
          <w:tcPr>
            <w:tcW w:w="1343" w:type="dxa"/>
            <w:gridSpan w:val="7"/>
            <w:vMerge w:val="restart"/>
            <w:tcBorders>
              <w:top w:val="single" w:color="auto" w:sz="4" w:space="0"/>
              <w:left w:val="single" w:color="auto" w:sz="4"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343" w:type="dxa"/>
            <w:gridSpan w:val="7"/>
            <w:vMerge w:val="continue"/>
            <w:tcBorders>
              <w:left w:val="single" w:color="auto" w:sz="4" w:space="0"/>
            </w:tcBorders>
            <w:vAlign w:val="center"/>
          </w:tcPr>
          <w:p>
            <w:pPr>
              <w:spacing w:line="280" w:lineRule="exact"/>
              <w:jc w:val="left"/>
              <w:rPr>
                <w:rFonts w:ascii="Times New Roman" w:hAnsi="Times New Roman" w:eastAsia="华文楷体" w:cs="Times New Roman"/>
                <w:sz w:val="24"/>
              </w:rPr>
            </w:pP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343" w:type="dxa"/>
            <w:gridSpan w:val="7"/>
            <w:tcBorders>
              <w:left w:val="single" w:color="auto" w:sz="4"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5340" w:type="dxa"/>
            <w:gridSpan w:val="16"/>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可转债转股信息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982" w:type="dxa"/>
            <w:gridSpan w:val="13"/>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证监会许可文号（如有）</w:t>
            </w:r>
          </w:p>
        </w:tc>
        <w:tc>
          <w:tcPr>
            <w:tcW w:w="4915" w:type="dxa"/>
            <w:gridSpan w:val="1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223" w:type="dxa"/>
            <w:gridSpan w:val="6"/>
            <w:tcBorders>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外债登记编号</w:t>
            </w:r>
          </w:p>
        </w:tc>
        <w:tc>
          <w:tcPr>
            <w:tcW w:w="1759" w:type="dxa"/>
            <w:gridSpan w:val="7"/>
            <w:tcBorders>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转换比例</w:t>
            </w:r>
          </w:p>
        </w:tc>
        <w:tc>
          <w:tcPr>
            <w:tcW w:w="2505" w:type="dxa"/>
            <w:gridSpan w:val="6"/>
            <w:tcBorders>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债转股前债券总数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债转股前总股数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本次转换债券数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本次转换股数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8897" w:type="dxa"/>
            <w:gridSpan w:val="28"/>
            <w:tcBorders>
              <w:top w:val="single" w:color="auto" w:sz="4"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1798" w:hRule="atLeast"/>
          <w:jc w:val="center"/>
        </w:trPr>
        <w:tc>
          <w:tcPr>
            <w:tcW w:w="8897" w:type="dxa"/>
            <w:gridSpan w:val="28"/>
            <w:tcBorders>
              <w:bottom w:val="single" w:color="auto" w:sz="4" w:space="0"/>
            </w:tcBorders>
            <w:vAlign w:val="center"/>
          </w:tcPr>
          <w:p>
            <w:pPr>
              <w:spacing w:line="52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3106" w:hRule="atLeast"/>
          <w:jc w:val="center"/>
        </w:trPr>
        <w:tc>
          <w:tcPr>
            <w:tcW w:w="8897" w:type="dxa"/>
            <w:gridSpan w:val="28"/>
            <w:tcBorders>
              <w:top w:val="single" w:color="auto" w:sz="4" w:space="0"/>
            </w:tcBorders>
            <w:vAlign w:val="center"/>
          </w:tcPr>
          <w:p>
            <w:pPr>
              <w:spacing w:line="46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spacing w:line="460" w:lineRule="exact"/>
              <w:jc w:val="center"/>
              <w:rPr>
                <w:rFonts w:ascii="Times New Roman" w:hAnsi="Times New Roman" w:eastAsia="华文楷体" w:cs="Times New Roman"/>
                <w:b/>
                <w:sz w:val="24"/>
              </w:rPr>
            </w:pPr>
          </w:p>
          <w:p>
            <w:pPr>
              <w:spacing w:line="460" w:lineRule="exact"/>
              <w:ind w:firstLine="1922" w:firstLineChars="800"/>
              <w:rPr>
                <w:rFonts w:ascii="Times New Roman" w:hAnsi="Times New Roman" w:eastAsia="华文楷体" w:cs="Times New Roman"/>
                <w:b/>
                <w:sz w:val="24"/>
              </w:rPr>
            </w:pPr>
            <w:r>
              <w:rPr>
                <w:rFonts w:ascii="Times New Roman" w:hAnsi="华文楷体" w:eastAsia="华文楷体" w:cs="Times New Roman"/>
                <w:b/>
                <w:sz w:val="24"/>
              </w:rPr>
              <w:t>境外上市的境内公司（名称及公章）：</w:t>
            </w:r>
          </w:p>
          <w:p>
            <w:pPr>
              <w:spacing w:line="460" w:lineRule="exact"/>
              <w:jc w:val="center"/>
              <w:rPr>
                <w:rFonts w:ascii="Times New Roman" w:hAnsi="Times New Roman" w:eastAsia="华文楷体" w:cs="Times New Roman"/>
                <w:b/>
                <w:sz w:val="24"/>
              </w:rPr>
            </w:pP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、境内公司填报本登记表，外汇局审核无误并在资本项目信息系统办理登记后，将加盖业务印章的《业务登记凭证》交境内公司。</w:t>
      </w:r>
    </w:p>
    <w:p>
      <w:pPr>
        <w:rPr>
          <w:rFonts w:ascii="Times New Roman" w:hAnsi="Times New Roman" w:eastAsia="华文仿宋" w:cs="Times New Roman"/>
        </w:rPr>
      </w:pPr>
      <w:r>
        <w:rPr>
          <w:rFonts w:ascii="Times New Roman" w:hAnsi="Times New Roman" w:cs="Times New Roman"/>
        </w:rPr>
        <w:t>2</w:t>
      </w:r>
      <w:r>
        <w:rPr>
          <w:rFonts w:ascii="Times New Roman" w:hAnsi="宋体" w:cs="Times New Roman"/>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rPr>
        <w:t>。</w:t>
      </w:r>
    </w:p>
    <w:p>
      <w:pPr>
        <w:rPr>
          <w:rFonts w:ascii="Times New Roman" w:hAnsi="Times New Roman" w:eastAsia="华文仿宋" w:cs="Times New Roman"/>
        </w:rPr>
      </w:pPr>
    </w:p>
    <w:p>
      <w:pPr>
        <w:widowControl/>
        <w:jc w:val="left"/>
        <w:rPr>
          <w:rFonts w:ascii="Times New Roman" w:hAnsi="Times New Roman" w:eastAsia="华文仿宋" w:cs="Times New Roman"/>
        </w:rPr>
      </w:pPr>
      <w:r>
        <w:rPr>
          <w:rFonts w:ascii="Times New Roman" w:hAnsi="Times New Roman" w:eastAsia="华文仿宋" w:cs="Times New Roman"/>
        </w:rPr>
        <w:br w:type="page"/>
      </w:r>
    </w:p>
    <w:p>
      <w:pPr>
        <w:widowControl/>
        <w:spacing w:line="384"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附录三             </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境外上市登记表（错误示例）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登记类别：　□登记　□变更登记  □注销登记　　　编号（外汇局填写）：</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4"/>
        <w:gridCol w:w="565"/>
        <w:gridCol w:w="863"/>
        <w:gridCol w:w="413"/>
        <w:gridCol w:w="709"/>
        <w:gridCol w:w="307"/>
        <w:gridCol w:w="118"/>
        <w:gridCol w:w="992"/>
        <w:gridCol w:w="283"/>
        <w:gridCol w:w="51"/>
        <w:gridCol w:w="942"/>
        <w:gridCol w:w="213"/>
        <w:gridCol w:w="1063"/>
        <w:gridCol w:w="1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境外上市的境内公司（以下简称境内公司）基本信息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境内公司名称</w:t>
            </w:r>
          </w:p>
        </w:tc>
        <w:tc>
          <w:tcPr>
            <w:tcW w:w="4301" w:type="dxa"/>
            <w:gridSpan w:val="9"/>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统一社会信用代码</w:t>
            </w:r>
          </w:p>
        </w:tc>
        <w:tc>
          <w:tcPr>
            <w:tcW w:w="210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注册地址</w:t>
            </w:r>
          </w:p>
        </w:tc>
        <w:tc>
          <w:tcPr>
            <w:tcW w:w="4301" w:type="dxa"/>
            <w:gridSpan w:val="9"/>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w:t>
            </w:r>
          </w:p>
        </w:tc>
        <w:tc>
          <w:tcPr>
            <w:tcW w:w="210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上市地及证券交易</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所</w:t>
            </w:r>
          </w:p>
        </w:tc>
        <w:tc>
          <w:tcPr>
            <w:tcW w:w="4301" w:type="dxa"/>
            <w:gridSpan w:val="9"/>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上市时间</w:t>
            </w:r>
          </w:p>
        </w:tc>
        <w:tc>
          <w:tcPr>
            <w:tcW w:w="210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证监会批准文号</w:t>
            </w:r>
          </w:p>
        </w:tc>
        <w:tc>
          <w:tcPr>
            <w:tcW w:w="7561" w:type="dxa"/>
            <w:gridSpan w:val="1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证券名</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w:t>
            </w:r>
          </w:p>
        </w:tc>
        <w:tc>
          <w:tcPr>
            <w:tcW w:w="4301" w:type="dxa"/>
            <w:gridSpan w:val="9"/>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证券代码</w:t>
            </w:r>
          </w:p>
        </w:tc>
        <w:tc>
          <w:tcPr>
            <w:tcW w:w="210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总股数</w:t>
            </w:r>
          </w:p>
          <w:p>
            <w:pPr>
              <w:autoSpaceDE w:val="0"/>
              <w:autoSpaceDN w:val="0"/>
              <w:adjustRightInd w:val="0"/>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总股本金额</w:t>
            </w: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总股本变更原因</w:t>
            </w:r>
          </w:p>
        </w:tc>
        <w:tc>
          <w:tcPr>
            <w:tcW w:w="7561" w:type="dxa"/>
            <w:gridSpan w:val="1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□增发（含超额配售）　　　□回购　　　□可转债转股</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□资本公积、盈余公积、未分配利润转增股本</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r>
              <w:rPr>
                <w:rFonts w:ascii="Times New Roman" w:hAnsi="Times New Roman" w:eastAsia="仿宋_GB2312" w:cs="Times New Roman"/>
                <w:kern w:val="0"/>
                <w:sz w:val="24"/>
                <w:szCs w:val="24"/>
                <w:u w:val="single"/>
              </w:rPr>
              <w:t>具体说明　　　　　　　　　　　　　　　　　　　</w:t>
            </w:r>
            <w:r>
              <w:rPr>
                <w:rFonts w:ascii="Times New Roman" w:hAnsi="Times New Roman" w:eastAsia="仿宋_GB2312" w:cs="Times New Roman"/>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w:t>
            </w:r>
          </w:p>
        </w:tc>
        <w:tc>
          <w:tcPr>
            <w:tcW w:w="4301" w:type="dxa"/>
            <w:gridSpan w:val="9"/>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c>
          <w:tcPr>
            <w:tcW w:w="210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主要境内股东的基本信息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名称（或姓名）</w:t>
            </w:r>
          </w:p>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统一社会信用代码（或身份证号码）</w:t>
            </w: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持股比例</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注册地址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境内股东1</w:t>
            </w: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境内股东2</w:t>
            </w: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发行方式</w:t>
            </w:r>
          </w:p>
        </w:tc>
        <w:tc>
          <w:tcPr>
            <w:tcW w:w="5720" w:type="dxa"/>
            <w:gridSpan w:val="10"/>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□首次发行　　　　　　　□增发（含超额配售）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85"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发行种类</w:t>
            </w:r>
          </w:p>
        </w:tc>
        <w:tc>
          <w:tcPr>
            <w:tcW w:w="2409" w:type="dxa"/>
            <w:gridSpan w:val="5"/>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股票</w:t>
            </w:r>
          </w:p>
        </w:tc>
        <w:tc>
          <w:tcPr>
            <w:tcW w:w="1206"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存托凭证</w:t>
            </w:r>
          </w:p>
        </w:tc>
        <w:tc>
          <w:tcPr>
            <w:tcW w:w="210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85"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34"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普通股</w:t>
            </w:r>
          </w:p>
        </w:tc>
        <w:tc>
          <w:tcPr>
            <w:tcW w:w="127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优先股</w:t>
            </w:r>
          </w:p>
        </w:tc>
        <w:tc>
          <w:tcPr>
            <w:tcW w:w="120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10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名称及代码</w:t>
            </w:r>
          </w:p>
        </w:tc>
        <w:tc>
          <w:tcPr>
            <w:tcW w:w="1134"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发行时间　</w:t>
            </w:r>
          </w:p>
        </w:tc>
        <w:tc>
          <w:tcPr>
            <w:tcW w:w="1134"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宋体" w:cs="Times New Roman"/>
              </w:rPr>
              <w:pict>
                <v:shape id="Text Box 1763" o:spid="_x0000_s1060" o:spt="202" type="#_x0000_t202" style="position:absolute;left:0pt;margin-left:-75.75pt;margin-top:12.45pt;height:66.7pt;width:43.6pt;z-index:252374016;mso-width-relative:page;mso-height-relative:page;" fillcolor="#BBD5F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">
                  <v:path/>
                  <v:fill type="gradient" on="f" color2="#9CBEE0" focus="100%" focussize="0f,0f">
                    <o:fill type="gradientUnscaled" v:ext="backwardCompatible"/>
                  </v:fill>
                  <v:stroke on="f" weight="1.25pt" color="#739CC3" joinstyle="miter"/>
                  <v:imagedata o:title=""/>
                  <o:lock v:ext="edit"/>
                  <v:textbox>
                    <w:txbxContent>
                      <w:p>
                        <w:pPr>
                          <w:rPr>
                            <w:rFonts w:ascii="楷体_GB2312" w:eastAsia="楷体_GB2312"/>
                          </w:rPr>
                        </w:pPr>
                        <w:r>
                          <w:rPr>
                            <w:rFonts w:hint="eastAsia" w:ascii="楷体_GB2312" w:eastAsia="楷体_GB2312"/>
                          </w:rPr>
                          <w:t>金额与币种不匹配</w:t>
                        </w:r>
                      </w:p>
                    </w:txbxContent>
                  </v:textbox>
                </v:shape>
              </w:pict>
            </w:r>
            <w:r>
              <w:rPr>
                <w:rFonts w:ascii="Times New Roman" w:hAnsi="Times New Roman" w:eastAsia="宋体" w:cs="Times New Roman"/>
              </w:rPr>
              <w:pict>
                <v:rect id="Rectangle 1761" o:spid="_x0000_s1063" o:spt="1" style="position:absolute;left:0pt;margin-left:-84pt;margin-top:0.45pt;height:91.5pt;width:59.25pt;z-index:25237196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">
                  <v:path/>
                  <v:fill focussize="0,0"/>
                  <v:stroke color="#C00000"/>
                  <v:imagedata o:title=""/>
                  <o:lock v:ext="edit"/>
                </v:rect>
              </w:pict>
            </w:r>
            <w:r>
              <w:rPr>
                <w:rFonts w:ascii="Times New Roman" w:hAnsi="Times New Roman" w:eastAsia="宋体" w:cs="Times New Roman"/>
              </w:rPr>
              <w:pict>
                <v:shape id="Oval 1760" o:spid="_x0000_s1062" o:spt="3" type="#_x0000_t3" style="position:absolute;left:0pt;margin-left:72.75pt;margin-top:11.5pt;height:25.5pt;width:62.25pt;z-index:25237094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">
                  <v:path/>
                  <v:fill on="f" focussize="0,0"/>
                  <v:stroke weight="1.5pt" color="#C00000"/>
                  <v:imagedata o:title=""/>
                  <o:lock v:ext="edit"/>
                </v:shape>
              </w:pict>
            </w:r>
            <w:r>
              <w:rPr>
                <w:rFonts w:ascii="Times New Roman" w:hAnsi="Times New Roman" w:eastAsia="仿宋_GB2312" w:cs="Times New Roman"/>
                <w:kern w:val="0"/>
                <w:sz w:val="24"/>
                <w:szCs w:val="24"/>
              </w:rPr>
              <w:t>发行数量</w:t>
            </w:r>
          </w:p>
        </w:tc>
        <w:tc>
          <w:tcPr>
            <w:tcW w:w="1134"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gridSpan w:val="2"/>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宋体" w:cs="Times New Roman"/>
              </w:rPr>
              <w:pict>
                <v:shape id="AutoShape 1762" o:spid="_x0000_s1061" o:spt="32" type="#_x0000_t32" style="position:absolute;left:0pt;flip:x;margin-left:-24.75pt;margin-top:8.9pt;height:12pt;width:97.5pt;z-index:25237299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">
                  <v:path arrowok="t"/>
                  <v:fill on="f" focussize="0,0"/>
                  <v:stroke weight="1pt" color="#C00000" endarrow="block"/>
                  <v:imagedata o:title=""/>
                  <o:lock v:ext="edit"/>
                </v:shape>
              </w:pict>
            </w:r>
            <w:r>
              <w:rPr>
                <w:rFonts w:ascii="Times New Roman" w:hAnsi="Times New Roman" w:eastAsia="仿宋_GB2312" w:cs="Times New Roman"/>
                <w:kern w:val="0"/>
                <w:sz w:val="24"/>
                <w:szCs w:val="24"/>
              </w:rPr>
              <w:t>实际</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tc>
        <w:tc>
          <w:tcPr>
            <w:tcW w:w="127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34"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134"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685" w:type="dxa"/>
            <w:gridSpan w:val="7"/>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合计金额（折美元）</w:t>
            </w:r>
          </w:p>
        </w:tc>
        <w:tc>
          <w:tcPr>
            <w:tcW w:w="1206"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发行募集资金运用信息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国有股减持上缴社保基金情况</w:t>
            </w:r>
          </w:p>
        </w:tc>
        <w:tc>
          <w:tcPr>
            <w:tcW w:w="1428"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国有股东减持股数</w:t>
            </w:r>
          </w:p>
        </w:tc>
        <w:tc>
          <w:tcPr>
            <w:tcW w:w="142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减持金额</w:t>
            </w: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国有股东上缴社保基金股数</w:t>
            </w:r>
          </w:p>
        </w:tc>
        <w:tc>
          <w:tcPr>
            <w:tcW w:w="142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上缴社保基金金额</w:t>
            </w: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运用计划</w:t>
            </w:r>
          </w:p>
        </w:tc>
        <w:tc>
          <w:tcPr>
            <w:tcW w:w="1428" w:type="dxa"/>
            <w:gridSpan w:val="2"/>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经常项下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账户信息</w:t>
            </w:r>
          </w:p>
        </w:tc>
        <w:tc>
          <w:tcPr>
            <w:tcW w:w="2857" w:type="dxa"/>
            <w:gridSpan w:val="5"/>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开户银行</w:t>
            </w:r>
          </w:p>
        </w:tc>
        <w:tc>
          <w:tcPr>
            <w:tcW w:w="2599" w:type="dxa"/>
            <w:gridSpan w:val="6"/>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境外上市专用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外汇账户账号</w:t>
            </w:r>
          </w:p>
        </w:tc>
        <w:tc>
          <w:tcPr>
            <w:tcW w:w="210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结汇待支付账户账号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实际运用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情况</w:t>
            </w:r>
          </w:p>
          <w:p>
            <w:pPr>
              <w:autoSpaceDE w:val="0"/>
              <w:autoSpaceDN w:val="0"/>
              <w:adjustRightInd w:val="0"/>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经常项下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回购境外股份信息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8"/>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证监会许可文号（如有）</w:t>
            </w:r>
          </w:p>
        </w:tc>
        <w:tc>
          <w:tcPr>
            <w:tcW w:w="3594" w:type="dxa"/>
            <w:gridSpan w:val="6"/>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w:t>
            </w:r>
          </w:p>
          <w:p>
            <w:pPr>
              <w:autoSpaceDE w:val="0"/>
              <w:autoSpaceDN w:val="0"/>
              <w:adjustRightInd w:val="0"/>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回购金额</w:t>
            </w:r>
          </w:p>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使用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p>
            <w:pPr>
              <w:autoSpaceDE w:val="0"/>
              <w:autoSpaceDN w:val="0"/>
              <w:adjustRightInd w:val="0"/>
              <w:jc w:val="left"/>
              <w:rPr>
                <w:rFonts w:ascii="Times New Roman" w:hAnsi="Times New Roman" w:eastAsia="仿宋_GB2312" w:cs="Times New Roman"/>
                <w:kern w:val="0"/>
                <w:sz w:val="24"/>
                <w:szCs w:val="24"/>
              </w:rPr>
            </w:pPr>
          </w:p>
        </w:tc>
        <w:tc>
          <w:tcPr>
            <w:tcW w:w="1122"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汇出</w:t>
            </w:r>
          </w:p>
          <w:p>
            <w:pPr>
              <w:autoSpaceDE w:val="0"/>
              <w:autoSpaceDN w:val="0"/>
              <w:adjustRightInd w:val="0"/>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完成</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情况</w:t>
            </w:r>
          </w:p>
          <w:p>
            <w:pPr>
              <w:autoSpaceDE w:val="0"/>
              <w:autoSpaceDN w:val="0"/>
              <w:adjustRightInd w:val="0"/>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回购金额</w:t>
            </w:r>
          </w:p>
        </w:tc>
        <w:tc>
          <w:tcPr>
            <w:tcW w:w="1276"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计划使用金额</w:t>
            </w:r>
          </w:p>
        </w:tc>
        <w:tc>
          <w:tcPr>
            <w:tcW w:w="1122"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境内汇出</w:t>
            </w:r>
          </w:p>
        </w:tc>
        <w:tc>
          <w:tcPr>
            <w:tcW w:w="1417"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550" w:type="dxa"/>
            <w:gridSpan w:val="4"/>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回购剩余资金调回</w:t>
            </w:r>
          </w:p>
        </w:tc>
        <w:tc>
          <w:tcPr>
            <w:tcW w:w="1417"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276"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55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276"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可转债转股信息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4" w:type="dxa"/>
            <w:gridSpan w:val="5"/>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证监会许可文号（如有）</w:t>
            </w:r>
          </w:p>
        </w:tc>
        <w:tc>
          <w:tcPr>
            <w:tcW w:w="5011" w:type="dxa"/>
            <w:gridSpan w:val="9"/>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外债登记编号</w:t>
            </w:r>
          </w:p>
        </w:tc>
        <w:tc>
          <w:tcPr>
            <w:tcW w:w="4301" w:type="dxa"/>
            <w:gridSpan w:val="9"/>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转换比例</w:t>
            </w:r>
          </w:p>
        </w:tc>
        <w:tc>
          <w:tcPr>
            <w:tcW w:w="210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trPr>
        <w:tc>
          <w:tcPr>
            <w:tcW w:w="124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债转股前债券总数</w:t>
            </w:r>
          </w:p>
        </w:tc>
        <w:tc>
          <w:tcPr>
            <w:tcW w:w="4301" w:type="dxa"/>
            <w:gridSpan w:val="9"/>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债转股前总股数</w:t>
            </w:r>
          </w:p>
        </w:tc>
        <w:tc>
          <w:tcPr>
            <w:tcW w:w="210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本次转换债券数</w:t>
            </w:r>
          </w:p>
        </w:tc>
        <w:tc>
          <w:tcPr>
            <w:tcW w:w="4301" w:type="dxa"/>
            <w:gridSpan w:val="9"/>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本次转换股数</w:t>
            </w:r>
          </w:p>
        </w:tc>
        <w:tc>
          <w:tcPr>
            <w:tcW w:w="2105"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其他需要说明的信息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tcPr>
          <w:p>
            <w:pPr>
              <w:autoSpaceDE w:val="0"/>
              <w:autoSpaceDN w:val="0"/>
              <w:adjustRightInd w:val="0"/>
              <w:ind w:firstLine="48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境外上市的境内公司（名称及公章）：</w:t>
            </w:r>
          </w:p>
          <w:p>
            <w:pPr>
              <w:autoSpaceDE w:val="0"/>
              <w:autoSpaceDN w:val="0"/>
              <w:adjustRightInd w:val="0"/>
              <w:ind w:right="96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　　月　　日　</w:t>
            </w:r>
          </w:p>
          <w:p>
            <w:pPr>
              <w:autoSpaceDE w:val="0"/>
              <w:autoSpaceDN w:val="0"/>
              <w:adjustRightInd w:val="0"/>
              <w:jc w:val="left"/>
              <w:rPr>
                <w:rFonts w:ascii="Times New Roman" w:hAnsi="Times New Roman" w:eastAsia="仿宋_GB2312" w:cs="Times New Roman"/>
                <w:kern w:val="0"/>
                <w:sz w:val="24"/>
                <w:szCs w:val="24"/>
              </w:rPr>
            </w:pPr>
          </w:p>
        </w:tc>
      </w:tr>
    </w:tbl>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填表说明：</w:t>
      </w:r>
    </w:p>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１</w:t>
      </w:r>
      <w:r>
        <w:rPr>
          <w:rFonts w:hint="eastAsia" w:ascii="Times New Roman" w:hAnsi="宋体" w:cs="Times New Roman"/>
          <w:kern w:val="0"/>
          <w:szCs w:val="21"/>
        </w:rPr>
        <w:t>.</w:t>
      </w:r>
      <w:r>
        <w:rPr>
          <w:rFonts w:ascii="Times New Roman" w:hAnsi="宋体" w:cs="Times New Roman"/>
          <w:kern w:val="0"/>
          <w:szCs w:val="21"/>
        </w:rPr>
        <w:t>境内公司填报本登记表，外汇局审核无误并在资本项目信息系统办理登记后，</w:t>
      </w:r>
      <w:r>
        <w:rPr>
          <w:rFonts w:ascii="Times New Roman" w:hAnsi="Times New Roman" w:cs="Times New Roman"/>
          <w:kern w:val="0"/>
          <w:szCs w:val="21"/>
        </w:rPr>
        <w:t xml:space="preserve"> </w:t>
      </w:r>
      <w:r>
        <w:rPr>
          <w:rFonts w:ascii="Times New Roman" w:hAnsi="宋体" w:cs="Times New Roman"/>
          <w:kern w:val="0"/>
          <w:szCs w:val="21"/>
        </w:rPr>
        <w:t>将加盖业务印章的业务登记凭证交境内公司。</w:t>
      </w:r>
    </w:p>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２</w:t>
      </w:r>
      <w:r>
        <w:rPr>
          <w:rFonts w:hint="eastAsia" w:ascii="Times New Roman" w:hAnsi="宋体" w:cs="Times New Roman"/>
          <w:kern w:val="0"/>
          <w:szCs w:val="21"/>
        </w:rPr>
        <w:t>.</w:t>
      </w:r>
      <w:r>
        <w:rPr>
          <w:rFonts w:ascii="Times New Roman" w:hAnsi="宋体" w:cs="Times New Roman"/>
          <w:kern w:val="0"/>
          <w:szCs w:val="21"/>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kern w:val="0"/>
          <w:szCs w:val="21"/>
        </w:rPr>
        <w:t>。</w:t>
      </w:r>
    </w:p>
    <w:p>
      <w:pPr>
        <w:adjustRightInd w:val="0"/>
        <w:snapToGrid w:val="0"/>
        <w:spacing w:line="360" w:lineRule="auto"/>
        <w:rPr>
          <w:rFonts w:ascii="Times New Roman" w:hAnsi="Times New Roman" w:eastAsia="仿宋_GB2312" w:cs="Times New Roman"/>
          <w:kern w:val="0"/>
          <w:sz w:val="30"/>
          <w:szCs w:val="30"/>
        </w:rPr>
      </w:pPr>
      <w:r>
        <w:rPr>
          <w:rFonts w:ascii="Times New Roman" w:hAnsi="Times New Roman" w:cs="Times New Roman"/>
        </w:rPr>
        <w:br w:type="page"/>
      </w:r>
      <w:r>
        <w:rPr>
          <w:rFonts w:ascii="Times New Roman" w:hAnsi="Times New Roman" w:eastAsia="仿宋_GB2312" w:cs="Times New Roman"/>
          <w:kern w:val="0"/>
          <w:sz w:val="30"/>
          <w:szCs w:val="30"/>
        </w:rPr>
        <w:t xml:space="preserve">附录四            </w:t>
      </w:r>
    </w:p>
    <w:p>
      <w:pPr>
        <w:adjustRightInd w:val="0"/>
        <w:snapToGrid w:val="0"/>
        <w:spacing w:line="360" w:lineRule="auto"/>
        <w:rPr>
          <w:rFonts w:ascii="Times New Roman" w:hAnsi="Times New Roman" w:eastAsia="仿宋_GB2312" w:cs="Times New Roman"/>
          <w:b/>
          <w:kern w:val="0"/>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highlight w:val="yellow"/>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问：境内公司回购其境外股份的，应在拟回购前多少个工作日内办理回购相关信息登记？</w:t>
      </w:r>
    </w:p>
    <w:p>
      <w:pPr>
        <w:adjustRightInd w:val="0"/>
        <w:snapToGrid w:val="0"/>
        <w:spacing w:line="360" w:lineRule="auto"/>
        <w:ind w:firstLine="600" w:firstLineChars="200"/>
        <w:rPr>
          <w:rFonts w:ascii="Times New Roman" w:hAnsi="Times New Roman" w:eastAsia="华文仿宋" w:cs="Times New Roman"/>
        </w:rPr>
      </w:pPr>
      <w:r>
        <w:rPr>
          <w:rFonts w:ascii="Times New Roman" w:hAnsi="Times New Roman" w:eastAsia="仿宋_GB2312" w:cs="Times New Roman"/>
          <w:kern w:val="0"/>
          <w:sz w:val="30"/>
          <w:szCs w:val="30"/>
        </w:rPr>
        <w:t>答：境内公司回购其境外股份的，应在拟回购前20个工作日内办理回购相关信息登记。</w:t>
      </w:r>
    </w:p>
    <w:p>
      <w:pPr>
        <w:rPr>
          <w:rFonts w:ascii="Times New Roman" w:hAnsi="Times New Roman" w:eastAsia="华文仿宋" w:cs="Times New Roman"/>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13</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07827"/>
    <w:rsid w:val="00022191"/>
    <w:rsid w:val="0002378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2F26"/>
    <w:rsid w:val="000D1995"/>
    <w:rsid w:val="000D586D"/>
    <w:rsid w:val="000D7478"/>
    <w:rsid w:val="000F007A"/>
    <w:rsid w:val="001166D7"/>
    <w:rsid w:val="0012267E"/>
    <w:rsid w:val="0012271F"/>
    <w:rsid w:val="00130519"/>
    <w:rsid w:val="00135BEE"/>
    <w:rsid w:val="0014667A"/>
    <w:rsid w:val="00154B58"/>
    <w:rsid w:val="00157C64"/>
    <w:rsid w:val="00157E26"/>
    <w:rsid w:val="00157E81"/>
    <w:rsid w:val="00170126"/>
    <w:rsid w:val="00177059"/>
    <w:rsid w:val="00181D3E"/>
    <w:rsid w:val="00182ADE"/>
    <w:rsid w:val="00196FAE"/>
    <w:rsid w:val="001A3E49"/>
    <w:rsid w:val="001A72AA"/>
    <w:rsid w:val="001B1E2C"/>
    <w:rsid w:val="001C44C7"/>
    <w:rsid w:val="001D65A2"/>
    <w:rsid w:val="001E1407"/>
    <w:rsid w:val="001E6F07"/>
    <w:rsid w:val="001F4BD4"/>
    <w:rsid w:val="001F7297"/>
    <w:rsid w:val="00205D07"/>
    <w:rsid w:val="00212F39"/>
    <w:rsid w:val="00217116"/>
    <w:rsid w:val="00222C90"/>
    <w:rsid w:val="00231EED"/>
    <w:rsid w:val="00233841"/>
    <w:rsid w:val="002344B4"/>
    <w:rsid w:val="00235F24"/>
    <w:rsid w:val="002417D2"/>
    <w:rsid w:val="00241FE8"/>
    <w:rsid w:val="0024527E"/>
    <w:rsid w:val="00252C70"/>
    <w:rsid w:val="00253F7B"/>
    <w:rsid w:val="00254704"/>
    <w:rsid w:val="00256239"/>
    <w:rsid w:val="00263B1F"/>
    <w:rsid w:val="00282244"/>
    <w:rsid w:val="00291C17"/>
    <w:rsid w:val="00291DA3"/>
    <w:rsid w:val="0029313A"/>
    <w:rsid w:val="002B0B1C"/>
    <w:rsid w:val="002B0DDE"/>
    <w:rsid w:val="002B598D"/>
    <w:rsid w:val="002B61C1"/>
    <w:rsid w:val="002D75E4"/>
    <w:rsid w:val="002D7C0E"/>
    <w:rsid w:val="002E126C"/>
    <w:rsid w:val="002E1323"/>
    <w:rsid w:val="002E4F44"/>
    <w:rsid w:val="002F232E"/>
    <w:rsid w:val="002F3868"/>
    <w:rsid w:val="002F5184"/>
    <w:rsid w:val="00300907"/>
    <w:rsid w:val="00302119"/>
    <w:rsid w:val="00302E87"/>
    <w:rsid w:val="00310261"/>
    <w:rsid w:val="00343044"/>
    <w:rsid w:val="00344B01"/>
    <w:rsid w:val="00353AC4"/>
    <w:rsid w:val="003616B4"/>
    <w:rsid w:val="003A57B2"/>
    <w:rsid w:val="003C7132"/>
    <w:rsid w:val="003D77A5"/>
    <w:rsid w:val="003E627D"/>
    <w:rsid w:val="003E6317"/>
    <w:rsid w:val="003E6BF6"/>
    <w:rsid w:val="003F221D"/>
    <w:rsid w:val="003F3097"/>
    <w:rsid w:val="003F6BFA"/>
    <w:rsid w:val="00402AE8"/>
    <w:rsid w:val="00405FE6"/>
    <w:rsid w:val="004105BC"/>
    <w:rsid w:val="00421C27"/>
    <w:rsid w:val="004245D7"/>
    <w:rsid w:val="00426B97"/>
    <w:rsid w:val="00440A1F"/>
    <w:rsid w:val="00443603"/>
    <w:rsid w:val="00443604"/>
    <w:rsid w:val="004501EA"/>
    <w:rsid w:val="00452110"/>
    <w:rsid w:val="00460436"/>
    <w:rsid w:val="00460458"/>
    <w:rsid w:val="0046792D"/>
    <w:rsid w:val="004767DF"/>
    <w:rsid w:val="004913DB"/>
    <w:rsid w:val="00493CCC"/>
    <w:rsid w:val="004A0218"/>
    <w:rsid w:val="004A7840"/>
    <w:rsid w:val="004B545A"/>
    <w:rsid w:val="004B7E80"/>
    <w:rsid w:val="004C1B4C"/>
    <w:rsid w:val="004C3A53"/>
    <w:rsid w:val="004C457E"/>
    <w:rsid w:val="004C48D5"/>
    <w:rsid w:val="004C512D"/>
    <w:rsid w:val="004D03B7"/>
    <w:rsid w:val="004D1436"/>
    <w:rsid w:val="004D57AE"/>
    <w:rsid w:val="004D5EE3"/>
    <w:rsid w:val="004E4854"/>
    <w:rsid w:val="004F190F"/>
    <w:rsid w:val="005056D4"/>
    <w:rsid w:val="005062CB"/>
    <w:rsid w:val="00526B2B"/>
    <w:rsid w:val="005362B0"/>
    <w:rsid w:val="00542447"/>
    <w:rsid w:val="00557FD0"/>
    <w:rsid w:val="00564312"/>
    <w:rsid w:val="005A2981"/>
    <w:rsid w:val="005C1C2B"/>
    <w:rsid w:val="005C6937"/>
    <w:rsid w:val="005C7F02"/>
    <w:rsid w:val="005F0A86"/>
    <w:rsid w:val="005F144A"/>
    <w:rsid w:val="005F1C00"/>
    <w:rsid w:val="0060083D"/>
    <w:rsid w:val="0061621E"/>
    <w:rsid w:val="00617271"/>
    <w:rsid w:val="00630AA8"/>
    <w:rsid w:val="00630B2E"/>
    <w:rsid w:val="00643D2A"/>
    <w:rsid w:val="00664E11"/>
    <w:rsid w:val="00673B30"/>
    <w:rsid w:val="00696D87"/>
    <w:rsid w:val="00696E5D"/>
    <w:rsid w:val="006B5B86"/>
    <w:rsid w:val="006C2905"/>
    <w:rsid w:val="006C5908"/>
    <w:rsid w:val="006C633E"/>
    <w:rsid w:val="006D734F"/>
    <w:rsid w:val="006E043F"/>
    <w:rsid w:val="006E4695"/>
    <w:rsid w:val="006E4B8B"/>
    <w:rsid w:val="006E5901"/>
    <w:rsid w:val="006F449A"/>
    <w:rsid w:val="0071091C"/>
    <w:rsid w:val="00714961"/>
    <w:rsid w:val="007337C5"/>
    <w:rsid w:val="00744BD5"/>
    <w:rsid w:val="00745748"/>
    <w:rsid w:val="007501D5"/>
    <w:rsid w:val="00750E36"/>
    <w:rsid w:val="00753CB0"/>
    <w:rsid w:val="00755460"/>
    <w:rsid w:val="00757813"/>
    <w:rsid w:val="00761FB7"/>
    <w:rsid w:val="00762107"/>
    <w:rsid w:val="00764CB9"/>
    <w:rsid w:val="00765B05"/>
    <w:rsid w:val="00777E9C"/>
    <w:rsid w:val="00785F45"/>
    <w:rsid w:val="007A2780"/>
    <w:rsid w:val="007A5A50"/>
    <w:rsid w:val="007A68EA"/>
    <w:rsid w:val="007B06FC"/>
    <w:rsid w:val="007B0FEF"/>
    <w:rsid w:val="007B2DB5"/>
    <w:rsid w:val="007D102D"/>
    <w:rsid w:val="007D2C11"/>
    <w:rsid w:val="007D3E8F"/>
    <w:rsid w:val="007D6171"/>
    <w:rsid w:val="007D69EA"/>
    <w:rsid w:val="007E2C7B"/>
    <w:rsid w:val="007E411B"/>
    <w:rsid w:val="007F0863"/>
    <w:rsid w:val="007F2F3B"/>
    <w:rsid w:val="00802307"/>
    <w:rsid w:val="00803798"/>
    <w:rsid w:val="0082168E"/>
    <w:rsid w:val="00821968"/>
    <w:rsid w:val="00822C2D"/>
    <w:rsid w:val="008471B6"/>
    <w:rsid w:val="00851521"/>
    <w:rsid w:val="0085686A"/>
    <w:rsid w:val="00860878"/>
    <w:rsid w:val="008731FF"/>
    <w:rsid w:val="00873713"/>
    <w:rsid w:val="0088294A"/>
    <w:rsid w:val="00886BB8"/>
    <w:rsid w:val="0089282A"/>
    <w:rsid w:val="008A4538"/>
    <w:rsid w:val="008A6890"/>
    <w:rsid w:val="008A704B"/>
    <w:rsid w:val="008B08D2"/>
    <w:rsid w:val="008B48EC"/>
    <w:rsid w:val="008B4EE5"/>
    <w:rsid w:val="008B5807"/>
    <w:rsid w:val="008B686F"/>
    <w:rsid w:val="008D1EAE"/>
    <w:rsid w:val="008D5FA0"/>
    <w:rsid w:val="008E2D38"/>
    <w:rsid w:val="008E7D2A"/>
    <w:rsid w:val="008F5724"/>
    <w:rsid w:val="00902633"/>
    <w:rsid w:val="009027D8"/>
    <w:rsid w:val="0090372F"/>
    <w:rsid w:val="00911E27"/>
    <w:rsid w:val="0092129A"/>
    <w:rsid w:val="00925BB2"/>
    <w:rsid w:val="00930C8C"/>
    <w:rsid w:val="0093562D"/>
    <w:rsid w:val="009360EA"/>
    <w:rsid w:val="0094694C"/>
    <w:rsid w:val="00947C57"/>
    <w:rsid w:val="00951149"/>
    <w:rsid w:val="00960EDB"/>
    <w:rsid w:val="009622DB"/>
    <w:rsid w:val="00964C3F"/>
    <w:rsid w:val="009664BC"/>
    <w:rsid w:val="00980F02"/>
    <w:rsid w:val="00991B77"/>
    <w:rsid w:val="00997523"/>
    <w:rsid w:val="009A0C5D"/>
    <w:rsid w:val="009C4672"/>
    <w:rsid w:val="009C491B"/>
    <w:rsid w:val="009D0911"/>
    <w:rsid w:val="009D1AB5"/>
    <w:rsid w:val="009D24F8"/>
    <w:rsid w:val="009D688C"/>
    <w:rsid w:val="009D73D6"/>
    <w:rsid w:val="009F307A"/>
    <w:rsid w:val="009F52BB"/>
    <w:rsid w:val="009F7A36"/>
    <w:rsid w:val="00A249C2"/>
    <w:rsid w:val="00A24FAB"/>
    <w:rsid w:val="00A301E7"/>
    <w:rsid w:val="00A33676"/>
    <w:rsid w:val="00A40838"/>
    <w:rsid w:val="00A42E69"/>
    <w:rsid w:val="00A45CA7"/>
    <w:rsid w:val="00A51415"/>
    <w:rsid w:val="00A6014E"/>
    <w:rsid w:val="00A60356"/>
    <w:rsid w:val="00A71B3E"/>
    <w:rsid w:val="00A80324"/>
    <w:rsid w:val="00A81DF1"/>
    <w:rsid w:val="00A90EF3"/>
    <w:rsid w:val="00AA7717"/>
    <w:rsid w:val="00AB131E"/>
    <w:rsid w:val="00AB142C"/>
    <w:rsid w:val="00AB644F"/>
    <w:rsid w:val="00AC0141"/>
    <w:rsid w:val="00AC3F5E"/>
    <w:rsid w:val="00AD2F86"/>
    <w:rsid w:val="00AE7ACF"/>
    <w:rsid w:val="00B06409"/>
    <w:rsid w:val="00B06964"/>
    <w:rsid w:val="00B14509"/>
    <w:rsid w:val="00B1454D"/>
    <w:rsid w:val="00B17D66"/>
    <w:rsid w:val="00B35D3A"/>
    <w:rsid w:val="00B422F1"/>
    <w:rsid w:val="00B4652E"/>
    <w:rsid w:val="00B71531"/>
    <w:rsid w:val="00B7456C"/>
    <w:rsid w:val="00B84131"/>
    <w:rsid w:val="00B8630E"/>
    <w:rsid w:val="00B931F4"/>
    <w:rsid w:val="00B95573"/>
    <w:rsid w:val="00B96395"/>
    <w:rsid w:val="00BA2AF8"/>
    <w:rsid w:val="00BB2650"/>
    <w:rsid w:val="00BB5BDC"/>
    <w:rsid w:val="00BB7B76"/>
    <w:rsid w:val="00BD0A1C"/>
    <w:rsid w:val="00BD233D"/>
    <w:rsid w:val="00BF039C"/>
    <w:rsid w:val="00BF4EF0"/>
    <w:rsid w:val="00C02E44"/>
    <w:rsid w:val="00C1021F"/>
    <w:rsid w:val="00C147D2"/>
    <w:rsid w:val="00C2075F"/>
    <w:rsid w:val="00C23799"/>
    <w:rsid w:val="00C274C9"/>
    <w:rsid w:val="00C31E02"/>
    <w:rsid w:val="00C4770C"/>
    <w:rsid w:val="00C54291"/>
    <w:rsid w:val="00C57793"/>
    <w:rsid w:val="00C635AE"/>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23B58"/>
    <w:rsid w:val="00D33A4D"/>
    <w:rsid w:val="00D33F76"/>
    <w:rsid w:val="00D41F5E"/>
    <w:rsid w:val="00D43DC0"/>
    <w:rsid w:val="00D54E56"/>
    <w:rsid w:val="00D6407D"/>
    <w:rsid w:val="00D67B78"/>
    <w:rsid w:val="00D67CAC"/>
    <w:rsid w:val="00D76AE6"/>
    <w:rsid w:val="00D91444"/>
    <w:rsid w:val="00D93E78"/>
    <w:rsid w:val="00D9778D"/>
    <w:rsid w:val="00DA6FF9"/>
    <w:rsid w:val="00DB304F"/>
    <w:rsid w:val="00DB331E"/>
    <w:rsid w:val="00DC6E91"/>
    <w:rsid w:val="00DC700C"/>
    <w:rsid w:val="00DC7514"/>
    <w:rsid w:val="00DC7BE2"/>
    <w:rsid w:val="00DD3845"/>
    <w:rsid w:val="00E002F1"/>
    <w:rsid w:val="00E13A54"/>
    <w:rsid w:val="00E1687A"/>
    <w:rsid w:val="00E20A2E"/>
    <w:rsid w:val="00E277DE"/>
    <w:rsid w:val="00E27EE9"/>
    <w:rsid w:val="00E31969"/>
    <w:rsid w:val="00E3239D"/>
    <w:rsid w:val="00E3439B"/>
    <w:rsid w:val="00E42C5F"/>
    <w:rsid w:val="00E65A1B"/>
    <w:rsid w:val="00E70AA6"/>
    <w:rsid w:val="00E72F1F"/>
    <w:rsid w:val="00E8718B"/>
    <w:rsid w:val="00E934AB"/>
    <w:rsid w:val="00EA06AC"/>
    <w:rsid w:val="00EA08BF"/>
    <w:rsid w:val="00EA24FB"/>
    <w:rsid w:val="00EB13BE"/>
    <w:rsid w:val="00EB3204"/>
    <w:rsid w:val="00EB50BA"/>
    <w:rsid w:val="00EC33F3"/>
    <w:rsid w:val="00EC3D33"/>
    <w:rsid w:val="00ED1D45"/>
    <w:rsid w:val="00ED302A"/>
    <w:rsid w:val="00ED3A42"/>
    <w:rsid w:val="00EE02BC"/>
    <w:rsid w:val="00EE6970"/>
    <w:rsid w:val="00EF38D0"/>
    <w:rsid w:val="00EF3DDF"/>
    <w:rsid w:val="00EF4A8C"/>
    <w:rsid w:val="00F07AFF"/>
    <w:rsid w:val="00F2678C"/>
    <w:rsid w:val="00F27B38"/>
    <w:rsid w:val="00F40278"/>
    <w:rsid w:val="00F41832"/>
    <w:rsid w:val="00F41ABD"/>
    <w:rsid w:val="00F56988"/>
    <w:rsid w:val="00F620FB"/>
    <w:rsid w:val="00F6571F"/>
    <w:rsid w:val="00F8255C"/>
    <w:rsid w:val="00F8687E"/>
    <w:rsid w:val="00F90E20"/>
    <w:rsid w:val="00F93331"/>
    <w:rsid w:val="00F95549"/>
    <w:rsid w:val="00F969A0"/>
    <w:rsid w:val="00FA1E24"/>
    <w:rsid w:val="00FA24FB"/>
    <w:rsid w:val="00FA632B"/>
    <w:rsid w:val="00FB38EA"/>
    <w:rsid w:val="00FB5E0F"/>
    <w:rsid w:val="00FB6AFF"/>
    <w:rsid w:val="00FC4D8F"/>
    <w:rsid w:val="00FD06D3"/>
    <w:rsid w:val="00FE3157"/>
    <w:rsid w:val="00FE6865"/>
    <w:rsid w:val="00FE6993"/>
    <w:rsid w:val="2986587C"/>
    <w:rsid w:val="430C6EF0"/>
    <w:rsid w:val="44BF34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 id="V:Rule17" type="connector" idref="#AutoShape 176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qFormat/>
    <w:uiPriority w:val="0"/>
    <w:rPr>
      <w:rFonts w:ascii="宋体"/>
      <w:sz w:val="18"/>
      <w:szCs w:val="18"/>
    </w:rPr>
  </w:style>
  <w:style w:type="paragraph" w:styleId="6">
    <w:name w:val="annotation text"/>
    <w:basedOn w:val="1"/>
    <w:link w:val="26"/>
    <w:unhideWhenUsed/>
    <w:qFormat/>
    <w:uiPriority w:val="99"/>
    <w:pPr>
      <w:jc w:val="left"/>
    </w:pPr>
    <w:rPr>
      <w:rFonts w:ascii="Calibri" w:hAnsi="Calibri" w:eastAsia="宋体" w:cs="Times New Roman"/>
    </w:rPr>
  </w:style>
  <w:style w:type="paragraph" w:styleId="7">
    <w:name w:val="Balloon Text"/>
    <w:basedOn w:val="1"/>
    <w:link w:val="22"/>
    <w:unhideWhenUsed/>
    <w:qFormat/>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qFormat/>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qFormat/>
    <w:uiPriority w:val="0"/>
    <w:rPr>
      <w:rFonts w:ascii="Calibri" w:hAnsi="Calibri" w:eastAsia="宋体" w:cs="Times New Roman"/>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qFormat/>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qFormat/>
    <w:uiPriority w:val="9"/>
    <w:rPr>
      <w:rFonts w:ascii="仿宋_GB2312" w:hAnsi="Calibri" w:eastAsia="仿宋_GB2312" w:cs="Times New Roman"/>
      <w:sz w:val="30"/>
      <w:szCs w:val="30"/>
    </w:rPr>
  </w:style>
  <w:style w:type="character" w:customStyle="1" w:styleId="31">
    <w:name w:val="脚注文本 Char"/>
    <w:basedOn w:val="15"/>
    <w:semiHidden/>
    <w:qFormat/>
    <w:uiPriority w:val="99"/>
    <w:rPr>
      <w:kern w:val="2"/>
      <w:sz w:val="18"/>
      <w:szCs w:val="18"/>
    </w:rPr>
  </w:style>
  <w:style w:type="character" w:customStyle="1" w:styleId="32">
    <w:name w:val="脚注文本 Char1"/>
    <w:basedOn w:val="15"/>
    <w:link w:val="10"/>
    <w:semiHidden/>
    <w:qFormat/>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qFormat/>
    <w:uiPriority w:val="0"/>
    <w:rPr>
      <w:rFonts w:ascii="宋体"/>
      <w:sz w:val="18"/>
      <w:szCs w:val="18"/>
    </w:rPr>
  </w:style>
  <w:style w:type="character" w:customStyle="1" w:styleId="35">
    <w:name w:val="批注文字 Char1"/>
    <w:basedOn w:val="15"/>
    <w:semiHidden/>
    <w:qFormat/>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qFormat/>
    <w:uiPriority w:val="99"/>
    <w:rPr>
      <w:rFonts w:ascii="宋体" w:eastAsia="宋体"/>
      <w:sz w:val="18"/>
      <w:szCs w:val="18"/>
    </w:rPr>
  </w:style>
  <w:style w:type="character" w:customStyle="1" w:styleId="38">
    <w:name w:val="脚注文本 Char2"/>
    <w:basedOn w:val="15"/>
    <w:semiHidden/>
    <w:qFormat/>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Info spid="_x0000_s1064"/>
    <customShpInfo spid="_x0000_s1060"/>
    <customShpInfo spid="_x0000_s1063"/>
    <customShpInfo spid="_x0000_s1062"/>
    <customShpInfo spid="_x0000_s106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A08C8B-A4B1-4533-B28F-12D951904F37}">
  <ds:schemaRefs/>
</ds:datastoreItem>
</file>

<file path=docProps/app.xml><?xml version="1.0" encoding="utf-8"?>
<Properties xmlns="http://schemas.openxmlformats.org/officeDocument/2006/extended-properties" xmlns:vt="http://schemas.openxmlformats.org/officeDocument/2006/docPropsVTypes">
  <Template>Normal</Template>
  <Pages>14</Pages>
  <Words>855</Words>
  <Characters>4876</Characters>
  <Lines>40</Lines>
  <Paragraphs>11</Paragraphs>
  <TotalTime>241</TotalTime>
  <ScaleCrop>false</ScaleCrop>
  <LinksUpToDate>false</LinksUpToDate>
  <CharactersWithSpaces>5720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2020-02-26T06:12:00Z</dcterms:created>
  <dc:creator>裴建君2</dc:creator>
  <cp:lastModifiedBy>ydl-1312</cp:lastModifiedBy>
  <cp:lastPrinted>2017-11-24T00:22:00Z</cp:lastPrinted>
  <dcterms:modified xsi:type="dcterms:W3CDTF">2020-11-20T10:21:16Z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