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编号：57013</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drawing>
          <wp:inline distT="0" distB="0" distL="0" distR="0">
            <wp:extent cx="1105535" cy="8858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7" cstate="print"/>
                    <a:srcRect/>
                    <a:stretch>
                      <a:fillRect/>
                    </a:stretch>
                  </pic:blipFill>
                  <pic:spPr>
                    <a:xfrm>
                      <a:off x="0" y="0"/>
                      <a:ext cx="1106431" cy="886438"/>
                    </a:xfrm>
                    <a:prstGeom prst="rect">
                      <a:avLst/>
                    </a:prstGeom>
                    <a:noFill/>
                    <a:ln w="9525">
                      <a:noFill/>
                      <a:miter lim="800000"/>
                      <a:headEnd/>
                      <a:tailEnd/>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“银行、农村信用社、兑换机构及非金融机构等结汇、售汇业务市场准入、退出审批”行政审批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bookmarkStart w:id="0" w:name="_GoBack"/>
      <w:bookmarkEnd w:id="0"/>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425"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项目名称：银行、农村信用社、兑换机构及非金融机构等结汇、售汇业务市场准入、退出审批；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项目编号：57013；</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本指南适用于“银行、农村信用社、兑换机构及非金融机构等结汇、售汇业务市场准入、退出审批”的申请和办理。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r>
        <w:rPr>
          <w:rFonts w:ascii="Times New Roman" w:hAnsi="Times New Roman" w:eastAsia="黑体" w:cs="Times New Roman"/>
          <w:sz w:val="30"/>
          <w:szCs w:val="30"/>
        </w:rPr>
        <w:tab/>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（二）《中华人民共和国外汇管理条例》（国务院令第532号）第五十三条：“非金融机构经营结汇、售汇业务，应当由国务院外汇管理部门批准，具体管理办法由国务院外汇管理部门另行制定”。</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四、非金融企业银行间外汇市场准入备案</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2.《中国人民银行关于加快发展外汇市场有关问题的通知》（银发[2005]202号）；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3.《国家外汇管理局关于印发〈非金融企业和非银行金融机构申请银行间即期外汇市场会员资格实施细则（暂行）〉的通知》（汇发[2005]94号）。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中国外汇交易中心。</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国家外汇管理局。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申请人为非金融企业，需同时满足以下条件：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1.上年度经常项目跨境外汇收支25亿美元或者货物贸易进出口总额20亿美元以上；</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2.具有2名以上从事外汇交易的专业人员；</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3.具备与银行间外汇市场联网的电子交易系统；</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4.自申请日起前两年内没有重大违反外汇管理法规行为。</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3118"/>
        <w:gridCol w:w="961"/>
        <w:gridCol w:w="457"/>
        <w:gridCol w:w="850"/>
        <w:gridCol w:w="1985"/>
        <w:gridCol w:w="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11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6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1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9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1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985"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在报告中说明申请目的、人员配备和交易系统等情况</w:t>
            </w:r>
          </w:p>
        </w:tc>
        <w:tc>
          <w:tcPr>
            <w:tcW w:w="497"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1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上年度经常项目跨境外汇收支和货物贸易进出口总额等有关情况的报告</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包括贸易方式主要贸易产品主要进出口市场等</w:t>
            </w:r>
          </w:p>
        </w:tc>
        <w:tc>
          <w:tcPr>
            <w:tcW w:w="497"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1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上年度外汇收支和结售汇业务情况</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包括月度和年度外汇收支情况和结售汇情况</w:t>
            </w:r>
          </w:p>
        </w:tc>
        <w:tc>
          <w:tcPr>
            <w:tcW w:w="497"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31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参与银行间即期外汇市场交易的内部管理制度</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加盖企业公章的复印件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包括交易操作规程、风险管理规定业务权限管理规定等</w:t>
            </w:r>
          </w:p>
        </w:tc>
        <w:tc>
          <w:tcPr>
            <w:tcW w:w="497" w:type="dxa"/>
            <w:vAlign w:val="center"/>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p>
        </w:tc>
        <w:tc>
          <w:tcPr>
            <w:tcW w:w="311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企业集团内部外汇资金集中管理制度</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加盖企业公章的复印件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9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对无需集中办理集团内部成员资金入市交易的企业集团可不报此材料</w:t>
            </w:r>
          </w:p>
        </w:tc>
        <w:tc>
          <w:tcPr>
            <w:tcW w:w="497" w:type="dxa"/>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申请人可通过窗口、邮寄等方式提交材料。中国外汇交易中心，联系电话（021）68797878。邮寄地址：上海市黄浦区中山东一路15号，邮政编码200002。</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1.申请人向中国外汇交易中心提出申请，递交申请材料；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2.中国外汇交易中心初审合格后报国家外汇管理局；</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3.国家外汇管理局审核并决定是否受理。不予受理的，出具不予受理通知书；受理的，出具受理通知书，进行审查报批；</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4.不予许可的，出具不予许可通知书。许可的，国家外汇管理局审核并按程序报批后予以备案，向申请人出具备案通知书。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在特定情况下，非金融企业可以直接向国家外汇管理局提出申请。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一般程序：申请、受理、审查、出具</w:t>
      </w:r>
      <w:r>
        <w:rPr>
          <w:rFonts w:hint="eastAsia" w:ascii="Times New Roman" w:hAnsi="Times New Roman" w:eastAsia="仿宋_GB2312" w:cs="Times New Roman"/>
          <w:sz w:val="30"/>
          <w:szCs w:val="30"/>
        </w:rPr>
        <w:t>备</w:t>
      </w:r>
      <w:r>
        <w:rPr>
          <w:rFonts w:ascii="Times New Roman" w:hAnsi="Times New Roman" w:eastAsia="仿宋_GB2312" w:cs="Times New Roman"/>
          <w:sz w:val="30"/>
          <w:szCs w:val="30"/>
        </w:rPr>
        <w:t>案通知书。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pStyle w:val="6"/>
        <w:ind w:firstLine="600" w:firstLineChars="200"/>
        <w:rPr>
          <w:rFonts w:ascii="Times New Roman" w:hAnsi="Times New Roman" w:eastAsia="仿宋_GB2312"/>
          <w:sz w:val="30"/>
          <w:szCs w:val="30"/>
        </w:rPr>
      </w:pPr>
      <w:r>
        <w:rPr>
          <w:rFonts w:ascii="Times New Roman" w:hAnsi="Times New Roman" w:eastAsia="仿宋_GB2312"/>
          <w:sz w:val="30"/>
          <w:szCs w:val="30"/>
        </w:rPr>
        <w:t>15个工作日。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备案通知书。</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国家外汇局管理局办公地址：北京市海淀区阜成路18号</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国家外汇局管理局办公时间：工作日8:00-17:00 </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电话、电子邮件、网址</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电话、电子邮件、</w:t>
      </w:r>
      <w:r>
        <w:rPr>
          <w:rFonts w:ascii="Times New Roman" w:hAnsi="Times New Roman" w:eastAsia="仿宋_GB2312" w:cs="Times New Roman"/>
          <w:sz w:val="30"/>
          <w:szCs w:val="30"/>
        </w:rPr>
        <w:t>国家外汇管理局官方互联网站公众交流栏目进行。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电话：010-68402271</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电子邮箱：</w:t>
      </w:r>
      <w:r>
        <w:rPr>
          <w:rFonts w:ascii="Times New Roman" w:hAnsi="Times New Roman" w:cs="Times New Roman"/>
          <w:sz w:val="30"/>
          <w:szCs w:val="30"/>
        </w:rPr>
        <w:t>fxmarket@mail.safe.gov.cn</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网址：www.safe.gov.cn</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电话、电子邮件、</w:t>
      </w:r>
      <w:r>
        <w:rPr>
          <w:rFonts w:ascii="Times New Roman" w:hAnsi="Times New Roman" w:eastAsia="仿宋_GB2312" w:cs="Times New Roman"/>
          <w:sz w:val="30"/>
          <w:szCs w:val="30"/>
        </w:rPr>
        <w:t>国家外汇管理局官方互联网站公众交流栏目进行。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电话：010-68402271</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电子邮箱：fxmarket@mail.safe.gov.cn</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网址：www.safe.gov.cn</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无固定格式。有关内容要求详见（六）申请材料。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w:t>
      </w:r>
      <w:r>
        <w:rPr>
          <w:rFonts w:hint="eastAsia" w:ascii="Times New Roman" w:hAnsi="Times New Roman" w:eastAsia="仿宋_GB2312" w:cs="Times New Roman"/>
          <w:sz w:val="30"/>
          <w:szCs w:val="30"/>
        </w:rPr>
        <w:t>15</w:t>
      </w:r>
      <w:r>
        <w:rPr>
          <w:rFonts w:ascii="Times New Roman" w:hAnsi="Times New Roman" w:eastAsia="仿宋_GB2312" w:cs="Times New Roman"/>
          <w:sz w:val="30"/>
          <w:szCs w:val="30"/>
        </w:rPr>
        <w:t>个工作日以内。但办理过程中所需的现场验收等，不计入时限。</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申请材料不完全符合规定，例如参与银行间即期外汇市场交易的内部管理制度未加盖企业公章等。</w:t>
      </w:r>
    </w:p>
    <w:p>
      <w:pPr>
        <w:ind w:right="300" w:firstLine="6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425" w:num="1"/>
          <w:docGrid w:type="lines" w:linePitch="312" w:charSpace="0"/>
        </w:sect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firstLine="420" w:firstLineChars="200"/>
        <w:rPr>
          <w:rFonts w:ascii="Times New Roman" w:hAnsi="Times New Roman" w:cs="Times New Roman"/>
        </w:rPr>
      </w:pPr>
      <w:r>
        <w:rPr>
          <w:rFonts w:ascii="Times New Roman" w:hAnsi="Times New Roman" w:cs="Times New Roman"/>
        </w:rPr>
        <w:pict>
          <v:group id="_x0000_s1523" o:spid="_x0000_s1523" o:spt="203" style="position:absolute;left:0pt;margin-left:-39.65pt;margin-top:41.85pt;height:439.95pt;width:459.7pt;z-index:251658240;mso-width-relative:page;mso-height-relative:page;" coordorigin="1007,3525" coordsize="9194,8799">
            <o:lock v:ext="edit"/>
            <v:shape id="_x0000_s1524" o:spid="_x0000_s1524" o:spt="32" type="#_x0000_t32" style="position:absolute;left:2612;top:4693;height:1468;width:17;" o:connectortype="straight" filled="f" coordsize="21600,21600">
              <v:path arrowok="t"/>
              <v:fill on="f" focussize="0,0"/>
              <v:stroke endarrow="block"/>
              <v:imagedata o:title=""/>
              <o:lock v:ext="edit"/>
            </v:shape>
            <v:shape id="_x0000_s1525" o:spid="_x0000_s1525" o:spt="32" type="#_x0000_t32" style="position:absolute;left:3570;top:6413;height:1;width:1269;" o:connectortype="straight" filled="f" coordsize="21600,21600">
              <v:path arrowok="t"/>
              <v:fill on="f" focussize="0,0"/>
              <v:stroke endarrow="block"/>
              <v:imagedata o:title=""/>
              <o:lock v:ext="edit"/>
            </v:shape>
            <v:shape id="_x0000_s1526" o:spid="_x0000_s1526" o:spt="32" type="#_x0000_t32" style="position:absolute;left:3667;top:7217;height:0;width:1172;" o:connectortype="straight" filled="f" coordsize="21600,21600">
              <v:path arrowok="t"/>
              <v:fill on="f" focussize="0,0"/>
              <v:stroke endarrow="block"/>
              <v:imagedata o:title=""/>
              <o:lock v:ext="edit"/>
            </v:shape>
            <v:shape id="_x0000_s1527" o:spid="_x0000_s1527" o:spt="32" type="#_x0000_t32" style="position:absolute;left:8191;top:5266;flip:y;height:895;width:1;" o:connectortype="straight" filled="f" coordsize="21600,21600">
              <v:path arrowok="t"/>
              <v:fill on="f" focussize="0,0"/>
              <v:stroke endarrow="block"/>
              <v:imagedata o:title=""/>
              <o:lock v:ext="edit"/>
            </v:shape>
            <v:shape id="_x0000_s1528" o:spid="_x0000_s1528" o:spt="32" type="#_x0000_t32" style="position:absolute;left:2629;top:4981;flip:x;height:1;width:4643;" o:connectortype="straight" filled="f" coordsize="21600,21600">
              <v:path arrowok="t"/>
              <v:fill on="f" focussize="0,0"/>
              <v:stroke endarrow="block"/>
              <v:imagedata o:title=""/>
              <o:lock v:ext="edit"/>
            </v:shape>
            <v:shape id="_x0000_s1529" o:spid="_x0000_s1529" o:spt="32" type="#_x0000_t32" style="position:absolute;left:5392;top:9276;height:437;width:0;" o:connectortype="straight" filled="f" coordsize="21600,21600">
              <v:path arrowok="t"/>
              <v:fill on="f" focussize="0,0"/>
              <v:stroke endarrow="block"/>
              <v:imagedata o:title=""/>
              <o:lock v:ext="edit"/>
            </v:shape>
            <v:shape id="_x0000_s1530" o:spid="_x0000_s1530" o:spt="32" type="#_x0000_t32" style="position:absolute;left:6547;top:10247;height:905;width:17;" o:connectortype="straight" filled="f" coordsize="21600,21600">
              <v:path arrowok="t"/>
              <v:fill on="f" focussize="0,0"/>
              <v:stroke endarrow="block"/>
              <v:imagedata o:title=""/>
              <o:lock v:ext="edit"/>
            </v:shape>
            <v:shape id="_x0000_s1531" o:spid="_x0000_s1531" o:spt="32" type="#_x0000_t32" style="position:absolute;left:4432;top:10247;height:905;width:1;" o:connectortype="straight" filled="f" coordsize="21600,21600">
              <v:path arrowok="t"/>
              <v:fill on="f" focussize="0,0"/>
              <v:stroke endarrow="block"/>
              <v:imagedata o:title=""/>
              <o:lock v:ext="edit"/>
            </v:shape>
            <v:shape id="_x0000_s1532" o:spid="_x0000_s1532" o:spt="32" type="#_x0000_t32" style="position:absolute;left:2612;top:7450;height:1391;width:0;" o:connectortype="straight" filled="f" coordsize="21600,21600">
              <v:path arrowok="t"/>
              <v:fill on="f" focussize="0,0"/>
              <v:stroke/>
              <v:imagedata o:title=""/>
              <o:lock v:ext="edit"/>
            </v:shape>
            <v:shape id="_x0000_s1533" o:spid="_x0000_s1533" o:spt="32" type="#_x0000_t32" style="position:absolute;left:2612;top:8841;height:0;width:822;" o:connectortype="straight" filled="f" coordsize="21600,21600">
              <v:path arrowok="t"/>
              <v:fill on="f" focussize="0,0"/>
              <v:stroke endarrow="block"/>
              <v:imagedata o:title=""/>
              <o:lock v:ext="edit"/>
            </v:shape>
            <v:shape id="_x0000_s1534" o:spid="_x0000_s1534" o:spt="110" type="#_x0000_t110" style="position:absolute;left:1007;top:5891;height:1889;width:3274;" coordsize="21600,21600">
              <v:path/>
              <v:fill focussize="0,0"/>
              <v:stroke joinstyle="miter"/>
              <v:imagedata o:title=""/>
              <o:lock v:ext="edit"/>
              <v:textbox>
                <w:txbxContent>
                  <w:p>
                    <w:r>
                      <w:rPr>
                        <w:rFonts w:hint="eastAsia"/>
                      </w:rPr>
                      <w:t>接件并当场（或5个工作日）作出是否受理决定</w:t>
                    </w:r>
                  </w:p>
                  <w:p/>
                </w:txbxContent>
              </v:textbox>
            </v:shape>
            <v:rect id="_x0000_s1535" o:spid="_x0000_s1535" o:spt="1" style="position:absolute;left:7272;top:4470;height:796;width:2094;" coordsize="21600,21600">
              <v:path/>
              <v:fill focussize="0,0"/>
              <v:stroke/>
              <v:imagedata o:title=""/>
              <o:lock v:ext="edit"/>
              <v:textbox>
                <w:txbxContent>
                  <w:p>
                    <w:pPr>
                      <w:jc w:val="center"/>
                    </w:pPr>
                    <w:r>
                      <w:rPr>
                        <w:rFonts w:hint="eastAsia"/>
                      </w:rPr>
                      <w:t>申请人补全材料</w:t>
                    </w:r>
                  </w:p>
                  <w:p/>
                </w:txbxContent>
              </v:textbox>
            </v:rect>
            <v:rect id="_x0000_s1536" o:spid="_x0000_s1536" o:spt="1" style="position:absolute;left:4839;top:6161;height:500;width:5362;" coordsize="21600,21600">
              <v:path/>
              <v:fill focussize="0,0"/>
              <v:stroke/>
              <v:imagedata o:title=""/>
              <o:lock v:ext="edit"/>
              <v:textbox>
                <w:txbxContent>
                  <w:p>
                    <w:r>
                      <w:rPr>
                        <w:rFonts w:hint="eastAsia"/>
                      </w:rPr>
                      <w:t>材料不全或不符合法定形式的，一次性告知补正材料</w:t>
                    </w:r>
                  </w:p>
                  <w:p/>
                </w:txbxContent>
              </v:textbox>
            </v:rect>
            <v:rect id="_x0000_s1537" o:spid="_x0000_s1537" o:spt="1" style="position:absolute;left:4839;top:7013;height:906;width:5362;" coordsize="21600,21600">
              <v:path/>
              <v:fill focussize="0,0"/>
              <v:stroke/>
              <v:imagedata o:title=""/>
              <o:lock v:ext="edit"/>
              <v:textbox>
                <w:txbxContent>
                  <w:p>
                    <w:r>
                      <w:rPr>
                        <w:rFonts w:hint="eastAsia"/>
                      </w:rPr>
                      <w:t>依法不予受理的，作出不予受理决定，出具不予受理通知书</w:t>
                    </w:r>
                  </w:p>
                  <w:p/>
                </w:txbxContent>
              </v:textbox>
            </v:rect>
            <v:rect id="_x0000_s1538" o:spid="_x0000_s1538" o:spt="1" style="position:absolute;left:3433;top:8673;height:603;width:4104;" coordsize="21600,21600">
              <v:path/>
              <v:fill focussize="0,0"/>
              <v:stroke/>
              <v:imagedata o:title=""/>
              <o:lock v:ext="edit"/>
              <v:textbox>
                <w:txbxContent>
                  <w:p>
                    <w:pPr>
                      <w:jc w:val="center"/>
                    </w:pPr>
                    <w:r>
                      <w:rPr>
                        <w:rFonts w:hint="eastAsia"/>
                      </w:rPr>
                      <w:t>依法应予受理，出具受理单</w:t>
                    </w:r>
                  </w:p>
                  <w:p/>
                </w:txbxContent>
              </v:textbox>
            </v:rect>
            <v:rect id="_x0000_s1539" o:spid="_x0000_s1539" o:spt="1" style="position:absolute;left:3434;top:9713;height:534;width:4252;" coordsize="21600,21600">
              <v:path/>
              <v:fill focussize="0,0"/>
              <v:stroke/>
              <v:imagedata o:title=""/>
              <o:lock v:ext="edit"/>
              <v:textbox>
                <w:txbxContent>
                  <w:p>
                    <w:pPr>
                      <w:jc w:val="center"/>
                    </w:pPr>
                    <w:r>
                      <w:rPr>
                        <w:rFonts w:hint="eastAsia"/>
                      </w:rPr>
                      <w:t>审查报批</w:t>
                    </w:r>
                  </w:p>
                  <w:p/>
                </w:txbxContent>
              </v:textbox>
            </v:rect>
            <v:rect id="_x0000_s1540" o:spid="_x0000_s1540" o:spt="1" style="position:absolute;left:1771;top:3525;height:1168;width:2760;" coordsize="21600,21600">
              <v:path/>
              <v:fill focussize="0,0"/>
              <v:stroke/>
              <v:imagedata o:title=""/>
              <o:lock v:ext="edit"/>
              <v:textbox>
                <w:txbxContent>
                  <w:p>
                    <w:pPr>
                      <w:spacing w:before="34"/>
                      <w:rPr>
                        <w:rFonts w:ascii="宋体" w:hAnsi="宋体" w:cs="宋体"/>
                        <w:szCs w:val="21"/>
                      </w:rPr>
                    </w:pPr>
                    <w:r>
                      <w:rPr>
                        <w:rFonts w:hint="eastAsia" w:ascii="宋体" w:hAnsi="宋体" w:cs="宋体"/>
                        <w:szCs w:val="21"/>
                      </w:rPr>
                      <w:t>申请人以现场、邮寄等提交材料提出书面申请，并提交材料</w:t>
                    </w:r>
                  </w:p>
                  <w:p/>
                </w:txbxContent>
              </v:textbox>
            </v:rect>
            <v:rect id="_x0000_s1541" o:spid="_x0000_s1541" o:spt="1" style="position:absolute;left:3433;top:11152;height:1172;width:1747;" coordsize="21600,21600">
              <v:path/>
              <v:fill focussize="0,0"/>
              <v:stroke/>
              <v:imagedata o:title=""/>
              <o:lock v:ext="edit"/>
              <v:textbox>
                <w:txbxContent>
                  <w:p>
                    <w:r>
                      <w:rPr>
                        <w:rFonts w:hint="eastAsia"/>
                      </w:rPr>
                      <w:t>予以许可，向申请人出具正式公文或备案表</w:t>
                    </w:r>
                  </w:p>
                  <w:p/>
                </w:txbxContent>
              </v:textbox>
            </v:rect>
            <v:rect id="_x0000_s1542" o:spid="_x0000_s1542" o:spt="1" style="position:absolute;left:5790;top:11152;height:1172;width:1747;" coordsize="21600,21600">
              <v:path/>
              <v:fill focussize="0,0"/>
              <v:stroke/>
              <v:imagedata o:title=""/>
              <o:lock v:ext="edit"/>
              <v:textbox>
                <w:txbxContent>
                  <w:p>
                    <w:r>
                      <w:rPr>
                        <w:rFonts w:hint="eastAsia"/>
                      </w:rPr>
                      <w:t>依法作出不予许可决定，并送达</w:t>
                    </w:r>
                  </w:p>
                  <w:p/>
                </w:txbxContent>
              </v:textbox>
            </v:rect>
          </v:group>
        </w:pict>
      </w: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Segoe Print"/>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17358"/>
      <w:docPartObj>
        <w:docPartGallery w:val="AutoText"/>
      </w:docPartObj>
    </w:sdtPr>
    <w:sdtContent>
      <w:p>
        <w:pPr>
          <w:pStyle w:val="9"/>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17364"/>
      <w:docPartObj>
        <w:docPartGallery w:val="AutoText"/>
      </w:docPartObj>
    </w:sdtPr>
    <w:sdtContent>
      <w:p>
        <w:pPr>
          <w:pStyle w:val="9"/>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7</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131E"/>
    <w:rsid w:val="00003372"/>
    <w:rsid w:val="000168DB"/>
    <w:rsid w:val="00022191"/>
    <w:rsid w:val="00023783"/>
    <w:rsid w:val="00041960"/>
    <w:rsid w:val="00042B58"/>
    <w:rsid w:val="00054B00"/>
    <w:rsid w:val="00055270"/>
    <w:rsid w:val="00057F76"/>
    <w:rsid w:val="0006560A"/>
    <w:rsid w:val="00072F8A"/>
    <w:rsid w:val="0007427A"/>
    <w:rsid w:val="000750C8"/>
    <w:rsid w:val="00080630"/>
    <w:rsid w:val="00084C01"/>
    <w:rsid w:val="00091661"/>
    <w:rsid w:val="00092D53"/>
    <w:rsid w:val="00096CBB"/>
    <w:rsid w:val="00097F7B"/>
    <w:rsid w:val="000B6901"/>
    <w:rsid w:val="000B728B"/>
    <w:rsid w:val="000C15B3"/>
    <w:rsid w:val="000C2B33"/>
    <w:rsid w:val="000C6C10"/>
    <w:rsid w:val="000D1995"/>
    <w:rsid w:val="000D7478"/>
    <w:rsid w:val="000E4F85"/>
    <w:rsid w:val="0012271F"/>
    <w:rsid w:val="00127A16"/>
    <w:rsid w:val="00130519"/>
    <w:rsid w:val="00135BEE"/>
    <w:rsid w:val="0014667A"/>
    <w:rsid w:val="00154B58"/>
    <w:rsid w:val="00157C64"/>
    <w:rsid w:val="00157E81"/>
    <w:rsid w:val="00170126"/>
    <w:rsid w:val="00177059"/>
    <w:rsid w:val="00181D3E"/>
    <w:rsid w:val="00196FAE"/>
    <w:rsid w:val="001A3E49"/>
    <w:rsid w:val="001A72AA"/>
    <w:rsid w:val="001B1E2C"/>
    <w:rsid w:val="001C44C7"/>
    <w:rsid w:val="001D65A2"/>
    <w:rsid w:val="001E1407"/>
    <w:rsid w:val="001F4BD4"/>
    <w:rsid w:val="001F7297"/>
    <w:rsid w:val="002055A9"/>
    <w:rsid w:val="00205D07"/>
    <w:rsid w:val="00212F39"/>
    <w:rsid w:val="00217116"/>
    <w:rsid w:val="00231EED"/>
    <w:rsid w:val="00233841"/>
    <w:rsid w:val="00234D21"/>
    <w:rsid w:val="00235F24"/>
    <w:rsid w:val="002417D2"/>
    <w:rsid w:val="00241FE8"/>
    <w:rsid w:val="0024527E"/>
    <w:rsid w:val="0024654C"/>
    <w:rsid w:val="0025229A"/>
    <w:rsid w:val="00253F7B"/>
    <w:rsid w:val="00263773"/>
    <w:rsid w:val="00263B1F"/>
    <w:rsid w:val="0028576B"/>
    <w:rsid w:val="00291C17"/>
    <w:rsid w:val="0029313A"/>
    <w:rsid w:val="00293975"/>
    <w:rsid w:val="002B0B1C"/>
    <w:rsid w:val="002B598D"/>
    <w:rsid w:val="002B61C1"/>
    <w:rsid w:val="002C3539"/>
    <w:rsid w:val="002D5278"/>
    <w:rsid w:val="002E1323"/>
    <w:rsid w:val="002E6E2B"/>
    <w:rsid w:val="002F3868"/>
    <w:rsid w:val="00302119"/>
    <w:rsid w:val="00302E87"/>
    <w:rsid w:val="00310261"/>
    <w:rsid w:val="00322CB5"/>
    <w:rsid w:val="00325D3D"/>
    <w:rsid w:val="00343044"/>
    <w:rsid w:val="00344B01"/>
    <w:rsid w:val="00353AC4"/>
    <w:rsid w:val="003616B4"/>
    <w:rsid w:val="00367128"/>
    <w:rsid w:val="00385380"/>
    <w:rsid w:val="00391D71"/>
    <w:rsid w:val="003A57B2"/>
    <w:rsid w:val="003C7132"/>
    <w:rsid w:val="003D77A5"/>
    <w:rsid w:val="003E6BF6"/>
    <w:rsid w:val="003F221D"/>
    <w:rsid w:val="003F3097"/>
    <w:rsid w:val="00402AE8"/>
    <w:rsid w:val="00405FE6"/>
    <w:rsid w:val="004105BC"/>
    <w:rsid w:val="00421C27"/>
    <w:rsid w:val="00437FA3"/>
    <w:rsid w:val="00440A1F"/>
    <w:rsid w:val="00443603"/>
    <w:rsid w:val="00443604"/>
    <w:rsid w:val="004501EA"/>
    <w:rsid w:val="00450FD3"/>
    <w:rsid w:val="00455C01"/>
    <w:rsid w:val="00460458"/>
    <w:rsid w:val="0046792D"/>
    <w:rsid w:val="004767DF"/>
    <w:rsid w:val="00493CCC"/>
    <w:rsid w:val="004967FB"/>
    <w:rsid w:val="004A0218"/>
    <w:rsid w:val="004A2436"/>
    <w:rsid w:val="004A2BF8"/>
    <w:rsid w:val="004A7840"/>
    <w:rsid w:val="004B545A"/>
    <w:rsid w:val="004B7E80"/>
    <w:rsid w:val="004C457E"/>
    <w:rsid w:val="004C48D5"/>
    <w:rsid w:val="004D03B7"/>
    <w:rsid w:val="004D1436"/>
    <w:rsid w:val="004D57AE"/>
    <w:rsid w:val="005056D4"/>
    <w:rsid w:val="00511958"/>
    <w:rsid w:val="005174C0"/>
    <w:rsid w:val="00526B2B"/>
    <w:rsid w:val="0053236D"/>
    <w:rsid w:val="005362B0"/>
    <w:rsid w:val="00542447"/>
    <w:rsid w:val="00557EB9"/>
    <w:rsid w:val="00564312"/>
    <w:rsid w:val="005819EE"/>
    <w:rsid w:val="005A2981"/>
    <w:rsid w:val="005C6937"/>
    <w:rsid w:val="005C7F02"/>
    <w:rsid w:val="005F0A86"/>
    <w:rsid w:val="005F144A"/>
    <w:rsid w:val="005F1C00"/>
    <w:rsid w:val="0061621E"/>
    <w:rsid w:val="00630AA8"/>
    <w:rsid w:val="00630B2E"/>
    <w:rsid w:val="00632EDB"/>
    <w:rsid w:val="00643D2A"/>
    <w:rsid w:val="006476F4"/>
    <w:rsid w:val="00664E11"/>
    <w:rsid w:val="00673B30"/>
    <w:rsid w:val="00696E5D"/>
    <w:rsid w:val="006A22F8"/>
    <w:rsid w:val="006B5B86"/>
    <w:rsid w:val="006C5908"/>
    <w:rsid w:val="006C633E"/>
    <w:rsid w:val="006D56AB"/>
    <w:rsid w:val="006D734F"/>
    <w:rsid w:val="006E043F"/>
    <w:rsid w:val="006E4695"/>
    <w:rsid w:val="006E4B8B"/>
    <w:rsid w:val="006E5901"/>
    <w:rsid w:val="0071091C"/>
    <w:rsid w:val="00714961"/>
    <w:rsid w:val="007166B6"/>
    <w:rsid w:val="0072037F"/>
    <w:rsid w:val="00744BD5"/>
    <w:rsid w:val="00745748"/>
    <w:rsid w:val="00750E36"/>
    <w:rsid w:val="00753CB0"/>
    <w:rsid w:val="00755460"/>
    <w:rsid w:val="00761FB7"/>
    <w:rsid w:val="00762107"/>
    <w:rsid w:val="00764CB9"/>
    <w:rsid w:val="00765B05"/>
    <w:rsid w:val="0077269F"/>
    <w:rsid w:val="00785F45"/>
    <w:rsid w:val="00795E33"/>
    <w:rsid w:val="007A2780"/>
    <w:rsid w:val="007A68EA"/>
    <w:rsid w:val="007B06FC"/>
    <w:rsid w:val="007B0FEF"/>
    <w:rsid w:val="007B2DB5"/>
    <w:rsid w:val="007C3A78"/>
    <w:rsid w:val="007D2C11"/>
    <w:rsid w:val="007D6171"/>
    <w:rsid w:val="007D69EA"/>
    <w:rsid w:val="007E2C7B"/>
    <w:rsid w:val="007E411B"/>
    <w:rsid w:val="007F0863"/>
    <w:rsid w:val="007F2F3B"/>
    <w:rsid w:val="00802307"/>
    <w:rsid w:val="0082168E"/>
    <w:rsid w:val="00821968"/>
    <w:rsid w:val="008377B1"/>
    <w:rsid w:val="008471B6"/>
    <w:rsid w:val="00851521"/>
    <w:rsid w:val="0085686A"/>
    <w:rsid w:val="00860878"/>
    <w:rsid w:val="008731FF"/>
    <w:rsid w:val="0088294A"/>
    <w:rsid w:val="0089282A"/>
    <w:rsid w:val="008A4538"/>
    <w:rsid w:val="008A704B"/>
    <w:rsid w:val="008B08D2"/>
    <w:rsid w:val="008B4EE5"/>
    <w:rsid w:val="008B5807"/>
    <w:rsid w:val="008C3178"/>
    <w:rsid w:val="008D0572"/>
    <w:rsid w:val="008D5CA5"/>
    <w:rsid w:val="008D5FA0"/>
    <w:rsid w:val="008D6EA2"/>
    <w:rsid w:val="008E2D38"/>
    <w:rsid w:val="008F5724"/>
    <w:rsid w:val="008F5900"/>
    <w:rsid w:val="00902633"/>
    <w:rsid w:val="009027D8"/>
    <w:rsid w:val="0090372F"/>
    <w:rsid w:val="00911E27"/>
    <w:rsid w:val="00911E9A"/>
    <w:rsid w:val="0092129A"/>
    <w:rsid w:val="00925BB2"/>
    <w:rsid w:val="00930C8C"/>
    <w:rsid w:val="009322EB"/>
    <w:rsid w:val="009360EA"/>
    <w:rsid w:val="00947C57"/>
    <w:rsid w:val="00951149"/>
    <w:rsid w:val="00956B5A"/>
    <w:rsid w:val="00960EDB"/>
    <w:rsid w:val="009622DB"/>
    <w:rsid w:val="009664BC"/>
    <w:rsid w:val="009717A5"/>
    <w:rsid w:val="00980F02"/>
    <w:rsid w:val="00991B77"/>
    <w:rsid w:val="00997523"/>
    <w:rsid w:val="009A0C5D"/>
    <w:rsid w:val="009A4A78"/>
    <w:rsid w:val="009B2E9C"/>
    <w:rsid w:val="009C4672"/>
    <w:rsid w:val="009C491B"/>
    <w:rsid w:val="009D0911"/>
    <w:rsid w:val="009D24F8"/>
    <w:rsid w:val="009D688C"/>
    <w:rsid w:val="009F7A36"/>
    <w:rsid w:val="00A1075A"/>
    <w:rsid w:val="00A249C2"/>
    <w:rsid w:val="00A24FAB"/>
    <w:rsid w:val="00A301E7"/>
    <w:rsid w:val="00A34C3D"/>
    <w:rsid w:val="00A42E69"/>
    <w:rsid w:val="00A45CA7"/>
    <w:rsid w:val="00A51415"/>
    <w:rsid w:val="00A6014E"/>
    <w:rsid w:val="00A60356"/>
    <w:rsid w:val="00A73164"/>
    <w:rsid w:val="00A81DF1"/>
    <w:rsid w:val="00A90EF3"/>
    <w:rsid w:val="00AA7717"/>
    <w:rsid w:val="00AB131E"/>
    <w:rsid w:val="00AB644F"/>
    <w:rsid w:val="00AC3F5E"/>
    <w:rsid w:val="00AE1262"/>
    <w:rsid w:val="00AE7ACF"/>
    <w:rsid w:val="00AF6C30"/>
    <w:rsid w:val="00B03858"/>
    <w:rsid w:val="00B06409"/>
    <w:rsid w:val="00B17D66"/>
    <w:rsid w:val="00B31FD9"/>
    <w:rsid w:val="00B35D3A"/>
    <w:rsid w:val="00B422F1"/>
    <w:rsid w:val="00B71531"/>
    <w:rsid w:val="00B7456C"/>
    <w:rsid w:val="00B84131"/>
    <w:rsid w:val="00B8630E"/>
    <w:rsid w:val="00B931F4"/>
    <w:rsid w:val="00B95573"/>
    <w:rsid w:val="00B96395"/>
    <w:rsid w:val="00BA0906"/>
    <w:rsid w:val="00BA2AF8"/>
    <w:rsid w:val="00BA6EAB"/>
    <w:rsid w:val="00BB2650"/>
    <w:rsid w:val="00BB5BDC"/>
    <w:rsid w:val="00BB7B76"/>
    <w:rsid w:val="00BD233D"/>
    <w:rsid w:val="00BF2651"/>
    <w:rsid w:val="00BF4EF0"/>
    <w:rsid w:val="00C00731"/>
    <w:rsid w:val="00C02E44"/>
    <w:rsid w:val="00C0337D"/>
    <w:rsid w:val="00C12B91"/>
    <w:rsid w:val="00C147D2"/>
    <w:rsid w:val="00C2075F"/>
    <w:rsid w:val="00C23799"/>
    <w:rsid w:val="00C274C9"/>
    <w:rsid w:val="00C31E02"/>
    <w:rsid w:val="00C54291"/>
    <w:rsid w:val="00C672C3"/>
    <w:rsid w:val="00C712B2"/>
    <w:rsid w:val="00C94325"/>
    <w:rsid w:val="00C97FED"/>
    <w:rsid w:val="00CA1DBB"/>
    <w:rsid w:val="00CA2622"/>
    <w:rsid w:val="00CA5AB9"/>
    <w:rsid w:val="00CA7F2C"/>
    <w:rsid w:val="00CA7FF8"/>
    <w:rsid w:val="00CB5DE7"/>
    <w:rsid w:val="00CC068D"/>
    <w:rsid w:val="00CC4922"/>
    <w:rsid w:val="00CD1FF6"/>
    <w:rsid w:val="00CE25C7"/>
    <w:rsid w:val="00CE3335"/>
    <w:rsid w:val="00CE4849"/>
    <w:rsid w:val="00CE5C8E"/>
    <w:rsid w:val="00CE5F49"/>
    <w:rsid w:val="00D003EC"/>
    <w:rsid w:val="00D01626"/>
    <w:rsid w:val="00D02F0F"/>
    <w:rsid w:val="00D33A4D"/>
    <w:rsid w:val="00D33F76"/>
    <w:rsid w:val="00D40F67"/>
    <w:rsid w:val="00D41F5E"/>
    <w:rsid w:val="00D43DC0"/>
    <w:rsid w:val="00D54E56"/>
    <w:rsid w:val="00D6407D"/>
    <w:rsid w:val="00D7776E"/>
    <w:rsid w:val="00D917DA"/>
    <w:rsid w:val="00D93E78"/>
    <w:rsid w:val="00DC6E91"/>
    <w:rsid w:val="00DC7514"/>
    <w:rsid w:val="00DD3845"/>
    <w:rsid w:val="00DE0C78"/>
    <w:rsid w:val="00E1687A"/>
    <w:rsid w:val="00E20A2E"/>
    <w:rsid w:val="00E226CD"/>
    <w:rsid w:val="00E277DE"/>
    <w:rsid w:val="00E27EE9"/>
    <w:rsid w:val="00E3239D"/>
    <w:rsid w:val="00E3254B"/>
    <w:rsid w:val="00E3439B"/>
    <w:rsid w:val="00E41115"/>
    <w:rsid w:val="00E42C5F"/>
    <w:rsid w:val="00E65A1B"/>
    <w:rsid w:val="00E72F1F"/>
    <w:rsid w:val="00E841A2"/>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01B2F"/>
    <w:rsid w:val="00F2678C"/>
    <w:rsid w:val="00F27B38"/>
    <w:rsid w:val="00F40278"/>
    <w:rsid w:val="00F41832"/>
    <w:rsid w:val="00F56988"/>
    <w:rsid w:val="00F620FB"/>
    <w:rsid w:val="00F6571F"/>
    <w:rsid w:val="00F815BC"/>
    <w:rsid w:val="00F8687E"/>
    <w:rsid w:val="00F93331"/>
    <w:rsid w:val="00F95549"/>
    <w:rsid w:val="00FA1E24"/>
    <w:rsid w:val="00FA24FB"/>
    <w:rsid w:val="00FA632B"/>
    <w:rsid w:val="00FB38EA"/>
    <w:rsid w:val="00FB5E0F"/>
    <w:rsid w:val="00FB6AFF"/>
    <w:rsid w:val="00FC4D8F"/>
    <w:rsid w:val="00FD06D3"/>
    <w:rsid w:val="00FE3157"/>
    <w:rsid w:val="00FE6865"/>
    <w:rsid w:val="00FE6993"/>
    <w:rsid w:val="606E41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524"/>
        <o:r id="V:Rule2" type="connector" idref="#_x0000_s1525"/>
        <o:r id="V:Rule3" type="connector" idref="#_x0000_s1526"/>
        <o:r id="V:Rule4" type="connector" idref="#_x0000_s1527"/>
        <o:r id="V:Rule5" type="connector" idref="#_x0000_s1528"/>
        <o:r id="V:Rule6" type="connector" idref="#_x0000_s1529"/>
        <o:r id="V:Rule7" type="connector" idref="#_x0000_s1530"/>
        <o:r id="V:Rule8" type="connector" idref="#_x0000_s1531"/>
        <o:r id="V:Rule9" type="connector" idref="#_x0000_s1532"/>
        <o:r id="V:Rule10" type="connector" idref="#_x0000_s153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1"/>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2"/>
    <w:qFormat/>
    <w:uiPriority w:val="9"/>
    <w:pPr>
      <w:ind w:right="300"/>
      <w:outlineLvl w:val="2"/>
    </w:pPr>
    <w:rPr>
      <w:rFonts w:ascii="仿宋_GB2312" w:hAnsi="Calibri" w:eastAsia="仿宋_GB2312" w:cs="Times New Roman"/>
      <w:sz w:val="30"/>
      <w:szCs w:val="30"/>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6"/>
    <w:unhideWhenUsed/>
    <w:qFormat/>
    <w:uiPriority w:val="0"/>
    <w:rPr>
      <w:rFonts w:ascii="宋体"/>
      <w:sz w:val="18"/>
      <w:szCs w:val="18"/>
    </w:rPr>
  </w:style>
  <w:style w:type="paragraph" w:styleId="6">
    <w:name w:val="annotation text"/>
    <w:basedOn w:val="1"/>
    <w:link w:val="28"/>
    <w:unhideWhenUsed/>
    <w:uiPriority w:val="99"/>
    <w:pPr>
      <w:jc w:val="left"/>
    </w:pPr>
    <w:rPr>
      <w:rFonts w:ascii="Calibri" w:hAnsi="Calibri" w:eastAsia="宋体" w:cs="Times New Roman"/>
    </w:rPr>
  </w:style>
  <w:style w:type="paragraph" w:styleId="7">
    <w:name w:val="Body Text"/>
    <w:basedOn w:val="1"/>
    <w:link w:val="45"/>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24"/>
    <w:unhideWhenUsed/>
    <w:uiPriority w:val="0"/>
    <w:rPr>
      <w:sz w:val="18"/>
      <w:szCs w:val="18"/>
    </w:rPr>
  </w:style>
  <w:style w:type="paragraph" w:styleId="9">
    <w:name w:val="footer"/>
    <w:basedOn w:val="1"/>
    <w:link w:val="22"/>
    <w:unhideWhenUsed/>
    <w:uiPriority w:val="99"/>
    <w:pPr>
      <w:tabs>
        <w:tab w:val="center" w:pos="4153"/>
        <w:tab w:val="right" w:pos="8306"/>
      </w:tabs>
      <w:snapToGrid w:val="0"/>
      <w:jc w:val="left"/>
    </w:pPr>
    <w:rPr>
      <w:sz w:val="18"/>
      <w:szCs w:val="18"/>
    </w:rPr>
  </w:style>
  <w:style w:type="paragraph" w:styleId="10">
    <w:name w:val="header"/>
    <w:basedOn w:val="1"/>
    <w:link w:val="21"/>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4"/>
    <w:semiHidden/>
    <w:qFormat/>
    <w:uiPriority w:val="0"/>
    <w:pPr>
      <w:snapToGrid w:val="0"/>
      <w:jc w:val="left"/>
    </w:pPr>
    <w:rPr>
      <w:rFonts w:ascii="Times New Roman" w:hAnsi="Times New Roman"/>
      <w:sz w:val="18"/>
      <w:szCs w:val="18"/>
    </w:rPr>
  </w:style>
  <w:style w:type="paragraph" w:styleId="12">
    <w:name w:val="HTML Preformatted"/>
    <w:basedOn w:val="1"/>
    <w:link w:val="2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annotation subject"/>
    <w:basedOn w:val="6"/>
    <w:next w:val="6"/>
    <w:link w:val="46"/>
    <w:semiHidden/>
    <w:unhideWhenUsed/>
    <w:uiPriority w:val="99"/>
    <w:rPr>
      <w:rFonts w:asciiTheme="minorHAnsi" w:hAnsiTheme="minorHAnsi" w:eastAsiaTheme="minorEastAsia" w:cstheme="minorBidi"/>
      <w:b/>
      <w:bCs/>
    </w:rPr>
  </w:style>
  <w:style w:type="table" w:styleId="16">
    <w:name w:val="Table Grid"/>
    <w:basedOn w:val="1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8">
    <w:name w:val="Hyperlink"/>
    <w:basedOn w:val="17"/>
    <w:unhideWhenUsed/>
    <w:uiPriority w:val="99"/>
    <w:rPr>
      <w:rFonts w:hint="default" w:ascii="ˎ̥" w:hAnsi="ˎ̥"/>
      <w:color w:val="0453CC"/>
      <w:sz w:val="20"/>
      <w:szCs w:val="20"/>
      <w:u w:val="none"/>
    </w:rPr>
  </w:style>
  <w:style w:type="character" w:styleId="19">
    <w:name w:val="annotation reference"/>
    <w:basedOn w:val="17"/>
    <w:semiHidden/>
    <w:unhideWhenUsed/>
    <w:uiPriority w:val="0"/>
    <w:rPr>
      <w:sz w:val="21"/>
      <w:szCs w:val="21"/>
    </w:rPr>
  </w:style>
  <w:style w:type="character" w:styleId="20">
    <w:name w:val="footnote reference"/>
    <w:unhideWhenUsed/>
    <w:qFormat/>
    <w:uiPriority w:val="0"/>
    <w:rPr>
      <w:rFonts w:ascii="Times New Roman" w:hAnsi="Times New Roman" w:cs="Times New Roman"/>
      <w:vertAlign w:val="superscript"/>
    </w:rPr>
  </w:style>
  <w:style w:type="character" w:customStyle="1" w:styleId="21">
    <w:name w:val="页眉 Char"/>
    <w:basedOn w:val="17"/>
    <w:link w:val="10"/>
    <w:uiPriority w:val="99"/>
    <w:rPr>
      <w:sz w:val="18"/>
      <w:szCs w:val="18"/>
    </w:rPr>
  </w:style>
  <w:style w:type="character" w:customStyle="1" w:styleId="22">
    <w:name w:val="页脚 Char"/>
    <w:basedOn w:val="17"/>
    <w:link w:val="9"/>
    <w:uiPriority w:val="99"/>
    <w:rPr>
      <w:sz w:val="18"/>
      <w:szCs w:val="18"/>
    </w:rPr>
  </w:style>
  <w:style w:type="paragraph" w:styleId="23">
    <w:name w:val="List Paragraph"/>
    <w:basedOn w:val="1"/>
    <w:qFormat/>
    <w:uiPriority w:val="34"/>
    <w:pPr>
      <w:ind w:firstLine="420" w:firstLineChars="200"/>
    </w:pPr>
  </w:style>
  <w:style w:type="character" w:customStyle="1" w:styleId="24">
    <w:name w:val="批注框文本 Char"/>
    <w:basedOn w:val="17"/>
    <w:link w:val="8"/>
    <w:semiHidden/>
    <w:uiPriority w:val="0"/>
    <w:rPr>
      <w:sz w:val="18"/>
      <w:szCs w:val="18"/>
    </w:rPr>
  </w:style>
  <w:style w:type="character" w:customStyle="1" w:styleId="25">
    <w:name w:val="HTML 预设格式 Char"/>
    <w:basedOn w:val="17"/>
    <w:link w:val="12"/>
    <w:qFormat/>
    <w:uiPriority w:val="99"/>
    <w:rPr>
      <w:rFonts w:ascii="宋体" w:hAnsi="宋体" w:eastAsia="宋体" w:cs="宋体"/>
      <w:kern w:val="0"/>
      <w:sz w:val="24"/>
      <w:szCs w:val="24"/>
    </w:rPr>
  </w:style>
  <w:style w:type="paragraph" w:customStyle="1" w:styleId="26">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7">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8">
    <w:name w:val="批注文字 Char"/>
    <w:basedOn w:val="17"/>
    <w:link w:val="6"/>
    <w:qFormat/>
    <w:uiPriority w:val="99"/>
    <w:rPr>
      <w:rFonts w:ascii="Calibri" w:hAnsi="Calibri" w:eastAsia="宋体" w:cs="Times New Roman"/>
    </w:rPr>
  </w:style>
  <w:style w:type="paragraph" w:customStyle="1" w:styleId="29">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30">
    <w:name w:val="标题 1 Char"/>
    <w:basedOn w:val="17"/>
    <w:link w:val="2"/>
    <w:qFormat/>
    <w:uiPriority w:val="9"/>
    <w:rPr>
      <w:rFonts w:ascii="黑体" w:hAnsi="黑体" w:eastAsia="黑体" w:cs="宋体"/>
      <w:color w:val="000000"/>
      <w:kern w:val="0"/>
      <w:sz w:val="30"/>
      <w:szCs w:val="30"/>
    </w:rPr>
  </w:style>
  <w:style w:type="character" w:customStyle="1" w:styleId="31">
    <w:name w:val="标题 2 Char"/>
    <w:basedOn w:val="17"/>
    <w:link w:val="3"/>
    <w:qFormat/>
    <w:uiPriority w:val="0"/>
    <w:rPr>
      <w:rFonts w:ascii="Cambria" w:hAnsi="Cambria" w:eastAsia="宋体" w:cs="Times New Roman"/>
      <w:b/>
      <w:bCs/>
      <w:sz w:val="32"/>
      <w:szCs w:val="32"/>
    </w:rPr>
  </w:style>
  <w:style w:type="character" w:customStyle="1" w:styleId="32">
    <w:name w:val="标题 3 Char"/>
    <w:basedOn w:val="17"/>
    <w:link w:val="4"/>
    <w:qFormat/>
    <w:uiPriority w:val="9"/>
    <w:rPr>
      <w:rFonts w:ascii="仿宋_GB2312" w:hAnsi="Calibri" w:eastAsia="仿宋_GB2312" w:cs="Times New Roman"/>
      <w:sz w:val="30"/>
      <w:szCs w:val="30"/>
    </w:rPr>
  </w:style>
  <w:style w:type="character" w:customStyle="1" w:styleId="33">
    <w:name w:val="脚注文本 Char"/>
    <w:basedOn w:val="17"/>
    <w:semiHidden/>
    <w:uiPriority w:val="99"/>
    <w:rPr>
      <w:kern w:val="2"/>
      <w:sz w:val="18"/>
      <w:szCs w:val="18"/>
    </w:rPr>
  </w:style>
  <w:style w:type="character" w:customStyle="1" w:styleId="34">
    <w:name w:val="脚注文本 Char1"/>
    <w:basedOn w:val="17"/>
    <w:link w:val="11"/>
    <w:semiHidden/>
    <w:qFormat/>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w:basedOn w:val="17"/>
    <w:link w:val="5"/>
    <w:qFormat/>
    <w:uiPriority w:val="0"/>
    <w:rPr>
      <w:rFonts w:ascii="宋体"/>
      <w:sz w:val="18"/>
      <w:szCs w:val="18"/>
    </w:rPr>
  </w:style>
  <w:style w:type="character" w:customStyle="1" w:styleId="37">
    <w:name w:val="批注文字 Char1"/>
    <w:basedOn w:val="17"/>
    <w:semiHidden/>
    <w:qFormat/>
    <w:uiPriority w:val="99"/>
    <w:rPr>
      <w:kern w:val="2"/>
      <w:sz w:val="21"/>
      <w:szCs w:val="22"/>
    </w:rPr>
  </w:style>
  <w:style w:type="character" w:customStyle="1" w:styleId="38">
    <w:name w:val="Intense Emphasis"/>
    <w:basedOn w:val="17"/>
    <w:qFormat/>
    <w:uiPriority w:val="21"/>
    <w:rPr>
      <w:b/>
      <w:bCs/>
      <w:i/>
      <w:iCs/>
      <w:color w:val="4F81BD"/>
    </w:rPr>
  </w:style>
  <w:style w:type="character" w:customStyle="1" w:styleId="39">
    <w:name w:val="文档结构图 Char1"/>
    <w:basedOn w:val="17"/>
    <w:semiHidden/>
    <w:uiPriority w:val="99"/>
    <w:rPr>
      <w:rFonts w:ascii="宋体" w:eastAsia="宋体"/>
      <w:sz w:val="18"/>
      <w:szCs w:val="18"/>
    </w:rPr>
  </w:style>
  <w:style w:type="character" w:customStyle="1" w:styleId="40">
    <w:name w:val="脚注文本 Char2"/>
    <w:basedOn w:val="17"/>
    <w:semiHidden/>
    <w:qFormat/>
    <w:uiPriority w:val="99"/>
    <w:rPr>
      <w:sz w:val="18"/>
      <w:szCs w:val="18"/>
    </w:rPr>
  </w:style>
  <w:style w:type="paragraph" w:customStyle="1" w:styleId="41">
    <w:name w:val="列出段落1"/>
    <w:basedOn w:val="1"/>
    <w:qFormat/>
    <w:uiPriority w:val="34"/>
    <w:pPr>
      <w:ind w:firstLine="420" w:firstLineChars="200"/>
    </w:pPr>
    <w:rPr>
      <w:rFonts w:ascii="Calibri" w:hAnsi="Calibri" w:eastAsia="宋体" w:cs="Times New Roman"/>
    </w:rPr>
  </w:style>
  <w:style w:type="paragraph" w:customStyle="1" w:styleId="42">
    <w:name w:val="列出段落4"/>
    <w:basedOn w:val="1"/>
    <w:qFormat/>
    <w:uiPriority w:val="0"/>
    <w:pPr>
      <w:ind w:firstLine="200" w:firstLineChars="200"/>
    </w:pPr>
    <w:rPr>
      <w:rFonts w:ascii="Calibri" w:hAnsi="Calibri" w:eastAsia="宋体" w:cs="Times New Roman"/>
    </w:rPr>
  </w:style>
  <w:style w:type="paragraph" w:customStyle="1" w:styleId="43">
    <w:name w:val="列出段落3"/>
    <w:basedOn w:val="1"/>
    <w:qFormat/>
    <w:uiPriority w:val="0"/>
    <w:pPr>
      <w:ind w:firstLine="420" w:firstLineChars="200"/>
    </w:pPr>
    <w:rPr>
      <w:rFonts w:ascii="Times New Roman" w:hAnsi="Times New Roman" w:eastAsia="宋体" w:cs="Times New Roman"/>
      <w:szCs w:val="24"/>
    </w:rPr>
  </w:style>
  <w:style w:type="paragraph" w:customStyle="1" w:styleId="44">
    <w:name w:val="p0"/>
    <w:basedOn w:val="1"/>
    <w:qFormat/>
    <w:uiPriority w:val="0"/>
    <w:pPr>
      <w:widowControl/>
    </w:pPr>
    <w:rPr>
      <w:rFonts w:ascii="Calibri" w:hAnsi="Calibri" w:eastAsia="宋体" w:cs="宋体"/>
      <w:kern w:val="0"/>
      <w:szCs w:val="21"/>
    </w:rPr>
  </w:style>
  <w:style w:type="character" w:customStyle="1" w:styleId="45">
    <w:name w:val="正文文本 Char"/>
    <w:basedOn w:val="17"/>
    <w:link w:val="7"/>
    <w:uiPriority w:val="1"/>
    <w:rPr>
      <w:rFonts w:ascii="仿宋_GB2312" w:hAnsi="仿宋_GB2312" w:eastAsia="仿宋_GB2312" w:cs="Times New Roman"/>
      <w:kern w:val="0"/>
      <w:sz w:val="30"/>
      <w:szCs w:val="30"/>
      <w:lang w:eastAsia="en-US"/>
    </w:rPr>
  </w:style>
  <w:style w:type="character" w:customStyle="1" w:styleId="46">
    <w:name w:val="批注主题 Char"/>
    <w:basedOn w:val="28"/>
    <w:link w:val="14"/>
    <w:semiHidden/>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524"/>
    <customShpInfo spid="_x0000_s1525"/>
    <customShpInfo spid="_x0000_s1526"/>
    <customShpInfo spid="_x0000_s1527"/>
    <customShpInfo spid="_x0000_s1528"/>
    <customShpInfo spid="_x0000_s1529"/>
    <customShpInfo spid="_x0000_s1530"/>
    <customShpInfo spid="_x0000_s1531"/>
    <customShpInfo spid="_x0000_s1532"/>
    <customShpInfo spid="_x0000_s1533"/>
    <customShpInfo spid="_x0000_s1534"/>
    <customShpInfo spid="_x0000_s1535"/>
    <customShpInfo spid="_x0000_s1536"/>
    <customShpInfo spid="_x0000_s1537"/>
    <customShpInfo spid="_x0000_s1538"/>
    <customShpInfo spid="_x0000_s1539"/>
    <customShpInfo spid="_x0000_s1540"/>
    <customShpInfo spid="_x0000_s1541"/>
    <customShpInfo spid="_x0000_s1542"/>
    <customShpInfo spid="_x0000_s152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257BEF-0B90-4022-A766-AF9F207354E6}">
  <ds:schemaRefs/>
</ds:datastoreItem>
</file>

<file path=docProps/app.xml><?xml version="1.0" encoding="utf-8"?>
<Properties xmlns="http://schemas.openxmlformats.org/officeDocument/2006/extended-properties" xmlns:vt="http://schemas.openxmlformats.org/officeDocument/2006/docPropsVTypes">
  <Template>Normal</Template>
  <Pages>7</Pages>
  <Words>336</Words>
  <Characters>1919</Characters>
  <Lines>15</Lines>
  <Paragraphs>4</Paragraphs>
  <TotalTime>179</TotalTime>
  <ScaleCrop>false</ScaleCrop>
  <LinksUpToDate>false</LinksUpToDate>
  <CharactersWithSpaces>2251</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ydl-1312</cp:lastModifiedBy>
  <cp:lastPrinted>2017-11-24T00:22:00Z</cp:lastPrinted>
  <dcterms:modified xsi:type="dcterms:W3CDTF">2020-11-20T10:26:07Z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