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咨询电话：0971—6126143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监督和投诉电话：0971—6126148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咨询电话：0972—8685145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监督和投诉电话：0972—8687008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咨询电话：0977—8205400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监督和投诉电话：0977—8220142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咨询电话：0979—8418430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监督和投诉电话：0979—8412176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咨询反馈功能</w:t>
      </w:r>
      <w:r>
        <w:rPr>
          <w:rFonts w:ascii="Times New Roman" w:hAnsi="Times New Roman" w:eastAsia="仿宋_GB2312" w:cs="Times New Roman"/>
          <w:sz w:val="30"/>
          <w:szCs w:val="30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青海省分局互联网站网址：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"http://www.safe.gov.cn/qinghai/index.html。"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www.safe.gov.cn/qinghai/index.html。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通过微信扫码国家政务服务平台“外汇政务服务”二维码快捷查询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"C:\\Users\\zhangqian\\Documents\\My PBC IM\\21474886701899\\images\\4136C81620F6051F3AEC01B3596866FA.jpg" \* MERGEFORMATINET </w:instrTex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pict>
          <v:shape id="图片 1025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hint="eastAsia" w:ascii="Times New Roman" w:hAnsi="Times New Roman" w:eastAsia="黑体" w:cs="Times New Roman"/>
          <w:sz w:val="30"/>
          <w:szCs w:val="30"/>
        </w:rPr>
        <w:t>地址和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hint="eastAsia" w:ascii="Times New Roman" w:hAnsi="Times New Roman" w:eastAsia="黑体" w:cs="Times New Roman"/>
          <w:sz w:val="30"/>
          <w:szCs w:val="30"/>
        </w:rPr>
        <w:t>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受理地址：青海省西宁市昆仑路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3号，中国人民银行西宁中心支行综合办公楼1506室。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青海省海东市平安区乐都路3号，中国人民银行海东市中心支行综合楼4楼外汇管理科。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受理时间：工作日，上午：8:30-12:00；下午：14:00-17:30。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海西州中心支局：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受理地址：青海省海西州德令哈市长江路18号，中国人民银行海西州中心支行410室。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格尔木市支局：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受理地址：青海省海西蒙古族藏族自治州格尔木市柴达木中路20号，中国人民银行格尔木市支行406室。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8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9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30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1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2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3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4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5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6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7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8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9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3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8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9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01081F9E"/>
    <w:rsid w:val="02376681"/>
    <w:rsid w:val="135216C8"/>
    <w:rsid w:val="28166423"/>
    <w:rsid w:val="298E4B0A"/>
    <w:rsid w:val="3805545E"/>
    <w:rsid w:val="54CF2A3F"/>
    <w:rsid w:val="58E5494B"/>
    <w:rsid w:val="79C12C42"/>
    <w:rsid w:val="7E820F2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张谦</cp:lastModifiedBy>
  <cp:lastPrinted>2020-09-28T03:20:00Z</cp:lastPrinted>
  <dcterms:modified xsi:type="dcterms:W3CDTF">2021-02-07T07:48:27Z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