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adjustRightInd w:val="0"/>
        <w:snapToGrid w:val="0"/>
        <w:spacing w:before="413"/>
        <w:ind w:left="729" w:right="692"/>
        <w:jc w:val="center"/>
        <w:rPr>
          <w:rFonts w:ascii="Times New Roman" w:hAnsi="Times New Roman" w:eastAsia="仿宋_GB2312" w:cs="Times New Roman"/>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更新日期</w:t>
      </w: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ascii="Times New Roman" w:hAnsi="Times New Roman" w:eastAsia="仿宋_GB2312" w:cs="Times New Roman"/>
        </w:rPr>
        <w:t>年</w:t>
      </w:r>
      <w:r>
        <w:rPr>
          <w:rFonts w:hint="eastAsia" w:ascii="Times New Roman" w:hAnsi="Times New Roman" w:eastAsia="仿宋_GB2312" w:cs="Times New Roman"/>
          <w:lang w:val="en-US" w:eastAsia="zh-CN"/>
        </w:rPr>
        <w:t>2</w:t>
      </w:r>
      <w:r>
        <w:rPr>
          <w:rFonts w:ascii="Times New Roman" w:hAnsi="Times New Roman" w:eastAsia="仿宋_GB2312" w:cs="Times New Roman"/>
        </w:rPr>
        <w:t>月</w:t>
      </w:r>
      <w:r>
        <w:rPr>
          <w:rFonts w:hint="eastAsia" w:ascii="Times New Roman" w:hAnsi="Times New Roman" w:eastAsia="仿宋_GB2312" w:cs="Times New Roman"/>
          <w:lang w:val="en-US" w:eastAsia="zh-CN"/>
        </w:rPr>
        <w:t>7</w:t>
      </w:r>
      <w:r>
        <w:rPr>
          <w:rFonts w:ascii="Times New Roman" w:hAnsi="Times New Roman" w:eastAsia="仿宋_GB2312" w:cs="Times New Roman"/>
        </w:rPr>
        <w:t>日</w:t>
      </w:r>
    </w:p>
    <w:p>
      <w:pPr>
        <w:pStyle w:val="2"/>
        <w:adjustRightInd w:val="0"/>
        <w:snapToGrid w:val="0"/>
        <w:spacing w:before="239"/>
        <w:ind w:leftChars="618" w:right="2740" w:firstLine="1800" w:firstLineChars="600"/>
        <w:rPr>
          <w:rFonts w:ascii="Times New Roman" w:hAnsi="Times New Roman" w:eastAsia="仿宋_GB2312" w:cs="Times New Roman"/>
          <w:spacing w:val="-12"/>
        </w:rPr>
      </w:pP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实施日期</w:t>
      </w: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ascii="Times New Roman" w:hAnsi="Times New Roman" w:eastAsia="仿宋_GB2312" w:cs="Times New Roman"/>
          <w:spacing w:val="-37"/>
        </w:rPr>
        <w:t>年</w:t>
      </w:r>
      <w:r>
        <w:rPr>
          <w:rFonts w:hint="eastAsia" w:ascii="Times New Roman" w:hAnsi="Times New Roman" w:eastAsia="仿宋_GB2312" w:cs="Times New Roman"/>
          <w:spacing w:val="-37"/>
          <w:lang w:val="en-US" w:eastAsia="zh-CN"/>
        </w:rPr>
        <w:t>2</w:t>
      </w:r>
      <w:r>
        <w:rPr>
          <w:rFonts w:ascii="Times New Roman" w:hAnsi="Times New Roman" w:eastAsia="仿宋_GB2312" w:cs="Times New Roman"/>
          <w:spacing w:val="-38"/>
        </w:rPr>
        <w:t>月</w:t>
      </w:r>
      <w:r>
        <w:rPr>
          <w:rFonts w:hint="eastAsia" w:ascii="Times New Roman" w:hAnsi="Times New Roman" w:eastAsia="仿宋_GB2312" w:cs="Times New Roman"/>
          <w:lang w:val="en-US" w:eastAsia="zh-CN"/>
        </w:rPr>
        <w:t>8</w:t>
      </w:r>
      <w:bookmarkStart w:id="0" w:name="_GoBack"/>
      <w:bookmarkEnd w:id="0"/>
      <w:r>
        <w:rPr>
          <w:rFonts w:ascii="Times New Roman" w:hAnsi="Times New Roman" w:eastAsia="仿宋_GB2312" w:cs="Times New Roman"/>
          <w:spacing w:val="-12"/>
        </w:rPr>
        <w:t>日</w:t>
      </w:r>
    </w:p>
    <w:p>
      <w:pPr>
        <w:spacing w:before="45" w:line="336" w:lineRule="auto"/>
        <w:ind w:left="735" w:right="692"/>
        <w:jc w:val="center"/>
        <w:rPr>
          <w:rFonts w:hint="eastAsia" w:ascii="仿宋_GB2312" w:hAnsi="仿宋_GB2312" w:eastAsia="仿宋_GB2312" w:cs="仿宋_GB2312"/>
          <w:sz w:val="32"/>
          <w:szCs w:val="32"/>
          <w:lang w:val="en-US"/>
        </w:rPr>
      </w:pPr>
      <w:r>
        <w:rPr>
          <w:rFonts w:hint="eastAsia" w:ascii="Times New Roman" w:hAnsi="Times New Roman" w:eastAsia="仿宋_GB2312" w:cs="Times New Roman"/>
          <w:lang w:val="en-US" w:eastAsia="zh-CN"/>
        </w:rPr>
        <w:t xml:space="preserve"> </w:t>
      </w:r>
      <w:r>
        <w:rPr>
          <w:rFonts w:hint="eastAsia" w:ascii="Times New Roman" w:hAnsi="Times New Roman" w:eastAsia="宋体" w:cs="Times New Roman"/>
          <w:sz w:val="52"/>
          <w:lang w:val="en-US" w:eastAsia="zh-CN"/>
        </w:rPr>
        <w:t xml:space="preserve">  </w:t>
      </w:r>
      <w:r>
        <w:rPr>
          <w:rFonts w:hint="eastAsia" w:ascii="仿宋_GB2312" w:hAnsi="仿宋_GB2312" w:eastAsia="仿宋_GB2312" w:cs="仿宋_GB2312"/>
          <w:sz w:val="30"/>
          <w:szCs w:val="30"/>
        </w:rPr>
        <w:t>发布机构：国家外汇管理局</w:t>
      </w:r>
      <w:r>
        <w:rPr>
          <w:rFonts w:hint="eastAsia" w:ascii="仿宋_GB2312" w:hAnsi="仿宋_GB2312" w:eastAsia="仿宋_GB2312" w:cs="仿宋_GB2312"/>
          <w:sz w:val="30"/>
          <w:szCs w:val="30"/>
          <w:lang w:eastAsia="zh-CN"/>
        </w:rPr>
        <w:t>青海省分局</w:t>
      </w:r>
    </w:p>
    <w:p>
      <w:pPr>
        <w:spacing w:before="45" w:line="336" w:lineRule="auto"/>
        <w:ind w:left="735" w:right="692"/>
        <w:jc w:val="center"/>
        <w:rPr>
          <w:rFonts w:hint="eastAsia" w:ascii="Times New Roman" w:hAnsi="Times New Roman" w:eastAsia="宋体" w:cs="Times New Roman"/>
          <w:sz w:val="52"/>
          <w:lang w:val="en-US" w:eastAsia="zh-CN"/>
        </w:rPr>
        <w:sectPr>
          <w:type w:val="continuous"/>
          <w:pgSz w:w="11910" w:h="16840"/>
          <w:pgMar w:top="1540" w:right="1380" w:bottom="280" w:left="1040" w:header="720" w:footer="720" w:gutter="0"/>
          <w:cols w:space="720" w:num="1"/>
        </w:sectPr>
      </w:pPr>
      <w:r>
        <w:rPr>
          <w:rFonts w:hint="eastAsia" w:ascii="Times New Roman" w:hAnsi="Times New Roman" w:eastAsia="宋体" w:cs="Times New Roman"/>
          <w:sz w:val="52"/>
          <w:lang w:val="en-US" w:eastAsia="zh-CN"/>
        </w:rPr>
        <w:t xml:space="preserve">           </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16"/>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1"/>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1"/>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1"/>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1"/>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1"/>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1"/>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1"/>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1"/>
              <w:ind w:left="106"/>
              <w:jc w:val="center"/>
              <w:rPr>
                <w:rFonts w:ascii="Times New Roman" w:hAnsi="Times New Roman" w:eastAsia="仿宋_GB2312" w:cs="Times New Roman"/>
                <w:color w:val="FF0000"/>
                <w:sz w:val="24"/>
                <w:szCs w:val="24"/>
              </w:rPr>
            </w:pPr>
          </w:p>
          <w:p>
            <w:pPr>
              <w:pStyle w:val="11"/>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1"/>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16"/>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1"/>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1"/>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1"/>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1"/>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1"/>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申请人可通过国家外汇管理局分支局提交材料。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青海省分局：</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咨询电话：0971—6126143</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监督和投诉电话：0971—6126148</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海东市中心支局：</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咨询电话：0972—8685145</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监督和投诉电话：0972—8687008</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海西州中心支局：</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咨询电话：0977—8205400</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监督和投诉电话：0977—8220142</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格尔木市支局：</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咨询电话：0979—8418430</w:t>
      </w:r>
    </w:p>
    <w:p>
      <w:pPr>
        <w:pStyle w:val="2"/>
        <w:spacing w:line="600" w:lineRule="exact"/>
        <w:ind w:left="770" w:leftChars="350" w:firstLine="60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监督和投诉电话：0979—8412176</w:t>
      </w:r>
    </w:p>
    <w:p>
      <w:pPr>
        <w:pStyle w:val="2"/>
        <w:spacing w:line="600" w:lineRule="exact"/>
        <w:ind w:left="760" w:right="415" w:firstLine="600"/>
        <w:rPr>
          <w:rFonts w:hint="eastAsia" w:ascii="Times New Roman" w:hAnsi="Times New Roman" w:eastAsia="仿宋_GB2312" w:cs="Times New Roman"/>
          <w:lang w:val="en-US" w:eastAsia="zh-CN"/>
        </w:rPr>
      </w:pPr>
      <w:r>
        <w:rPr>
          <w:rFonts w:ascii="Times New Roman" w:hAnsi="Times New Roman" w:eastAsia="仿宋_GB2312" w:cs="Times New Roman"/>
        </w:rPr>
        <w:t>向各地外汇局进行咨询、进程查询、监督和投诉等可通过各地外汇局官方互联网站</w:t>
      </w:r>
      <w:r>
        <w:rPr>
          <w:rFonts w:hint="eastAsia" w:ascii="Times New Roman" w:hAnsi="Times New Roman" w:eastAsia="仿宋_GB2312" w:cs="Times New Roman"/>
          <w:lang w:eastAsia="zh-CN"/>
        </w:rPr>
        <w:t>咨询反馈功能</w:t>
      </w:r>
      <w:r>
        <w:rPr>
          <w:rFonts w:ascii="Times New Roman" w:hAnsi="Times New Roman" w:eastAsia="仿宋_GB2312" w:cs="Times New Roman"/>
        </w:rPr>
        <w:t>进行。</w:t>
      </w:r>
      <w:r>
        <w:rPr>
          <w:rFonts w:hint="eastAsia" w:ascii="Times New Roman" w:hAnsi="Times New Roman" w:eastAsia="仿宋_GB2312" w:cs="Times New Roman"/>
          <w:lang w:eastAsia="zh-CN"/>
        </w:rPr>
        <w:t>青海省分局互联网站网址：</w:t>
      </w:r>
      <w:r>
        <w:rPr>
          <w:rFonts w:hint="eastAsia" w:ascii="Times New Roman" w:hAnsi="Times New Roman" w:eastAsia="仿宋_GB2312" w:cs="Times New Roman"/>
          <w:lang w:val="en-US" w:eastAsia="zh-CN"/>
        </w:rPr>
        <w:fldChar w:fldCharType="begin"/>
      </w:r>
      <w:r>
        <w:rPr>
          <w:rFonts w:hint="eastAsia" w:ascii="Times New Roman" w:hAnsi="Times New Roman" w:eastAsia="仿宋_GB2312" w:cs="Times New Roman"/>
          <w:lang w:val="en-US" w:eastAsia="zh-CN"/>
        </w:rPr>
        <w:instrText xml:space="preserve"> HYPERLINK "http://www.safe.gov.cn/qinghai/index.html。" </w:instrText>
      </w:r>
      <w:r>
        <w:rPr>
          <w:rFonts w:hint="eastAsia" w:ascii="Times New Roman" w:hAnsi="Times New Roman" w:eastAsia="仿宋_GB2312" w:cs="Times New Roman"/>
          <w:lang w:val="en-US" w:eastAsia="zh-CN"/>
        </w:rPr>
        <w:fldChar w:fldCharType="separate"/>
      </w:r>
      <w:r>
        <w:rPr>
          <w:rFonts w:hint="eastAsia" w:ascii="Times New Roman" w:hAnsi="Times New Roman" w:eastAsia="仿宋_GB2312" w:cs="Times New Roman"/>
          <w:lang w:val="en-US" w:eastAsia="zh-CN"/>
        </w:rPr>
        <w:t>www.safe.gov.cn/qinghai/index.html。</w:t>
      </w:r>
      <w:r>
        <w:rPr>
          <w:rFonts w:hint="eastAsia" w:ascii="Times New Roman" w:hAnsi="Times New Roman" w:eastAsia="仿宋_GB2312" w:cs="Times New Roman"/>
          <w:lang w:val="en-US" w:eastAsia="zh-CN"/>
        </w:rPr>
        <w:fldChar w:fldCharType="end"/>
      </w:r>
    </w:p>
    <w:p>
      <w:pPr>
        <w:pStyle w:val="2"/>
        <w:spacing w:line="600" w:lineRule="exact"/>
        <w:ind w:left="760" w:right="415"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ascii="Times New Roman" w:hAnsi="Times New Roman" w:eastAsia="仿宋_GB2312" w:cs="Times New Roman"/>
          <w:sz w:val="30"/>
          <w:szCs w:val="30"/>
          <w:lang w:val="en-US" w:eastAsia="zh-CN"/>
        </w:rPr>
        <w:t>通过微信扫码国家政务服务平台“外汇政务服务”二维码快捷查询</w:t>
      </w:r>
      <w:r>
        <w:rPr>
          <w:rFonts w:hint="eastAsia" w:ascii="Times New Roman" w:hAnsi="Times New Roman" w:eastAsia="仿宋_GB2312" w:cs="Times New Roman"/>
          <w:sz w:val="30"/>
          <w:szCs w:val="30"/>
          <w:lang w:val="en-US" w:eastAsia="zh-CN"/>
        </w:rPr>
        <w:t>：</w:t>
      </w:r>
      <w:r>
        <w:rPr>
          <w:rFonts w:hint="eastAsia" w:ascii="宋体" w:hAnsi="宋体" w:eastAsia="宋体" w:cs="宋体"/>
          <w:i w:val="0"/>
          <w:snapToGrid w:val="0"/>
          <w:color w:val="000000"/>
          <w:kern w:val="0"/>
          <w:sz w:val="24"/>
          <w:szCs w:val="24"/>
          <w:u w:val="none"/>
          <w:lang w:val="en-US" w:eastAsia="zh-CN" w:bidi="ar-SA"/>
        </w:rPr>
        <w:pict>
          <v:shape id="图片 1025" o:spid="_x0000_s1029" type="#_x0000_t75" style="position:absolute;left:0;margin-left:198.75pt;margin-top:288pt;height:165pt;width:177pt;mso-position-horizontal-relative:page;mso-position-vertical-relative:page;mso-wrap-distance-bottom:0pt;mso-wrap-distance-top:0pt;rotation:0f;z-index:251661312;"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topAndBottom"/>
          </v:shape>
        </w:pict>
      </w:r>
      <w:r>
        <w:rPr>
          <w:rFonts w:hint="eastAsia" w:ascii="宋体" w:hAnsi="宋体" w:eastAsia="宋体" w:cs="宋体"/>
          <w:i w:val="0"/>
          <w:snapToGrid w:val="0"/>
          <w:color w:val="000000"/>
          <w:kern w:val="0"/>
          <w:sz w:val="24"/>
          <w:szCs w:val="24"/>
          <w:u w:val="none"/>
          <w:lang w:val="en-US" w:eastAsia="zh-CN" w:bidi="ar-SA"/>
        </w:rPr>
        <w:pict>
          <v:shape id="图片 1025" o:spid="_x0000_s1030" type="#_x0000_t75" style="position:absolute;left:0;margin-top:-107374182.4pt;height:165.2pt;width:177pt;mso-position-horizontal:center;mso-position-horizontal-relative:page;mso-position-vertical-relative:page;mso-wrap-distance-bottom:0pt;mso-wrap-distance-top:0pt;rotation:0f;z-index:251660288;"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topAndBottom"/>
          </v:shape>
        </w:pict>
      </w:r>
    </w:p>
    <w:p>
      <w:pPr>
        <w:pStyle w:val="2"/>
        <w:spacing w:line="600" w:lineRule="exact"/>
        <w:ind w:left="760" w:right="415" w:firstLine="600"/>
        <w:rPr>
          <w:rFonts w:ascii="Times New Roman" w:hAnsi="Times New Roman" w:eastAsia="仿宋_GB2312" w:cs="Times New Roman"/>
        </w:rPr>
      </w:pPr>
      <w:r>
        <w:rPr>
          <w:rFonts w:hint="eastAsia" w:ascii="黑体" w:hAnsi="黑体" w:eastAsia="黑体" w:cs="黑体"/>
        </w:rPr>
        <w:t>（十六）事项审查类型</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仿宋_GB2312" w:cs="Times New Roman"/>
        </w:rPr>
      </w:pPr>
      <w:r>
        <w:rPr>
          <w:rFonts w:hint="eastAsia" w:ascii="黑体" w:hAnsi="黑体" w:eastAsia="黑体" w:cs="黑体"/>
        </w:rPr>
        <w:t>（十七）</w:t>
      </w:r>
      <w:r>
        <w:rPr>
          <w:rFonts w:hint="eastAsia" w:ascii="黑体" w:hAnsi="黑体" w:eastAsia="黑体" w:cs="黑体"/>
          <w:lang w:eastAsia="zh-CN"/>
        </w:rPr>
        <w:t>受理</w:t>
      </w:r>
      <w:r>
        <w:rPr>
          <w:rFonts w:hint="eastAsia" w:ascii="黑体" w:hAnsi="黑体" w:eastAsia="黑体" w:cs="黑体"/>
        </w:rPr>
        <w:t>地址和</w:t>
      </w:r>
      <w:r>
        <w:rPr>
          <w:rFonts w:hint="eastAsia" w:ascii="黑体" w:hAnsi="黑体" w:eastAsia="黑体" w:cs="黑体"/>
          <w:lang w:eastAsia="zh-CN"/>
        </w:rPr>
        <w:t>受理</w:t>
      </w:r>
      <w:r>
        <w:rPr>
          <w:rFonts w:hint="eastAsia" w:ascii="黑体" w:hAnsi="黑体" w:eastAsia="黑体" w:cs="黑体"/>
        </w:rPr>
        <w:t>时间</w:t>
      </w:r>
    </w:p>
    <w:p>
      <w:pPr>
        <w:pStyle w:val="2"/>
        <w:spacing w:line="600" w:lineRule="exact"/>
        <w:ind w:left="760" w:right="415" w:firstLine="600"/>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 xml:space="preserve">  </w:t>
      </w:r>
      <w:r>
        <w:rPr>
          <w:rFonts w:hint="eastAsia" w:ascii="Times New Roman" w:hAnsi="Times New Roman" w:eastAsia="仿宋_GB2312" w:cs="Times New Roman"/>
          <w:lang w:eastAsia="zh-CN"/>
        </w:rPr>
        <w:t>青海省分局：</w:t>
      </w:r>
    </w:p>
    <w:p>
      <w:pPr>
        <w:pStyle w:val="2"/>
        <w:spacing w:line="600" w:lineRule="exact"/>
        <w:ind w:left="760" w:right="415" w:firstLine="6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受理</w:t>
      </w:r>
      <w:r>
        <w:rPr>
          <w:rFonts w:hint="eastAsia" w:ascii="Times New Roman" w:hAnsi="Times New Roman" w:eastAsia="仿宋_GB2312" w:cs="Times New Roman"/>
          <w:lang w:eastAsia="zh-CN"/>
        </w:rPr>
        <w:t>地址：青海省西宁市昆仑路</w:t>
      </w:r>
      <w:r>
        <w:rPr>
          <w:rFonts w:hint="eastAsia" w:ascii="Times New Roman" w:hAnsi="Times New Roman" w:eastAsia="仿宋_GB2312" w:cs="Times New Roman"/>
          <w:lang w:val="en-US" w:eastAsia="zh-CN"/>
        </w:rPr>
        <w:t>3号，中国人民银行西宁中心支行综合办公楼1506室。</w:t>
      </w:r>
    </w:p>
    <w:p>
      <w:pPr>
        <w:pStyle w:val="2"/>
        <w:spacing w:line="600" w:lineRule="exact"/>
        <w:ind w:left="760" w:right="415" w:firstLine="6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受理时间：工作日，上午：8:30-11:30；下午：14:00-17:30。</w:t>
      </w:r>
    </w:p>
    <w:p>
      <w:pPr>
        <w:pStyle w:val="2"/>
        <w:spacing w:line="600" w:lineRule="exact"/>
        <w:ind w:left="760" w:right="415" w:firstLine="6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海东市中心支局：</w:t>
      </w:r>
    </w:p>
    <w:p>
      <w:pPr>
        <w:pStyle w:val="2"/>
        <w:spacing w:line="600" w:lineRule="exact"/>
        <w:ind w:left="760" w:right="415" w:firstLine="600"/>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受理地址：</w:t>
      </w:r>
      <w:r>
        <w:rPr>
          <w:rFonts w:hint="eastAsia" w:ascii="Times New Roman" w:hAnsi="Times New Roman" w:eastAsia="仿宋_GB2312" w:cs="Times New Roman"/>
          <w:lang w:val="en-US" w:eastAsia="zh-CN"/>
        </w:rPr>
        <w:t>青海省海东市平安区乐都路3号，中国人民银行海东市中心支行综合楼4楼外汇管理科。</w:t>
      </w:r>
    </w:p>
    <w:p>
      <w:pPr>
        <w:pStyle w:val="2"/>
        <w:spacing w:line="600" w:lineRule="exact"/>
        <w:ind w:left="760" w:right="415" w:firstLine="6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受理时间：工作日，上午：8:30-12:00；下午：14:00-17:30。</w:t>
      </w:r>
    </w:p>
    <w:p>
      <w:pPr>
        <w:pStyle w:val="2"/>
        <w:spacing w:line="600" w:lineRule="exact"/>
        <w:ind w:left="760" w:right="415" w:firstLine="6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海西州中心支局：</w:t>
      </w:r>
    </w:p>
    <w:p>
      <w:pPr>
        <w:pStyle w:val="2"/>
        <w:spacing w:line="600" w:lineRule="exact"/>
        <w:ind w:left="760" w:right="415" w:firstLine="600"/>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受理地址：青海省海西州德令哈市长江路18号，中国人民银行海西州中心支行410室。</w:t>
      </w:r>
    </w:p>
    <w:p>
      <w:pPr>
        <w:pStyle w:val="2"/>
        <w:spacing w:line="600" w:lineRule="exact"/>
        <w:ind w:left="760" w:right="415" w:firstLine="6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受理时间：工作日，上午：8:30-11:30；下午：14:00-17:30。</w:t>
      </w:r>
    </w:p>
    <w:p>
      <w:pPr>
        <w:pStyle w:val="2"/>
        <w:spacing w:line="600" w:lineRule="exact"/>
        <w:ind w:left="760" w:right="415" w:firstLine="6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格尔木市支局：</w:t>
      </w:r>
    </w:p>
    <w:p>
      <w:pPr>
        <w:pStyle w:val="2"/>
        <w:spacing w:line="600" w:lineRule="exact"/>
        <w:ind w:left="760" w:right="415" w:firstLine="6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受理地址：青海省海西蒙古族藏族自治州格尔木市柴达木中路20号，中国人民银行格尔木市支行406室。</w:t>
      </w:r>
    </w:p>
    <w:p>
      <w:pPr>
        <w:pStyle w:val="2"/>
        <w:spacing w:line="600" w:lineRule="exact"/>
        <w:ind w:left="760" w:right="415" w:firstLine="600"/>
        <w:rPr>
          <w:rFonts w:ascii="Times New Roman" w:hAnsi="Times New Roman" w:eastAsia="仿宋_GB2312" w:cs="Times New Roman"/>
        </w:rPr>
      </w:pPr>
      <w:r>
        <w:rPr>
          <w:rFonts w:hint="eastAsia" w:ascii="Times New Roman" w:hAnsi="Times New Roman" w:eastAsia="仿宋_GB2312" w:cs="Times New Roman"/>
          <w:lang w:val="en-US" w:eastAsia="zh-CN"/>
        </w:rPr>
        <w:t>受理时间：工作日，上午：8:30-11:30；下午：14:00-17:30。</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31" style="position:absolute;left:0;margin-left:-8.25pt;margin-top:26.45pt;height:470.9pt;width:461.8pt;rotation:0f;z-index:251659264;" coordorigin="205,3287" coordsize="9236,9418">
            <o:lock v:ext="edit" position="f" selection="f" grouping="f" rotation="f" cropping="f" text="f" aspectratio="f"/>
            <v:shape id="Straight Connector 168" o:spid="_x0000_s1032"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3" style="position:absolute;left:205;top:3287;height:9418;width:9236;rotation:0f;" coordorigin="205,3287" coordsize="9236,9418">
              <o:lock v:ext="edit" position="f" selection="f" grouping="f" rotation="f" cropping="f" text="f" aspectratio="f"/>
              <v:shape id="Flowchart: Terminator 170" o:spid="_x0000_s1034"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5"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6"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7"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8"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9"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40"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41"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42"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3"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4"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5"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6"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7"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8"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9"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50"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51"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16"/>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1"/>
              <w:keepNext/>
              <w:keepLines/>
              <w:spacing w:line="420" w:lineRule="exact"/>
              <w:rPr>
                <w:rFonts w:ascii="Times New Roman" w:hAnsi="Times New Roman" w:eastAsia="仿宋_GB2312" w:cs="Times New Roman"/>
                <w:sz w:val="24"/>
                <w:szCs w:val="24"/>
              </w:rPr>
            </w:pPr>
          </w:p>
        </w:tc>
        <w:tc>
          <w:tcPr>
            <w:tcW w:w="1882" w:type="dxa"/>
            <w:vAlign w:val="top"/>
          </w:tcPr>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1"/>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1"/>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1"/>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1"/>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1"/>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1"/>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1"/>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1"/>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2248835">
    <w:nsid w:val="7AEB6B83"/>
    <w:multiLevelType w:val="multilevel"/>
    <w:tmpl w:val="7AEB6B83"/>
    <w:lvl w:ilvl="0" w:tentative="1">
      <w:start w:val="1"/>
      <w:numFmt w:val="japaneseCounting"/>
      <w:lvlText w:val="（%1）"/>
      <w:lvlJc w:val="left"/>
      <w:pPr>
        <w:ind w:left="2245" w:hanging="900"/>
      </w:pPr>
      <w:rPr>
        <w:rFonts w:hint="default"/>
      </w:rPr>
    </w:lvl>
    <w:lvl w:ilvl="1" w:tentative="1">
      <w:start w:val="1"/>
      <w:numFmt w:val="lowerLetter"/>
      <w:lvlText w:val="%2)"/>
      <w:lvlJc w:val="left"/>
      <w:pPr>
        <w:ind w:left="2185" w:hanging="420"/>
      </w:pPr>
    </w:lvl>
    <w:lvl w:ilvl="2" w:tentative="1">
      <w:start w:val="1"/>
      <w:numFmt w:val="lowerRoman"/>
      <w:lvlText w:val="%3."/>
      <w:lvlJc w:val="right"/>
      <w:pPr>
        <w:ind w:left="2605" w:hanging="420"/>
      </w:pPr>
    </w:lvl>
    <w:lvl w:ilvl="3" w:tentative="1">
      <w:start w:val="1"/>
      <w:numFmt w:val="decimal"/>
      <w:lvlText w:val="%4."/>
      <w:lvlJc w:val="left"/>
      <w:pPr>
        <w:ind w:left="3025" w:hanging="420"/>
      </w:pPr>
    </w:lvl>
    <w:lvl w:ilvl="4" w:tentative="1">
      <w:start w:val="1"/>
      <w:numFmt w:val="lowerLetter"/>
      <w:lvlText w:val="%5)"/>
      <w:lvlJc w:val="left"/>
      <w:pPr>
        <w:ind w:left="3445" w:hanging="420"/>
      </w:pPr>
    </w:lvl>
    <w:lvl w:ilvl="5" w:tentative="1">
      <w:start w:val="1"/>
      <w:numFmt w:val="lowerRoman"/>
      <w:lvlText w:val="%6."/>
      <w:lvlJc w:val="right"/>
      <w:pPr>
        <w:ind w:left="3865" w:hanging="420"/>
      </w:pPr>
    </w:lvl>
    <w:lvl w:ilvl="6" w:tentative="1">
      <w:start w:val="1"/>
      <w:numFmt w:val="decimal"/>
      <w:lvlText w:val="%7."/>
      <w:lvlJc w:val="left"/>
      <w:pPr>
        <w:ind w:left="4285" w:hanging="420"/>
      </w:pPr>
    </w:lvl>
    <w:lvl w:ilvl="7" w:tentative="1">
      <w:start w:val="1"/>
      <w:numFmt w:val="lowerLetter"/>
      <w:lvlText w:val="%8)"/>
      <w:lvlJc w:val="left"/>
      <w:pPr>
        <w:ind w:left="4705" w:hanging="420"/>
      </w:pPr>
    </w:lvl>
    <w:lvl w:ilvl="8" w:tentative="1">
      <w:start w:val="1"/>
      <w:numFmt w:val="lowerRoman"/>
      <w:lvlText w:val="%9."/>
      <w:lvlJc w:val="right"/>
      <w:pPr>
        <w:ind w:left="5125" w:hanging="420"/>
      </w:pPr>
    </w:lvl>
  </w:abstractNum>
  <w:num w:numId="1">
    <w:abstractNumId w:val="20622488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E21AB"/>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29BA4C02"/>
    <w:rsid w:val="39A45D70"/>
    <w:rsid w:val="42281E7E"/>
    <w:rsid w:val="5E9B17D3"/>
    <w:rsid w:val="645A17A9"/>
    <w:rsid w:val="6CE82DCB"/>
    <w:rsid w:val="74223BFB"/>
    <w:rsid w:val="7A964BEC"/>
    <w:rsid w:val="7D0B2A12"/>
    <w:rsid w:val="7E722B0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ody Text"/>
    <w:basedOn w:val="1"/>
    <w:link w:val="15"/>
    <w:qFormat/>
    <w:uiPriority w:val="1"/>
    <w:pPr>
      <w:ind w:left="1360"/>
    </w:pPr>
    <w:rPr>
      <w:sz w:val="30"/>
      <w:szCs w:val="30"/>
    </w:rPr>
  </w:style>
  <w:style w:type="paragraph" w:styleId="3">
    <w:name w:val="Balloon Text"/>
    <w:basedOn w:val="1"/>
    <w:link w:val="14"/>
    <w:unhideWhenUsed/>
    <w:uiPriority w:val="99"/>
    <w:rPr>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paragraph" w:customStyle="1" w:styleId="9">
    <w:name w:val="Heading 1"/>
    <w:basedOn w:val="1"/>
    <w:qFormat/>
    <w:uiPriority w:val="1"/>
    <w:pPr>
      <w:spacing w:line="382" w:lineRule="exact"/>
      <w:ind w:left="1662" w:hanging="303"/>
      <w:outlineLvl w:val="1"/>
    </w:pPr>
    <w:rPr>
      <w:b/>
      <w:bCs/>
      <w:sz w:val="30"/>
      <w:szCs w:val="30"/>
    </w:rPr>
  </w:style>
  <w:style w:type="paragraph" w:customStyle="1" w:styleId="10">
    <w:name w:val="List Paragraph"/>
    <w:basedOn w:val="1"/>
    <w:qFormat/>
    <w:uiPriority w:val="1"/>
    <w:pPr>
      <w:ind w:left="760" w:firstLine="600"/>
    </w:pPr>
  </w:style>
  <w:style w:type="paragraph" w:customStyle="1" w:styleId="11">
    <w:name w:val="Table Paragraph"/>
    <w:basedOn w:val="1"/>
    <w:qFormat/>
    <w:uiPriority w:val="1"/>
  </w:style>
  <w:style w:type="character" w:customStyle="1" w:styleId="12">
    <w:name w:val="页眉 Char"/>
    <w:basedOn w:val="6"/>
    <w:link w:val="5"/>
    <w:semiHidden/>
    <w:uiPriority w:val="99"/>
    <w:rPr>
      <w:rFonts w:ascii="仿宋" w:hAnsi="仿宋" w:eastAsia="仿宋" w:cs="仿宋"/>
      <w:sz w:val="18"/>
      <w:szCs w:val="18"/>
      <w:lang w:val="zh-CN" w:eastAsia="zh-CN" w:bidi="zh-CN"/>
    </w:rPr>
  </w:style>
  <w:style w:type="character" w:customStyle="1" w:styleId="13">
    <w:name w:val="页脚 Char"/>
    <w:basedOn w:val="6"/>
    <w:link w:val="4"/>
    <w:semiHidden/>
    <w:uiPriority w:val="99"/>
    <w:rPr>
      <w:rFonts w:ascii="仿宋" w:hAnsi="仿宋" w:eastAsia="仿宋" w:cs="仿宋"/>
      <w:sz w:val="18"/>
      <w:szCs w:val="18"/>
      <w:lang w:val="zh-CN" w:eastAsia="zh-CN" w:bidi="zh-CN"/>
    </w:rPr>
  </w:style>
  <w:style w:type="character" w:customStyle="1" w:styleId="14">
    <w:name w:val="批注框文本 Char"/>
    <w:basedOn w:val="6"/>
    <w:link w:val="3"/>
    <w:semiHidden/>
    <w:uiPriority w:val="99"/>
    <w:rPr>
      <w:rFonts w:ascii="仿宋" w:hAnsi="仿宋" w:eastAsia="仿宋" w:cs="仿宋"/>
      <w:sz w:val="18"/>
      <w:szCs w:val="18"/>
      <w:lang w:val="zh-CN" w:eastAsia="zh-CN" w:bidi="zh-CN"/>
    </w:rPr>
  </w:style>
  <w:style w:type="character" w:customStyle="1" w:styleId="15">
    <w:name w:val="正文文本 Char"/>
    <w:basedOn w:val="6"/>
    <w:link w:val="2"/>
    <w:uiPriority w:val="1"/>
    <w:rPr>
      <w:rFonts w:ascii="仿宋" w:hAnsi="仿宋" w:eastAsia="仿宋" w:cs="仿宋"/>
      <w:sz w:val="30"/>
      <w:szCs w:val="30"/>
      <w:lang w:val="zh-CN" w:eastAsia="zh-CN" w:bidi="zh-CN"/>
    </w:rPr>
  </w:style>
  <w:style w:type="table" w:customStyle="1" w:styleId="16">
    <w:name w:val="Table Normal"/>
    <w:unhideWhenUsed/>
    <w:qFormat/>
    <w:uiPriority w:val="2"/>
    <w:tblPr>
      <w:tblStyle w:val="8"/>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张谦</cp:lastModifiedBy>
  <cp:lastPrinted>2020-03-31T03:19:00Z</cp:lastPrinted>
  <dcterms:modified xsi:type="dcterms:W3CDTF">2021-02-07T07:49:42Z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2052-9.1.0.4940</vt:lpwstr>
  </property>
</Properties>
</file>