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省级分局和计划单列市分局办理的银行境外直接投资外汇登记</w:t>
      </w:r>
    </w:p>
    <w:p>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【000171104005】</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一、基本要素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境外直接投资项下外汇登记核准【00017110400Y】</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省级分局和计划单列市分局办理的银行境外直接投资外汇登记【000171104005】</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1.省级分局和计划单列市分局办理的银行境外直接投资前期费用登记(00017110400501)</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2.省级分局和计划单列市分局办理的境内银行为其境外分支、代表机构等非独立核算机构购买境外办公用房办理前期费用登记(00017110400502)</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3.省级分局和计划单列市分局办理的银行境外直接投资外汇初始登记(00017110400503)</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4.省级分局和计划单列市分局办理的银行境外直接投资外汇变更登记(00017110400504)</w:t>
      </w:r>
    </w:p>
    <w:p>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5.省级分局和计划单列市分局办理的银行境外直接投资外汇注销登记(00017110400505)</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（1）《中华人民共和国外汇管理条例》第十七条</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（2）《国务院对确需保留的行政审批项目设定行政许可的决定》</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（1）《境内机构境外直接投资外汇管理规定》（汇发〔2009〕30号文印发）第四条、第九条、第十条、第十四条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（2）《国家外汇管理局关于境内银行境外直接投资外汇管理有关问题的通知》（汇发〔2010〕31号）第四条、第六条、第七条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（3）《国家外汇管理局关于进一步改进和调整资本项目外汇管理政策的通知》（汇发〔2014〕2号）第三条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（4）《国家外汇管理局行政许可实施办法》（国家外汇管理局公告2021年第1号）</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（5）《国务院对确需保留的行政审批项目设定行政许可的决定》</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（6）《国家外汇管理局关于进一步简化和改进直接投资外汇管理政策的通知》（汇发〔2015〕13号）</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（7）《国家外汇管理局关于进一步推进外汇管理改革完善真实性合规性审核的通知》（汇发〔2017〕3号）第八条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（8）《国家发展改革委 商务部 人民银行 外交部关于进一步引导和规范境外投资方向指导意见的通知》（国办发〔2017〕74号）</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（9）《资本项目外汇业务指引（2024年版）》（汇发〔2024〕12号文印发）</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（1）《中华人民共和国外汇管理条例》</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国家外汇局省级分局和计划单列市分局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省级/直属</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省级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省级分局和计划单列市分局办理的银行境外直接投资前期费用登记：境内银行汇出前期费用前应在所在地外汇局办理前期费用登记。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省级分局和计划单列市分局办理的境内银行为其境外分支、代表机构等非独立核算机构购买境外办公用房办理前期费用登记：境内银行汇出前期费用前应在所在地外汇局办理前期费用登记。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省级分局和计划单列市分局办理的银行境外直接投资外汇初始登记：（1）取得银行业监督管理部门或其他相关主管部门的核准文件后需从事以下活动的银行：在境外设立分支机构（代表处除外）；在境外设立附属机构；依法购买境外机构股权；经相关主管部门批准的其他直接投资项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或（2）将其境外直接投资所得利润以及其所投资境外企业减资、转股、清算等所得资本项下外汇收入留存境外，用于设立、并购或参股未登记的境外企业的境内机构。</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省级分局和计划单列市分局办理的银行境外直接投资外汇变更登记：《境内机构境外直接投资外汇管理规定》（汇发〔2009〕30号文印发）第九条境内机构应在如下情况发生之日起60天内，持境外直接投资外汇登记证、境外直接投资主管部门的核准或者备案文件及相关真实性证明材料到所在地外汇局办理境外直接投资外汇登记、变更或备案手续：（一）境内机构将其境外直接投资所得利润以及其所投资境外企业减资、转股、清算等所得资本项下外汇收入留存境外，用于设立、并购或参股未登记的境外企业的，应就上述直接投资活动办理境外直接投资外汇登记手续；（二）已登记境外企业发生名称、经营期限、合资合作伙伴及合资合作方式等基本信息变更，或发生增资、减资、股权转让或置换、合并或分立等情况，境内机构应就上述变更情况办理境外直接投资外汇登记变更手续；（三）已登记境外企业发生长期股权或债权投资、对外担保等不涉及资本变动的重大事项的，境内机构应就上述重大事项办理境外直接投资外汇备案手续。</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省级分局和计划单列市分局办理的银行境外直接投资外汇注销登记：《境内机构境外直接投资外汇管理规定》（汇发〔2009〕30号文印发）第十条境内机构持有的境外企业股权因转股、破产、解散、清算、经营期满等原因注销的，境内机构应在取得境外直接投资主管部门相关证明材料之日起60天内，凭相关材料到所在地外汇局办理注销境外直接投资外汇登记手续。</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（1）《资本项目外汇业务指引（2024年版）》（汇发〔2024〕12号文印发）二、境外直接投资外汇业务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2.1境内银行境外直接投资前期费用登记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2.1.4审核原则</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1.境内银行汇出前期费用前应在所在地外汇局办理前期费用登记。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2.境内银行汇出境外的前期费用，应列入其境外直接投资总额。</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3.外汇局通过资本项目信息系统为境内银行办理前期费用登记手续后，境内银行凭业务登记凭证办理后续资金相关手续。</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4.境内银行未获得该笔境外投资相关主管部门的境外直接投资核准，应自汇出前期费用之日起1年内将剩余资金调回。</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2.2境内银行境外直接投资外汇初始登记及变更、注销登记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2.2.4审核原则</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2.2.4.1.境内银行境外直接投资外汇初始登记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境内银行在以境内外合法资产或权益（包括但不限于货币、有价证券、知识产权或技术、股权、债权等）向境外出资前，应到所在地外汇局申请办理境外直接投资外汇登记。在为境外投资标的机构做主体信息登记时，仅登记第一层级境外机构；需在备注中注明最终目的公司包含名称、所在地、中方投资额以及出资方式在内的相关情况。</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境内银行以境外资金或其他境外资产或权益出资的境外直接投资，应审核其境外资金留存或境外收益获取的合规性，涉嫌以其非法留存境外的资产或权益转做境外投资的，不得为其办理境外直接投资外汇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多个境内机构（至少含有一家境内银行）共同实施一项境外直接投资的，由参与投资的一个境内银行向其所在地外汇局申请办理境外直接投资外汇登记；外汇局通过资本项目信息系统完成境外直接投资外汇登记后，其他境内机构可分别向登记地外汇局领取业务登记凭证。</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（4）境内银行办理境外直接投资外汇登记手续后，凭业务登记凭证自行办理后续资金相关手续。</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（5）境内银行设立境外分支机构（代表处除外）参照境内银行境外直接投资管理。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2.2.4.2境内银行境外直接投资外汇变更登记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多个境内机构（至少含有一家境内银行）共同实施一项境外直接投资，涉及银行变更事项的，由参与投资的一个境内银行向其所在地外汇局申请办理变更登记，其他境内机构无需重复申请；境内银行在所属地外汇局办理境外直接投资外汇变更登记后，其他境内机构可分别向登记地外汇局领取业务登记凭证。如不涉及银行变更事项，由境内非银行机构按照相应指引向其所在地银行申请办理变更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（2）境内银行对境外机构减资、转股等需要汇回资金的，境内银行在所在地外汇局办理变更登记后，办理后续手续。</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（3）境内银行收购其他境内投资者（除境内银行）境外机构股权的，由股权出让方到银行办理变更登记。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（4）境内银行因转股、减资等原因不再持有境外机构股权的，需按照变更登记办理。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2.2.4.3境内银行境外直接投资外汇注销登记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（1）多个境内机构（至少含有一家境内银行）共同实施一项境外直接投资的，由参与投资的其中一家境内银行向其所在地外汇局申请办理注销登记。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境外机构因清算注销需汇回资金的，在投资该境外机构的境内投资主体（或参与投资的一家境内主体）办理注销登记后，各境内机构可凭业务登记凭证直接到银行办理后续资本项目结算账户开立、汇回资金入账手续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关于境内银行境外直接投资外汇管理有关问题的通知》（汇发〔2010〕31号）第七条境内银行可直接购汇或以自有外汇汇出境外直接投资前期费用。未获得银行业监督管理部门或其他相关主管部门境外直接投资核准的境内银行应自汇出前期费用之日起1年内将剩余资金调回。若原汇出资金以人民币购汇的可凭原购汇凭证自行办理结汇。</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境内机构境外直接投资外汇管理规定》（汇发〔2009〕30号文印发）第九条、第十条境内机构应在如下情况发生之日起60天内，持境外直接投资外汇登记证、境外直接投资主管部门的核准或者备案文件及相关真实性证明材料到所在地外汇局办理境外直接投资外汇登记、变更或备案手续：（一）境内机构将其境外直接投资所得利润以及其所投资境外企业减资、转股、清算等所得资本项下外汇收入留存境外，用于设立、并购或参股未登记的境外企业的，应就上述直接投资活动办理境外直接投资外汇登记手续；（二）已登记境外企业发生名称、经营期限、合资合作伙伴及合资合作方式等基本信息变更，或发生增资、减资、股权转让或置换、合并或分立等情况，境内机构应就上述变更情况办理境外直接投资外汇登记变更手续；（三）已登记境外企业发生长期股权或债权投资、对外担保等不涉及资本变动的重大事项的，境内机构应就上述重大事项办理境外直接投资外汇备案手续。</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境内机构持有的境外企业股权因转股、破产、解散、清算、经营期满等原因注销的，境内机构应在取得境外直接投资主管部门相关证明材料之日起60天内，凭相关材料到所在地外汇局办理注销境外直接投资外汇登记手续。</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6.具体改革举措：</w:t>
      </w:r>
      <w:r>
        <w:rPr>
          <w:rFonts w:ascii="方正仿宋_GBK" w:hAnsi="方正仿宋_GBK" w:eastAsia="方正仿宋_GBK" w:cs="方正仿宋_GBK"/>
          <w:sz w:val="28"/>
          <w:szCs w:val="28"/>
        </w:rPr>
        <w:t>无</w:t>
      </w:r>
    </w:p>
    <w:p>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ascii="方正仿宋_GBK" w:hAnsi="方正仿宋_GBK" w:eastAsia="方正仿宋_GBK" w:cs="方正仿宋_GBK"/>
          <w:sz w:val="28"/>
          <w:szCs w:val="28"/>
        </w:rPr>
        <w:t>开展“双随机、一公开”监管，依法查处违规行为，适时公开相关案例。</w:t>
      </w: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依法及时处理投诉举报。</w:t>
      </w:r>
      <w:r>
        <w:rPr>
          <w:rFonts w:hint="eastAsia" w:ascii="方正仿宋_GBK" w:hAnsi="方正仿宋_GBK" w:eastAsia="方正仿宋_GBK" w:cs="方正仿宋_GBK"/>
          <w:sz w:val="28"/>
          <w:szCs w:val="28"/>
        </w:rPr>
        <w:t>（3）</w:t>
      </w:r>
      <w:r>
        <w:rPr>
          <w:rFonts w:ascii="方正仿宋_GBK" w:hAnsi="方正仿宋_GBK" w:eastAsia="方正仿宋_GBK" w:cs="方正仿宋_GBK"/>
          <w:sz w:val="28"/>
          <w:szCs w:val="28"/>
        </w:rPr>
        <w:t>开展数据统计与监测，掌握外汇业务情况。</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分局和计划单列市分局办理的银行境外直接投资前期费用登记：（1）加盖公章的书面申请原件1份，并附《境外直接投资外汇登记业务申请表》。（2）加盖单位公章的营业执照复印件。（3）境内银行出具的前期费用使用书面承诺函（含资金来源、资金使用计划、境内银行有关权力机构关于境外投资相关决议等）。（4）向该笔境外投资相关主管部门报送的书面申请。（5）境内银行境外投资的相关真实性证明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分局和计划单列市分局办理的境内银行为其境外分支、代表机构等非独立核算机构购买境外办公用房办理前期费用登记：（1）书面申请，并附《境外直接投资外汇登记业务申请表》。（2）境内银行的营业执照或注册登记证明。（3）境外购买办公用房合同或协议。（4）境内银行已向相关主管部门报送的书面申请（如有）。（5）境内银行出具的前期费用使用书面承诺函（含资金来源、资金使用计划、境外非独立核算机构情况等）。</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分局和计划单列市分局办理的银行境外直接投资外汇初始登记：（1）书面申请，并附《境外直接投资外汇登记业务申请表》。（2）营业执照或注册登记证明（多个境内机构共同实施一项境外直接投资的，应提交各境内机构的营业执照或注册登记证明）。（3）该笔境外投资相关主管部门对境外投资事项的批准、备案文件或无异议材料等。（4）境外投资资金使用计划、境内银行有关权力机构关于境外投资相关决议等真实性证明材料。（5）如果发生前期费用汇出的，提供相关说明文件及汇出凭证。</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分局和计划单列市分局办理的银行境外直接投资外汇变更登记：（1）书面申请，并附《境外直接投资外汇登记业务申请表》。（2）该笔境外投资相关主管部门对境外投资变更事项的批准、备案文件或无异议材料等（按规定无需提交的除外）。（3）视具体变更事项，提供境外投资资金使用计划、境内银行有关权力机构关于境外投资的相关决议等真实性证明材料。（4）如新增境内投资者（含境内银行），应提供该境内投资者的营业执照。</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分局和计划单列市分局办理的银行境外直接投资外汇注销登记：（1）书面申请，并附《境外直接投资外汇登记业务申请表》。（2）该笔境外投资相关主管部门对注销事项的批准、备案文件或无异议材料等。（3）相关材料（如清算审计报告）。</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（1）《资本项目外汇业务指引（2024年版）》（汇发〔2024〕12号文印发）二、境外直接投资外汇业务</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2.1境内银行境外直接投资前期费用登记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2.1.3审核材料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2.1.3.1前期费用登记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（1）书面申请，并附《境外直接投资外汇登记业务申请表》。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（2）营业执照。</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（3）境内银行出具的前期费用使用书面承诺函（含资金来源、资金使用计划、境内银行有关权力机构关于境外投资相关决议等）。</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（4）向该笔境外投资相关主管部门报送的书面申请。</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（5）境内银行境外投资的相关真实性证明材料。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2.1.3.2境内银行为其境外分支、代表机构等非独立核算机构购买境外办公用房办理前期费用登记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（1）书面申请，并附《境外直接投资外汇登记业务申请表》。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（2）境内银行的营业执照或注册登记证明。</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（3）境外购买办公用房合同或协议。</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（4）境内银行已向相关主管部门报送的书面申请（如有）。</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（5）境内银行出具的前期费用使用书面承诺函（含资金来源、资金使用计划、境外非独立核算机构情况等）。</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2.2境内银行境外直接投资外汇初始登记及变更、注销登记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2.2.3审核材料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2.2.3.1境内银行境外直接投资外汇初始登记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（1）书面申请，并附《境外直接投资外汇登记业务申请表》。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（2）营业执照或注册登记证明（多个境内机构共同实施一项境外直接投资的，应提交各境内机构的营业执照或注册登记证明）。</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（3）该笔境外投资相关主管部门对境外投资事项的批准、备案文件或无异议材料等。</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（4）境外投资资金使用计划、境内银行有关权力机构关于境外投资相关决议等真实性证明材料。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（5）如果发生前期费用汇出的，提供相关说明文件及汇出凭证。</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2.2.3.2境内银行境外直接投资外汇变更登记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（1）书面申请，并附《境外直接投资外汇登记业务申请表》。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（2）该笔境外投资相关主管部门对境外投资变更事项的批准、备案文件或无异议材料等（按规定无需提交的除外）。</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（3）视具体变更事项，提供境外投资资金使用计划、境内银行有关权力机构关于境外投资的相关决议等真实性证明材料。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（4）如新增境内投资者（含境内银行），应提供该境内投资者的营业执照。</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2.2.3.3境内银行境外直接投资外汇注销登记</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（1）书面申请，并附《境外直接投资外汇登记业务申请表》。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（2）该笔境外投资相关主管部门对注销事项的批准、备案文件或无异议材料等。</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（3）相关材料（如清算审计报告）。</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境内机构境外直接投资外汇管理规定》（汇发〔2009〕30号文印发）第十四条境内机构向境外汇出的前期费用，一般不得超过境内机构已向境外直接投资主管部门申请的境外直接投资总额（以下简称境外直接投资总额）的15%（含），并持下列材料向所在地外汇局申请：（一）书面申请（包括境外直接投资总额、各方出资额、出资方式，以及所需前期费用金额、用途和资金来源说明等）；（二）境内机构有效的营业执照或注册登记证明及组织机构代码证；（三）境内机构参与投标、并购或合资合作项目的相关文件（包括中外方签署的意向书、备忘录或框架协议等）；（四）境内机构已向境外直接投资主管部门报送的书面申请；（五）境内机构出具的前期费用使用书面承诺函。</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（3）《境内机构境外直接投资外汇管理规定》（汇发〔2009〕30号文印发）第七条、第九条、第十条第七条 境内机构境外直接投资获得境外直接投资主管部门核准后，持下列材料到所在地外汇局办理境外直接投资外汇登记：（一）书面申请并填写《境外直接投资外汇登记申请表》；（二）外汇资金来源情况的说明材料；（三）境内机构有效的营业执照（统一社会信用代码证）或注册登记证明及组织机构代码证；（四）境外直接投资主管部门对该项投资的核准文件或证书;（五）如果发生前期费用汇出的，提供相关说明文件及汇出凭证；……。</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第九条 境内机构应在如下情况发生之日起60天内，持境外直接投资外汇登记证、境外直接投资主管部门的核准或备案文件及相关真实性证明材料到所在地外汇局办理境外直接投资外汇登记、变更或备案手续：（一）境内机构将其境外直接投资所得利润以及其所投资境外企业减资、转股、清算等所得资本项下外汇收入留存境外，用于设立、并购或参股未登记的境外企业的，应就上述直接投资活动办理境外直接投资外汇登记手续；（二）已登记境外企业发生名称、经营期限、合资合作伙伴及合资合作方式等基本信息变更，或发生增资、减资、股权转让或置换、合并或分立等情况，境内机构应就上述变更情况办理境外直接投资外汇登记变更手续。（三）已登记境外企业发生长期股权或债权投资、对外担保等不涉及资本变动的重大事项的，境内机构应就上述重大事项办理境外直接投资外汇备案手续。</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第十条 境内机构持有的境外企业股权因转股、破产、解散、清算、经营期满等原因注销的，境内机构应在取得境外直接投资主管部门相关证明材料之日起60天内，凭相关材料到所在地外汇局办理注销境外直接投资外汇登记手续。</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p>
    <w:p>
      <w:pPr>
        <w:spacing w:line="600" w:lineRule="exact"/>
        <w:ind w:firstLine="560" w:firstLineChars="200"/>
        <w:rPr>
          <w:rFonts w:ascii="Times New Roman" w:hAnsi="Times New Roman" w:eastAsia="仿宋GB2312"/>
          <w:sz w:val="28"/>
          <w:szCs w:val="28"/>
        </w:rPr>
      </w:pP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（1）申请人申请；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（2）审批机构受理/不予受理；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（3）审批机构审查；</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（4）决定作出许可决定书/不予许可决定书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（1）《国家外汇管理局行政许可实施办法》（国家外汇管理局公告2021年第1号）第十条第十条 外汇局收到行政许可申请后，应区分下列情况分别作出处理：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（一）申请事项属于本局职责范围，但依法不需要取得行政许可的，应即时告知申请人不受理，出具不予受理行政许可通知书；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（二）申请事项不属于本局职责范围，应即时作出不予受理的决定，出具不予受理行政许可通知书，并告知申请人向有关行政机关申请；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申请人拒不补正，或者自补正告知书送达之日起30日内未能提交全部且符合法定形式的补正材料的，应不予受理，出具不予受理行政许可通知书；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 申请材料存在文字笔误等可当场更正的错误的，应允许申请人当场更正，并告知其在修改处签字或盖章确认；</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（2）《国家外汇管理局行政许可实施办法》（国家外汇管理局公告2021年第1号）第十四条外汇局对行政许可申请审查后，应区分下列情况分别作出处理：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（二）申请不符合法定条件、拟不予行政许可的，应出具不予行政许可决定书，并说明不予行政许可的理由，告知申请人享有依法申请行政复议的权利。</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《国家外汇管理局行政许可实施办法》（国家外汇管理局公告2021年第1号）第十四条 外汇局对行政许可申请审查后，应区分下列情况分别作出处理：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（二）申请不符合法定条件、拟不予行政许可的，应出具不予行政许可决定书，并说明不予行政许可的理由，告知申请人享有依法申请行政复议的权利。</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（1）《国家外汇管理局行政许可实施办法》（国家外汇管理局公告2021年第1号）第十五条外汇局应根据以下要求确保行政许可依法按时完成：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（一）能当场作出决定的，应当场作出行政许可决定。当场作出行政许可决定的，可不出具行政许可受理通知书。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外汇局征求其他部门意见的时间计算在以上办理时限内；依法需要听证、检验、检测、鉴定、专家评审等的时间，不计算在上述办理时限内。</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各级外汇局对行政许可办理时限具有对外承诺的，应按照其承诺的时限完成；对外承诺的时限应短于20个工作日。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ascii="方正仿宋_GBK" w:hAnsi="方正仿宋_GBK" w:eastAsia="方正仿宋_GBK" w:cs="方正仿宋_GBK"/>
          <w:sz w:val="28"/>
          <w:szCs w:val="28"/>
        </w:rPr>
        <w:t>20个工作日</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2.收费项目的名称、收费项目的标准、设定收费项目的依据、规定收费标准的依据</w:t>
      </w:r>
    </w:p>
    <w:p>
      <w:pPr>
        <w:spacing w:line="600" w:lineRule="exact"/>
        <w:ind w:firstLine="560" w:firstLineChars="200"/>
        <w:rPr>
          <w:rFonts w:hint="eastAsia" w:ascii="方正仿宋_GBK" w:hAnsi="方正仿宋_GBK" w:eastAsia="方正仿宋_GBK" w:cs="方正仿宋_GBK"/>
          <w:b/>
          <w:bCs/>
          <w:color w:val="FF0000"/>
          <w:sz w:val="28"/>
          <w:szCs w:val="28"/>
        </w:rPr>
      </w:pP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《业务登记凭证》</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无期限</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6.办理审批结果变更手续的要求：</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8.办理审批结果延续手续的要求：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9.审批结果的有效地域范围：</w:t>
      </w:r>
      <w:r>
        <w:rPr>
          <w:rFonts w:hint="eastAsia" w:ascii="方正仿宋_GBK" w:hAnsi="方正仿宋_GBK" w:eastAsia="方正仿宋_GBK" w:cs="方正仿宋_GBK"/>
          <w:sz w:val="28"/>
          <w:szCs w:val="28"/>
        </w:rPr>
        <w:t>全国</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pPr>
        <w:spacing w:line="600" w:lineRule="exact"/>
        <w:ind w:firstLine="562" w:firstLineChars="200"/>
        <w:jc w:val="left"/>
        <w:rPr>
          <w:rFonts w:hint="eastAsia" w:ascii="Times New Roman" w:hAnsi="Times New Roman" w:eastAsia="仿宋GB2312"/>
          <w:b/>
          <w:bCs/>
          <w:sz w:val="28"/>
          <w:szCs w:val="28"/>
        </w:rPr>
      </w:pPr>
      <w:r>
        <w:rPr>
          <w:rFonts w:hint="eastAsia" w:ascii="Times New Roman" w:hAnsi="Times New Roman" w:eastAsia="仿宋GB2312"/>
          <w:b/>
          <w:bCs/>
          <w:sz w:val="28"/>
          <w:szCs w:val="28"/>
        </w:rPr>
        <w:t>5.规定在数量限制条件下实施行政许可方式的依据：</w:t>
      </w:r>
      <w:r>
        <w:rPr>
          <w:rFonts w:hint="eastAsia" w:ascii="方正仿宋_GBK" w:hAnsi="方正仿宋_GBK" w:eastAsia="方正仿宋_GBK" w:cs="方正仿宋_GBK"/>
          <w:sz w:val="28"/>
          <w:szCs w:val="28"/>
        </w:rPr>
        <w:t>无</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2.设定年检要求的依据：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pPr>
        <w:spacing w:line="60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有</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境外直接投资存量权益相关信息</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（1）《国家外汇管理局关于进一步简化和改进直接投资外汇管理政策的通知》（汇发〔2015〕13号）第二条取消直接投资外汇年检，改为实行存量权益登记。...</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（2）《资本项目外汇业务指引（2024版）》（汇发〔2024〕12号文印发）8.4境外直接投资存量权益登记（年度）</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8.4.3审核原则</w:t>
      </w:r>
    </w:p>
    <w:p>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1.境外投资企业的境内投资主体应于每年1月1日至6月30日（含）期间，通过资本项目信息系统企业端、银行端向外汇局报送上年度境外企业存量权益相关信息。</w:t>
      </w:r>
    </w:p>
    <w:p>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1年</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十四、监管主体</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国家外汇局及其分局</w:t>
      </w:r>
    </w:p>
    <w:p>
      <w:pPr>
        <w:outlineLvl w:val="1"/>
        <w:rPr>
          <w:rFonts w:ascii="Times New Roman" w:hAnsi="Times New Roman" w:eastAsia="黑体"/>
          <w:sz w:val="30"/>
          <w:szCs w:val="30"/>
        </w:rPr>
      </w:pPr>
      <w:r>
        <w:rPr>
          <w:rFonts w:hint="eastAsia" w:ascii="Times New Roman" w:hAnsi="Times New Roman" w:eastAsia="黑体"/>
          <w:sz w:val="30"/>
          <w:szCs w:val="30"/>
        </w:rPr>
        <w:t>十五、业务办理信息</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（一）是否通办：</w:t>
      </w:r>
      <w:r>
        <w:rPr>
          <w:rFonts w:hint="eastAsia" w:ascii="Times New Roman" w:hAnsi="Times New Roman" w:eastAsia="仿宋" w:cs="仿宋"/>
          <w:sz w:val="30"/>
          <w:szCs w:val="30"/>
        </w:rPr>
        <w:t>否</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（二）通办业务模式：</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（三）跨省通办事项名称：</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（四）是否是35号文中的跨省通办事项：</w:t>
      </w:r>
      <w:r>
        <w:rPr>
          <w:rFonts w:hint="eastAsia" w:ascii="Times New Roman" w:hAnsi="Times New Roman" w:eastAsia="仿宋" w:cs="仿宋"/>
          <w:sz w:val="30"/>
          <w:szCs w:val="30"/>
        </w:rPr>
        <w:t>无</w:t>
      </w:r>
    </w:p>
    <w:p>
      <w:pPr>
        <w:ind w:firstLine="602" w:firstLineChars="200"/>
        <w:rPr>
          <w:rFonts w:ascii="Times New Roman" w:hAnsi="Times New Roman" w:eastAsia="仿宋" w:cs="仿宋"/>
          <w:sz w:val="30"/>
          <w:szCs w:val="30"/>
        </w:rPr>
      </w:pPr>
      <w:r>
        <w:rPr>
          <w:rFonts w:hint="eastAsia" w:ascii="Times New Roman" w:hAnsi="Times New Roman" w:eastAsia="仿宋GB2312"/>
          <w:b/>
          <w:bCs/>
          <w:sz w:val="30"/>
          <w:szCs w:val="30"/>
        </w:rPr>
        <w:t>（五）是否网办：</w:t>
      </w:r>
      <w:r>
        <w:rPr>
          <w:rFonts w:hint="eastAsia" w:ascii="Times New Roman" w:hAnsi="Times New Roman" w:eastAsia="仿宋" w:cs="仿宋"/>
          <w:sz w:val="30"/>
          <w:szCs w:val="30"/>
        </w:rPr>
        <w:t>是</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（六）网上办理深度：</w:t>
      </w:r>
      <w:r>
        <w:rPr>
          <w:rFonts w:hint="eastAsia" w:ascii="Times New Roman" w:hAnsi="Times New Roman" w:eastAsia="仿宋" w:cs="仿宋"/>
          <w:sz w:val="30"/>
          <w:szCs w:val="30"/>
        </w:rPr>
        <w:t>互联网办理</w:t>
      </w:r>
    </w:p>
    <w:p>
      <w:pPr>
        <w:ind w:firstLine="602" w:firstLineChars="200"/>
        <w:rPr>
          <w:rFonts w:hint="eastAsia" w:ascii="Times New Roman" w:hAnsi="Times New Roman" w:eastAsia="仿宋GB2312" w:cs="方正仿宋_GBK"/>
          <w:sz w:val="30"/>
          <w:szCs w:val="30"/>
          <w:lang w:val="en-US" w:eastAsia="zh-CN"/>
        </w:rPr>
      </w:pPr>
      <w:r>
        <w:rPr>
          <w:rFonts w:hint="eastAsia" w:ascii="Times New Roman" w:hAnsi="Times New Roman" w:eastAsia="仿宋GB2312"/>
          <w:b/>
          <w:bCs/>
          <w:sz w:val="30"/>
          <w:szCs w:val="30"/>
        </w:rPr>
        <w:t>（七）到办事现场次数：</w:t>
      </w:r>
      <w:r>
        <w:rPr>
          <w:rFonts w:hint="eastAsia" w:ascii="Times New Roman" w:hAnsi="Times New Roman" w:eastAsia="仿宋GB2312"/>
          <w:b w:val="0"/>
          <w:bCs w:val="0"/>
          <w:sz w:val="30"/>
          <w:szCs w:val="30"/>
          <w:lang w:val="en-US" w:eastAsia="zh-CN"/>
        </w:rPr>
        <w:t>0</w:t>
      </w:r>
    </w:p>
    <w:p>
      <w:pPr>
        <w:ind w:firstLine="602" w:firstLineChars="200"/>
        <w:rPr>
          <w:rFonts w:hint="eastAsia" w:ascii="Times New Roman" w:hAnsi="Times New Roman" w:eastAsia="仿宋GB2312" w:cs="方正仿宋_GBK"/>
          <w:sz w:val="30"/>
          <w:szCs w:val="30"/>
          <w:lang w:eastAsia="zh-CN"/>
        </w:rPr>
      </w:pPr>
      <w:r>
        <w:rPr>
          <w:rFonts w:hint="eastAsia" w:ascii="Times New Roman" w:hAnsi="Times New Roman" w:eastAsia="仿宋GB2312"/>
          <w:b/>
          <w:bCs/>
          <w:sz w:val="30"/>
          <w:szCs w:val="30"/>
        </w:rPr>
        <w:t>（八）必须现场办理原因说明：</w:t>
      </w:r>
      <w:r>
        <w:rPr>
          <w:rFonts w:hint="eastAsia" w:ascii="Times New Roman" w:hAnsi="Times New Roman" w:eastAsia="仿宋" w:cs="仿宋"/>
          <w:sz w:val="30"/>
          <w:szCs w:val="30"/>
          <w:lang w:eastAsia="zh-CN"/>
        </w:rPr>
        <w:t>无</w:t>
      </w:r>
    </w:p>
    <w:p>
      <w:pPr>
        <w:ind w:firstLine="602" w:firstLineChars="200"/>
        <w:rPr>
          <w:rFonts w:hint="eastAsia" w:ascii="Times New Roman" w:hAnsi="Times New Roman" w:eastAsia="仿宋GB2312" w:cs="方正仿宋_GBK"/>
          <w:sz w:val="30"/>
          <w:szCs w:val="30"/>
          <w:lang w:eastAsia="zh-CN"/>
        </w:rPr>
      </w:pPr>
      <w:r>
        <w:rPr>
          <w:rFonts w:hint="eastAsia" w:ascii="Times New Roman" w:hAnsi="Times New Roman" w:eastAsia="仿宋GB2312"/>
          <w:b/>
          <w:bCs/>
          <w:sz w:val="30"/>
          <w:szCs w:val="30"/>
        </w:rPr>
        <w:t>（九）是否进驻政务大厅：</w:t>
      </w:r>
      <w:r>
        <w:rPr>
          <w:rFonts w:hint="eastAsia" w:ascii="Times New Roman" w:hAnsi="Times New Roman" w:eastAsia="仿宋GB2312"/>
          <w:b w:val="0"/>
          <w:bCs w:val="0"/>
          <w:sz w:val="30"/>
          <w:szCs w:val="30"/>
          <w:lang w:eastAsia="zh-CN"/>
        </w:rPr>
        <w:t>否</w:t>
      </w:r>
    </w:p>
    <w:p>
      <w:pPr>
        <w:ind w:firstLine="602" w:firstLineChars="200"/>
        <w:rPr>
          <w:rFonts w:hint="eastAsia" w:ascii="Times New Roman" w:hAnsi="Times New Roman" w:eastAsia="仿宋GB2312"/>
          <w:b/>
          <w:bCs/>
          <w:color w:val="auto"/>
          <w:sz w:val="30"/>
          <w:szCs w:val="30"/>
          <w:highlight w:val="none"/>
        </w:rPr>
      </w:pPr>
      <w:r>
        <w:rPr>
          <w:rFonts w:hint="eastAsia" w:ascii="Times New Roman" w:hAnsi="Times New Roman" w:eastAsia="仿宋GB2312"/>
          <w:b/>
          <w:bCs/>
          <w:color w:val="auto"/>
          <w:sz w:val="30"/>
          <w:szCs w:val="30"/>
          <w:highlight w:val="none"/>
          <w:lang w:eastAsia="zh-CN"/>
        </w:rPr>
        <w:t>（十）</w:t>
      </w:r>
      <w:r>
        <w:rPr>
          <w:rFonts w:hint="eastAsia" w:ascii="Times New Roman" w:hAnsi="Times New Roman" w:eastAsia="仿宋GB2312"/>
          <w:b/>
          <w:bCs/>
          <w:color w:val="auto"/>
          <w:sz w:val="30"/>
          <w:szCs w:val="30"/>
          <w:highlight w:val="none"/>
        </w:rPr>
        <w:t>办理地点：</w:t>
      </w:r>
    </w:p>
    <w:p>
      <w:pPr>
        <w:ind w:firstLine="600" w:firstLineChars="200"/>
        <w:rPr>
          <w:rFonts w:hint="eastAsia" w:ascii="Times New Roman" w:hAnsi="Times New Roman" w:eastAsia="仿宋GB2312"/>
          <w:b w:val="0"/>
          <w:bCs w:val="0"/>
          <w:color w:val="auto"/>
          <w:sz w:val="30"/>
          <w:szCs w:val="30"/>
          <w:highlight w:val="none"/>
          <w:lang w:eastAsia="zh-CN"/>
        </w:rPr>
      </w:pPr>
      <w:r>
        <w:rPr>
          <w:rFonts w:hint="eastAsia" w:ascii="Times New Roman" w:hAnsi="Times New Roman" w:eastAsia="仿宋GB2312"/>
          <w:b w:val="0"/>
          <w:bCs w:val="0"/>
          <w:color w:val="auto"/>
          <w:sz w:val="30"/>
          <w:szCs w:val="30"/>
          <w:highlight w:val="none"/>
          <w:lang w:eastAsia="zh-CN"/>
        </w:rPr>
        <w:t>（</w:t>
      </w:r>
      <w:r>
        <w:rPr>
          <w:rFonts w:hint="eastAsia" w:ascii="Times New Roman" w:hAnsi="Times New Roman" w:eastAsia="仿宋GB2312"/>
          <w:b w:val="0"/>
          <w:bCs w:val="0"/>
          <w:color w:val="auto"/>
          <w:sz w:val="30"/>
          <w:szCs w:val="30"/>
          <w:highlight w:val="none"/>
          <w:lang w:val="en-US" w:eastAsia="zh-CN"/>
        </w:rPr>
        <w:t>1</w:t>
      </w:r>
      <w:r>
        <w:rPr>
          <w:rFonts w:hint="eastAsia" w:ascii="Times New Roman" w:hAnsi="Times New Roman" w:eastAsia="仿宋GB2312"/>
          <w:b w:val="0"/>
          <w:bCs w:val="0"/>
          <w:color w:val="auto"/>
          <w:sz w:val="30"/>
          <w:szCs w:val="30"/>
          <w:highlight w:val="none"/>
          <w:lang w:eastAsia="zh-CN"/>
        </w:rPr>
        <w:t>）国家外汇管理局宁夏回族自治区分局：宁夏回族自治区银川市兴庆区北京东路215号外汇管理处</w:t>
      </w:r>
    </w:p>
    <w:p>
      <w:pPr>
        <w:pStyle w:val="2"/>
        <w:ind w:left="0" w:leftChars="0" w:firstLine="600" w:firstLineChars="200"/>
        <w:rPr>
          <w:rFonts w:hint="default"/>
          <w:color w:val="auto"/>
          <w:highlight w:val="none"/>
          <w:lang w:eastAsia="zh-CN"/>
        </w:rPr>
      </w:pPr>
      <w:r>
        <w:rPr>
          <w:rFonts w:hint="eastAsia" w:ascii="Times New Roman" w:hAnsi="Times New Roman" w:eastAsia="仿宋GB2312"/>
          <w:b w:val="0"/>
          <w:bCs w:val="0"/>
          <w:color w:val="auto"/>
          <w:sz w:val="30"/>
          <w:szCs w:val="30"/>
          <w:highlight w:val="none"/>
          <w:lang w:eastAsia="zh-CN"/>
        </w:rPr>
        <w:t>（</w:t>
      </w:r>
      <w:r>
        <w:rPr>
          <w:rFonts w:hint="eastAsia" w:ascii="Times New Roman" w:hAnsi="Times New Roman" w:eastAsia="仿宋GB2312"/>
          <w:b w:val="0"/>
          <w:bCs w:val="0"/>
          <w:color w:val="auto"/>
          <w:sz w:val="30"/>
          <w:szCs w:val="30"/>
          <w:highlight w:val="none"/>
          <w:lang w:val="en-US" w:eastAsia="zh-CN"/>
        </w:rPr>
        <w:t>2</w:t>
      </w:r>
      <w:r>
        <w:rPr>
          <w:rFonts w:hint="eastAsia" w:ascii="Times New Roman" w:hAnsi="Times New Roman" w:eastAsia="仿宋GB2312"/>
          <w:b w:val="0"/>
          <w:bCs w:val="0"/>
          <w:color w:val="auto"/>
          <w:sz w:val="30"/>
          <w:szCs w:val="30"/>
          <w:highlight w:val="none"/>
          <w:lang w:eastAsia="zh-CN"/>
        </w:rPr>
        <w:t>）国家外汇管理局宁夏回族自治区分局灵武营业管理部：宁夏回族自治区灵武市西平路</w:t>
      </w:r>
      <w:r>
        <w:rPr>
          <w:rFonts w:hint="eastAsia" w:ascii="Times New Roman" w:hAnsi="Times New Roman" w:eastAsia="仿宋GB2312"/>
          <w:b w:val="0"/>
          <w:bCs w:val="0"/>
          <w:color w:val="auto"/>
          <w:sz w:val="30"/>
          <w:szCs w:val="30"/>
          <w:highlight w:val="none"/>
          <w:lang w:val="en-US" w:eastAsia="zh-CN"/>
        </w:rPr>
        <w:t>102</w:t>
      </w:r>
      <w:r>
        <w:rPr>
          <w:rFonts w:hint="eastAsia" w:ascii="Times New Roman" w:hAnsi="Times New Roman" w:eastAsia="仿宋GB2312"/>
          <w:b w:val="0"/>
          <w:bCs w:val="0"/>
          <w:color w:val="auto"/>
          <w:sz w:val="30"/>
          <w:szCs w:val="30"/>
          <w:highlight w:val="none"/>
          <w:lang w:eastAsia="zh-CN"/>
        </w:rPr>
        <w:t>号</w:t>
      </w:r>
    </w:p>
    <w:p>
      <w:pPr>
        <w:ind w:firstLine="602" w:firstLineChars="200"/>
        <w:rPr>
          <w:rFonts w:hint="eastAsia" w:ascii="Times New Roman" w:hAnsi="Times New Roman" w:eastAsia="仿宋GB2312"/>
          <w:b w:val="0"/>
          <w:bCs w:val="0"/>
          <w:color w:val="auto"/>
          <w:sz w:val="30"/>
          <w:szCs w:val="30"/>
          <w:highlight w:val="none"/>
        </w:rPr>
      </w:pPr>
      <w:r>
        <w:rPr>
          <w:rFonts w:hint="eastAsia" w:ascii="Times New Roman" w:hAnsi="Times New Roman" w:eastAsia="仿宋GB2312"/>
          <w:b/>
          <w:bCs/>
          <w:color w:val="auto"/>
          <w:sz w:val="30"/>
          <w:szCs w:val="30"/>
          <w:highlight w:val="none"/>
          <w:lang w:eastAsia="zh-CN"/>
        </w:rPr>
        <w:t>（十一）</w:t>
      </w:r>
      <w:r>
        <w:rPr>
          <w:rFonts w:hint="eastAsia" w:ascii="Times New Roman" w:hAnsi="Times New Roman" w:eastAsia="仿宋GB2312"/>
          <w:b/>
          <w:bCs/>
          <w:color w:val="auto"/>
          <w:sz w:val="30"/>
          <w:szCs w:val="30"/>
          <w:highlight w:val="none"/>
        </w:rPr>
        <w:t>办理时间：</w:t>
      </w:r>
      <w:r>
        <w:rPr>
          <w:rFonts w:hint="eastAsia" w:ascii="Times New Roman" w:hAnsi="Times New Roman" w:eastAsia="仿宋GB2312"/>
          <w:b w:val="0"/>
          <w:bCs w:val="0"/>
          <w:color w:val="auto"/>
          <w:sz w:val="30"/>
          <w:szCs w:val="30"/>
          <w:highlight w:val="none"/>
        </w:rPr>
        <w:t>周一至周五，</w:t>
      </w:r>
      <w:r>
        <w:rPr>
          <w:rFonts w:hint="eastAsia" w:ascii="Times New Roman" w:hAnsi="Times New Roman" w:eastAsia="仿宋GB2312"/>
          <w:b w:val="0"/>
          <w:bCs w:val="0"/>
          <w:color w:val="auto"/>
          <w:sz w:val="30"/>
          <w:szCs w:val="30"/>
          <w:highlight w:val="none"/>
          <w:lang w:eastAsia="zh-CN"/>
        </w:rPr>
        <w:t>上午</w:t>
      </w:r>
      <w:r>
        <w:rPr>
          <w:rFonts w:hint="eastAsia" w:ascii="Times New Roman" w:hAnsi="Times New Roman" w:eastAsia="仿宋GB2312"/>
          <w:b w:val="0"/>
          <w:bCs w:val="0"/>
          <w:color w:val="auto"/>
          <w:sz w:val="30"/>
          <w:szCs w:val="30"/>
          <w:highlight w:val="none"/>
          <w:lang w:val="en-US" w:eastAsia="zh-CN"/>
        </w:rPr>
        <w:t>09</w:t>
      </w:r>
      <w:r>
        <w:rPr>
          <w:rFonts w:hint="eastAsia" w:ascii="Times New Roman" w:hAnsi="Times New Roman" w:eastAsia="仿宋GB2312"/>
          <w:b w:val="0"/>
          <w:bCs w:val="0"/>
          <w:color w:val="auto"/>
          <w:sz w:val="30"/>
          <w:szCs w:val="30"/>
          <w:highlight w:val="none"/>
        </w:rPr>
        <w:t>:</w:t>
      </w:r>
      <w:r>
        <w:rPr>
          <w:rFonts w:hint="eastAsia" w:ascii="Times New Roman" w:hAnsi="Times New Roman" w:eastAsia="仿宋GB2312"/>
          <w:b w:val="0"/>
          <w:bCs w:val="0"/>
          <w:color w:val="auto"/>
          <w:sz w:val="30"/>
          <w:szCs w:val="30"/>
          <w:highlight w:val="none"/>
          <w:lang w:val="en-US" w:eastAsia="zh-CN"/>
        </w:rPr>
        <w:t>0</w:t>
      </w:r>
      <w:r>
        <w:rPr>
          <w:rFonts w:hint="eastAsia" w:ascii="Times New Roman" w:hAnsi="Times New Roman" w:eastAsia="仿宋GB2312"/>
          <w:b w:val="0"/>
          <w:bCs w:val="0"/>
          <w:color w:val="auto"/>
          <w:sz w:val="30"/>
          <w:szCs w:val="30"/>
          <w:highlight w:val="none"/>
        </w:rPr>
        <w:t>0到12:00</w:t>
      </w:r>
      <w:r>
        <w:rPr>
          <w:rFonts w:hint="eastAsia" w:ascii="Times New Roman" w:hAnsi="Times New Roman" w:eastAsia="仿宋GB2312"/>
          <w:b w:val="0"/>
          <w:bCs w:val="0"/>
          <w:color w:val="auto"/>
          <w:sz w:val="30"/>
          <w:szCs w:val="30"/>
          <w:highlight w:val="none"/>
          <w:lang w:eastAsia="zh-CN"/>
        </w:rPr>
        <w:t>，</w:t>
      </w:r>
      <w:r>
        <w:rPr>
          <w:rFonts w:hint="eastAsia" w:ascii="Times New Roman" w:hAnsi="Times New Roman" w:eastAsia="仿宋GB2312"/>
          <w:b w:val="0"/>
          <w:bCs w:val="0"/>
          <w:color w:val="auto"/>
          <w:sz w:val="30"/>
          <w:szCs w:val="30"/>
          <w:highlight w:val="none"/>
        </w:rPr>
        <w:t>下午1</w:t>
      </w:r>
      <w:r>
        <w:rPr>
          <w:rFonts w:hint="eastAsia" w:ascii="Times New Roman" w:hAnsi="Times New Roman" w:eastAsia="仿宋GB2312"/>
          <w:b w:val="0"/>
          <w:bCs w:val="0"/>
          <w:color w:val="auto"/>
          <w:sz w:val="30"/>
          <w:szCs w:val="30"/>
          <w:highlight w:val="none"/>
          <w:lang w:val="en-US" w:eastAsia="zh-CN"/>
        </w:rPr>
        <w:t>4</w:t>
      </w:r>
      <w:r>
        <w:rPr>
          <w:rFonts w:hint="eastAsia" w:ascii="Times New Roman" w:hAnsi="Times New Roman" w:eastAsia="仿宋GB2312"/>
          <w:b w:val="0"/>
          <w:bCs w:val="0"/>
          <w:color w:val="auto"/>
          <w:sz w:val="30"/>
          <w:szCs w:val="30"/>
          <w:highlight w:val="none"/>
        </w:rPr>
        <w:t>:</w:t>
      </w:r>
      <w:r>
        <w:rPr>
          <w:rFonts w:hint="eastAsia" w:ascii="Times New Roman" w:hAnsi="Times New Roman" w:eastAsia="仿宋GB2312"/>
          <w:b w:val="0"/>
          <w:bCs w:val="0"/>
          <w:color w:val="auto"/>
          <w:sz w:val="30"/>
          <w:szCs w:val="30"/>
          <w:highlight w:val="none"/>
          <w:lang w:val="en-US" w:eastAsia="zh-CN"/>
        </w:rPr>
        <w:t>00</w:t>
      </w:r>
      <w:r>
        <w:rPr>
          <w:rFonts w:hint="eastAsia" w:ascii="Times New Roman" w:hAnsi="Times New Roman" w:eastAsia="仿宋GB2312"/>
          <w:b w:val="0"/>
          <w:bCs w:val="0"/>
          <w:color w:val="auto"/>
          <w:sz w:val="30"/>
          <w:szCs w:val="30"/>
          <w:highlight w:val="none"/>
        </w:rPr>
        <w:t>到17:</w:t>
      </w:r>
      <w:r>
        <w:rPr>
          <w:rFonts w:hint="eastAsia" w:ascii="Times New Roman" w:hAnsi="Times New Roman" w:eastAsia="仿宋GB2312"/>
          <w:b w:val="0"/>
          <w:bCs w:val="0"/>
          <w:color w:val="auto"/>
          <w:sz w:val="30"/>
          <w:szCs w:val="30"/>
          <w:highlight w:val="none"/>
          <w:lang w:val="en-US" w:eastAsia="zh-CN"/>
        </w:rPr>
        <w:t>3</w:t>
      </w:r>
      <w:r>
        <w:rPr>
          <w:rFonts w:hint="eastAsia" w:ascii="Times New Roman" w:hAnsi="Times New Roman" w:eastAsia="仿宋GB2312"/>
          <w:b w:val="0"/>
          <w:bCs w:val="0"/>
          <w:color w:val="auto"/>
          <w:sz w:val="30"/>
          <w:szCs w:val="30"/>
          <w:highlight w:val="none"/>
        </w:rPr>
        <w:t>0；周六、周日及法定节假日不对外办理业务</w:t>
      </w:r>
    </w:p>
    <w:p>
      <w:pPr>
        <w:pStyle w:val="2"/>
        <w:ind w:left="0" w:leftChars="0" w:firstLine="602" w:firstLineChars="200"/>
        <w:rPr>
          <w:rFonts w:hint="eastAsia" w:ascii="Times New Roman" w:hAnsi="Times New Roman" w:eastAsia="仿宋GB2312"/>
          <w:b/>
          <w:bCs/>
          <w:color w:val="auto"/>
          <w:sz w:val="30"/>
          <w:szCs w:val="30"/>
          <w:highlight w:val="none"/>
        </w:rPr>
      </w:pPr>
      <w:r>
        <w:rPr>
          <w:rFonts w:hint="eastAsia" w:ascii="Times New Roman" w:hAnsi="Times New Roman" w:eastAsia="仿宋GB2312"/>
          <w:b/>
          <w:bCs/>
          <w:color w:val="auto"/>
          <w:sz w:val="30"/>
          <w:szCs w:val="30"/>
          <w:highlight w:val="none"/>
          <w:lang w:eastAsia="zh-CN"/>
        </w:rPr>
        <w:t>（十二）</w:t>
      </w:r>
      <w:r>
        <w:rPr>
          <w:rFonts w:hint="eastAsia" w:ascii="Times New Roman" w:hAnsi="Times New Roman" w:eastAsia="仿宋GB2312"/>
          <w:b/>
          <w:bCs/>
          <w:color w:val="auto"/>
          <w:sz w:val="30"/>
          <w:szCs w:val="30"/>
          <w:highlight w:val="none"/>
        </w:rPr>
        <w:t>咨询方式：</w:t>
      </w:r>
    </w:p>
    <w:p>
      <w:pPr>
        <w:pStyle w:val="2"/>
        <w:ind w:left="0" w:leftChars="0" w:firstLine="600" w:firstLineChars="200"/>
        <w:rPr>
          <w:rFonts w:hint="eastAsia" w:ascii="Times New Roman" w:hAnsi="Times New Roman" w:eastAsia="仿宋GB2312"/>
          <w:b w:val="0"/>
          <w:bCs w:val="0"/>
          <w:color w:val="auto"/>
          <w:sz w:val="30"/>
          <w:szCs w:val="30"/>
          <w:highlight w:val="none"/>
        </w:rPr>
      </w:pPr>
      <w:r>
        <w:rPr>
          <w:rFonts w:hint="eastAsia" w:ascii="Times New Roman" w:hAnsi="Times New Roman" w:eastAsia="仿宋GB2312"/>
          <w:b w:val="0"/>
          <w:bCs w:val="0"/>
          <w:color w:val="auto"/>
          <w:sz w:val="30"/>
          <w:szCs w:val="30"/>
          <w:highlight w:val="none"/>
          <w:lang w:eastAsia="zh-CN"/>
        </w:rPr>
        <w:t>（</w:t>
      </w:r>
      <w:r>
        <w:rPr>
          <w:rFonts w:hint="eastAsia" w:ascii="Times New Roman" w:hAnsi="Times New Roman" w:eastAsia="仿宋GB2312"/>
          <w:b w:val="0"/>
          <w:bCs w:val="0"/>
          <w:color w:val="auto"/>
          <w:sz w:val="30"/>
          <w:szCs w:val="30"/>
          <w:highlight w:val="none"/>
          <w:lang w:val="en-US" w:eastAsia="zh-CN"/>
        </w:rPr>
        <w:t>1</w:t>
      </w:r>
      <w:r>
        <w:rPr>
          <w:rFonts w:hint="eastAsia" w:ascii="Times New Roman" w:hAnsi="Times New Roman" w:eastAsia="仿宋GB2312"/>
          <w:b w:val="0"/>
          <w:bCs w:val="0"/>
          <w:color w:val="auto"/>
          <w:sz w:val="30"/>
          <w:szCs w:val="30"/>
          <w:highlight w:val="none"/>
          <w:lang w:eastAsia="zh-CN"/>
        </w:rPr>
        <w:t>）国家外汇管理局宁夏回族自治区分局：</w:t>
      </w:r>
      <w:r>
        <w:rPr>
          <w:rFonts w:hint="eastAsia" w:ascii="Times New Roman" w:hAnsi="Times New Roman" w:eastAsia="仿宋GB2312"/>
          <w:b w:val="0"/>
          <w:bCs w:val="0"/>
          <w:color w:val="auto"/>
          <w:sz w:val="30"/>
          <w:szCs w:val="30"/>
          <w:highlight w:val="none"/>
        </w:rPr>
        <w:t>（0951）5189608；（0951）5189609</w:t>
      </w:r>
    </w:p>
    <w:p>
      <w:pPr>
        <w:ind w:firstLine="600" w:firstLineChars="200"/>
        <w:rPr>
          <w:rFonts w:hint="eastAsia" w:ascii="Times New Roman" w:hAnsi="Times New Roman" w:eastAsia="仿宋GB2312"/>
          <w:b w:val="0"/>
          <w:bCs w:val="0"/>
          <w:color w:val="auto"/>
          <w:sz w:val="30"/>
          <w:szCs w:val="30"/>
          <w:highlight w:val="none"/>
          <w:lang w:eastAsia="zh-CN"/>
        </w:rPr>
      </w:pPr>
      <w:r>
        <w:rPr>
          <w:rFonts w:hint="eastAsia" w:ascii="Times New Roman" w:hAnsi="Times New Roman" w:eastAsia="仿宋GB2312"/>
          <w:b w:val="0"/>
          <w:bCs w:val="0"/>
          <w:color w:val="auto"/>
          <w:sz w:val="30"/>
          <w:szCs w:val="30"/>
          <w:highlight w:val="none"/>
          <w:lang w:eastAsia="zh-CN"/>
        </w:rPr>
        <w:t>（</w:t>
      </w:r>
      <w:r>
        <w:rPr>
          <w:rFonts w:hint="eastAsia" w:ascii="Times New Roman" w:hAnsi="Times New Roman" w:eastAsia="仿宋GB2312"/>
          <w:b w:val="0"/>
          <w:bCs w:val="0"/>
          <w:color w:val="auto"/>
          <w:sz w:val="30"/>
          <w:szCs w:val="30"/>
          <w:highlight w:val="none"/>
          <w:lang w:val="en-US" w:eastAsia="zh-CN"/>
        </w:rPr>
        <w:t>2</w:t>
      </w:r>
      <w:r>
        <w:rPr>
          <w:rFonts w:hint="eastAsia" w:ascii="Times New Roman" w:hAnsi="Times New Roman" w:eastAsia="仿宋GB2312"/>
          <w:b w:val="0"/>
          <w:bCs w:val="0"/>
          <w:color w:val="auto"/>
          <w:sz w:val="30"/>
          <w:szCs w:val="30"/>
          <w:highlight w:val="none"/>
          <w:lang w:eastAsia="zh-CN"/>
        </w:rPr>
        <w:t>）国家外汇管理局宁夏回族自治区分局灵武营业管理部：（0951）5189954；（0951）5189985</w:t>
      </w:r>
    </w:p>
    <w:p>
      <w:pPr>
        <w:ind w:firstLine="602" w:firstLineChars="200"/>
        <w:rPr>
          <w:rFonts w:hint="eastAsia" w:ascii="Times New Roman" w:hAnsi="Times New Roman" w:eastAsia="仿宋GB2312"/>
          <w:b w:val="0"/>
          <w:bCs w:val="0"/>
          <w:sz w:val="30"/>
          <w:szCs w:val="30"/>
        </w:rPr>
      </w:pPr>
      <w:bookmarkStart w:id="0" w:name="_GoBack"/>
      <w:bookmarkEnd w:id="0"/>
      <w:r>
        <w:rPr>
          <w:rFonts w:hint="eastAsia" w:ascii="Times New Roman" w:hAnsi="Times New Roman" w:eastAsia="仿宋GB2312"/>
          <w:b/>
          <w:bCs/>
          <w:sz w:val="30"/>
          <w:szCs w:val="30"/>
          <w:lang w:eastAsia="zh-CN"/>
        </w:rPr>
        <w:t>（十三）</w:t>
      </w:r>
      <w:r>
        <w:rPr>
          <w:rFonts w:hint="eastAsia" w:ascii="Times New Roman" w:hAnsi="Times New Roman" w:eastAsia="仿宋GB2312"/>
          <w:b/>
          <w:bCs/>
          <w:sz w:val="30"/>
          <w:szCs w:val="30"/>
        </w:rPr>
        <w:t>监督投诉方式：</w:t>
      </w:r>
      <w:r>
        <w:rPr>
          <w:rFonts w:hint="eastAsia" w:ascii="Times New Roman" w:hAnsi="Times New Roman" w:eastAsia="仿宋GB2312"/>
          <w:b w:val="0"/>
          <w:bCs w:val="0"/>
          <w:sz w:val="30"/>
          <w:szCs w:val="30"/>
        </w:rPr>
        <w:t>监督和投诉等可通过国家外汇管理局宁夏回族自治区分局网站www.safe.gov.cn/ningxia/的投诉建议栏目进行,也可通过该网站公布的电话进行。</w:t>
      </w:r>
    </w:p>
    <w:p>
      <w:pPr>
        <w:ind w:firstLine="602" w:firstLineChars="200"/>
        <w:rPr>
          <w:rFonts w:ascii="Times New Roman" w:hAnsi="Times New Roman" w:eastAsia="方正仿宋_GBK" w:cs="方正仿宋_GBK"/>
          <w:sz w:val="30"/>
          <w:szCs w:val="30"/>
        </w:rPr>
      </w:pPr>
      <w:r>
        <w:rPr>
          <w:rFonts w:hint="eastAsia" w:ascii="Times New Roman" w:hAnsi="Times New Roman" w:eastAsia="仿宋GB2312"/>
          <w:b/>
          <w:bCs/>
          <w:sz w:val="30"/>
          <w:szCs w:val="30"/>
        </w:rPr>
        <w:t>（十四）是否支持网上支付：</w:t>
      </w:r>
      <w:r>
        <w:rPr>
          <w:rFonts w:hint="eastAsia" w:ascii="Times New Roman" w:hAnsi="Times New Roman" w:eastAsia="仿宋" w:cs="仿宋"/>
          <w:sz w:val="30"/>
          <w:szCs w:val="30"/>
        </w:rPr>
        <w:t>否</w:t>
      </w:r>
    </w:p>
    <w:p>
      <w:pPr>
        <w:ind w:firstLine="602" w:firstLineChars="200"/>
        <w:rPr>
          <w:rFonts w:hint="eastAsia" w:ascii="Times New Roman" w:hAnsi="Times New Roman" w:eastAsia="黑体"/>
          <w:sz w:val="28"/>
          <w:szCs w:val="28"/>
        </w:rPr>
      </w:pPr>
      <w:r>
        <w:rPr>
          <w:rFonts w:hint="eastAsia" w:ascii="Times New Roman" w:hAnsi="Times New Roman" w:eastAsia="仿宋GB2312"/>
          <w:b/>
          <w:bCs/>
          <w:sz w:val="30"/>
          <w:szCs w:val="30"/>
        </w:rPr>
        <w:t>（十五）是否支持物流快递：</w:t>
      </w:r>
      <w:r>
        <w:rPr>
          <w:rFonts w:hint="eastAsia" w:ascii="Times New Roman" w:hAnsi="Times New Roman" w:eastAsia="仿宋" w:cs="仿宋"/>
          <w:sz w:val="30"/>
          <w:szCs w:val="30"/>
        </w:rPr>
        <w:t>否</w:t>
      </w:r>
    </w:p>
    <w:p>
      <w:pPr>
        <w:spacing w:line="540" w:lineRule="exact"/>
        <w:outlineLvl w:val="1"/>
        <w:rPr>
          <w:rFonts w:hint="eastAsia" w:ascii="Times New Roman" w:hAnsi="Times New Roman" w:eastAsia="黑体"/>
          <w:sz w:val="28"/>
          <w:szCs w:val="28"/>
        </w:rPr>
      </w:pPr>
      <w:r>
        <w:rPr>
          <w:rFonts w:hint="eastAsia" w:ascii="Times New Roman" w:hAnsi="Times New Roman" w:eastAsia="黑体"/>
          <w:sz w:val="28"/>
          <w:szCs w:val="28"/>
        </w:rPr>
        <w:t>十</w:t>
      </w:r>
      <w:r>
        <w:rPr>
          <w:rFonts w:hint="eastAsia" w:ascii="Times New Roman" w:hAnsi="Times New Roman" w:eastAsia="黑体"/>
          <w:sz w:val="28"/>
          <w:szCs w:val="28"/>
          <w:lang w:eastAsia="zh-CN"/>
        </w:rPr>
        <w:t>六</w:t>
      </w:r>
      <w:r>
        <w:rPr>
          <w:rFonts w:hint="eastAsia" w:ascii="Times New Roman" w:hAnsi="Times New Roman" w:eastAsia="黑体"/>
          <w:sz w:val="28"/>
          <w:szCs w:val="28"/>
        </w:rPr>
        <w:t>、备注</w:t>
      </w:r>
    </w:p>
    <w:p>
      <w:pPr>
        <w:spacing w:line="600" w:lineRule="exact"/>
        <w:ind w:firstLine="560" w:firstLineChars="200"/>
        <w:rPr>
          <w:rFonts w:hint="eastAsia" w:ascii="方正仿宋_GBK" w:hAnsi="方正仿宋_GBK" w:eastAsia="方正仿宋_GBK" w:cs="方正仿宋_GBK"/>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MwOWE3ZWQxYTViMWU0Y2M3ZDcxNzg5NmUzMzNiNTQifQ=="/>
  </w:docVars>
  <w:rsids>
    <w:rsidRoot w:val="007A4B82"/>
    <w:rsid w:val="00314B4E"/>
    <w:rsid w:val="007A4B82"/>
    <w:rsid w:val="00E55281"/>
    <w:rsid w:val="15750BEF"/>
    <w:rsid w:val="3F083FCE"/>
    <w:rsid w:val="592F14F3"/>
    <w:rsid w:val="605E5C4D"/>
    <w:rsid w:val="77355D78"/>
    <w:rsid w:val="7CE826C7"/>
    <w:rsid w:val="7F312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qFormat/>
    <w:uiPriority w:val="39"/>
    <w:pPr>
      <w:ind w:left="840" w:leftChars="400"/>
    </w:p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9438</Words>
  <Characters>9908</Characters>
  <Lines>68</Lines>
  <Paragraphs>19</Paragraphs>
  <TotalTime>0</TotalTime>
  <ScaleCrop>false</ScaleCrop>
  <LinksUpToDate>false</LinksUpToDate>
  <CharactersWithSpaces>9919</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2024-05-16T11:22:00Z</dcterms:created>
  <dc:creator>kylin</dc:creator>
  <cp:lastModifiedBy>陈铮</cp:lastModifiedBy>
  <dcterms:modified xsi:type="dcterms:W3CDTF">2026-07-14T01:28:36Z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D76D2A64F2C44EB28C498C7B84826B8C_12</vt:lpwstr>
  </property>
</Properties>
</file>