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地（市）分局办理的跨国公司跨境资金集中运营—集中外债额度业务登记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【000171108010】</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境内机构外债、跨境担保核准【00017110800Y】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地（市）分局办理的跨国公司跨境资金集中运营—集中外债额度业务登记【000171108010】</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1.地（市）分局办理的跨国公司跨境资金集中运营-集中外债额度业务新办登记(00017110801001)</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2.地（市）分局办理的跨国公司跨境资金集中运营-集中外债额度业务变更登记(00017110801002)</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3.地（市）分局办理的跨国公司跨境资金集中运营-集中外债额度业务注销登记(00017110801003)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（1）《中华人民共和国外汇管理条例》第十八条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（2）《国务院对确需保留的行政审批项目设定行政许可的决定》附件第471项</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（2）《国家外汇管理局关于印发&lt;跨国公司跨境资金集中运营管理规定&gt;的通知》（汇发〔2019〕7号）第五条、第七条、第十条、第十一条、第十三条、第十四条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（3）《资本项目外汇业务指引（2024版）》（汇发[2024]12号）3.11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非银行债务人外债登记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地（市）分局办理的跨国公司跨境资金集中运营-集中外债额度业务新办登记：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①具备真实业务需求；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②具有完善的跨境资金管理架构、内控制度；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③建立相应的内部管理电子系统；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④上年度本外币国际收支规模超过1亿美元（参加跨境资金集中运营业务的境内成员企业合并计算）；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⑤近三年无重大外汇违法违规行为（成立不满三年的企业，自成立之日起无重大外汇违规行为）；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⑥主办企业和境内成员企业如为贸易外汇收支名录内企业，货物贸易分类结果应为A类；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⑦应是内部互相直接或间接持股的，具有独立法人资格的公司。</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地（市）分局办理的跨国公司跨境资金集中运营-集中外债额度业务变更登记：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跨国公司跨境资金集中运营业务办理期间，合作银行、主办企业、成员企业、业务种类等发生变更的，主办企业应提前一个月通过所在地外汇局向分局变更备案。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地（市）分局办理的跨国公司跨境资金集中运营-集中外债额度业务注销登记：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跨国公司需要停止办理跨境资金集中运营业务的，主办企业处理完毕相关债权债务、关闭国内资金主账户后，应通过所在地外汇局向分局备案。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（1）《国家外汇管理局关于印发&lt;跨国公司跨境资金集中运营管理规定&gt;的通知》（汇发〔2019〕7号）第五、十、十三条第五条 满足以下条件的跨国公司，可根据经营需要选择一家境内企业作为主办企业集中运营管理境内外成员企业资金，开展集中外债额度、集中境外放款额度、经常项目资金集中收付和轧差净额结算中的一项或多项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（一）具备真实业务需求；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（二）具有完善的跨境资金管理架构、内控制度；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（三）建立相应的内部管理电子系统；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（四）上年度本外币国际收支规模超过1亿美元（参加跨境资金集中运营业务的境内成员企业合并计算）；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（五）近三年无重大外汇违法违规行为（成立不满三年的企业，自成立之日起无重大外汇违规行为）；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（六）主办企业和境内成员企业如为贸易外汇收支名录内企业，货物贸易分类结果应为A类；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跨国公司跨境资金集中运营业务办理期间，合作银行、主办企业、成员企业、业务种类等发生变更的，主办企业应提前一个月通过所在地外汇局向分局变更备案。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第十三条</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跨国公司需要停止办理跨境资金集中运营业务的，主办企业处理完毕相关债权债务、关闭国内资金主账户后，应通过所在地外汇局向分局备案。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（2）《资本项目外汇业务指引（2024版）》（汇发[2024]12号）3.11审核原则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跨国公司主办企业和成员企业……符合以下条件：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①具备真实业务需求；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②具有完善的跨境资金管理架构、内控制度；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③建立相应的内部管理电子系统；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④上年度本外币国际收支规模超过1亿美元（参加跨境资金集中运营业务的境内成员企业合并计算）；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⑤近三年无重大外汇违法违规行为（成立不满三年的企业，自成立之日起无重大外汇违规行为）；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⑥主办企业和境内成员企业如为贸易外汇收支名录内企业，货物贸易分类结果应为A类；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⑦应是内部互相直接或间接持股的，具有独立法人资格的公司。</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（1）地（市）分局办理的跨国公司跨境资金集中运营-集中外债额度业务新办登记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主办企业公章的备案申请书（包括跨国公司及主办企业基本情况、拟开展的业务种类、成员企业名单、主办企业及成员企业股权结构情况、拟选择的合作银行情况、列表说明参加外债额度集中的境内成员企业名称、统一社会信用代码、注册地、每家境内成员企业最近一期经审计的所有者权益状况、拟集中的外债额度等）原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加盖跨国公司公章的跨国公司对主办企业开展跨境资金集中运营业务的授权书原件1份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加盖主办企业公章的主办企业与合作银行共同签署的《跨境资金集中运营业务办理确认书》原件1份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加盖主办企业公章的主办企业及境内成员企业营业执照复印件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加盖主办企业公章的境外成员企业注册文件（非中文的同时提供中文翻译件）复印件1份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加盖主办企业公章的金融业务许可证及经营范围批准文件（仅主办企业为财务公司的需提供）复印件1份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加盖主办企业公章的贡献外债额度成员企业上年度经审计的资产负债表复印件1份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（2）地（市）分局办理的跨国公司跨境资金集中运营-集中外债额度业务变更登记：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合作银行变更的，应提交以下材料：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①书面申请（包括拟选择的合作银行，原账户余额的处理方式等）。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②加盖银行业务公章的原账户余额对账单（新增合作银行的无需提供）。</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③主办企业与新增合作银行签署的《跨国公司跨境资金集中运营业务办理确认书》。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主办企业变更、成员企业新增或退出、外债和境外放款额度变更、业务种类变更的，参照备案提交材料。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主办企业、成员企业发生名称变更、分立、合并的，主办企业应在事项发生之日起一个月内报所在地外汇局，同时提交变更所涉企业的相关情况说明、涉及变更事项的证明材料（如变更后的营业执照等）。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（3）地（市）分局办理的跨国公司跨境资金集中运营-集中外债额度业务注销登记：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申请书，包括：跨国公司跨境资金集中运营业务开展情况、债权债务处理、国内资金主账户的关闭、注销备案原因等相关情况。</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国内资金主账户关户证明材料。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原备案通知书原件。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跨国公司跨境资金集中运营管理规定》第七、十、十一、十三条跨国公司开展跨境资金集中运营业务，应通过主办企业所在地国家外汇管理局分支局向所属外汇分局、管理部（以下简称分局）备案，提交以下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（一）基本材料 </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1．备案申请书（包括跨国公司及主办企业基本情况、拟开展的业务种类、成员企业名单、主办企业及成员企业股权结构情况、拟选择的合作银行情况等）；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2．跨国公司对主办企业开展跨境资金集中运营业务的授权书；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3．主办企业与合作银行共同签署的《跨国公司跨境资金集中运营业务办理确认书》；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4．主办企业及境内成员企业营业执照复印件和货物贸易分类结果证明材料；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5．境外成员企业注册文件（非中文的同时提供中文翻译件）；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6．金融业务许可证及经营范围批准文件（仅主办企业为财务公司的需提供）。</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以上第2项材料应加盖跨国公司公章，其余材料均应加盖主办企业公章。</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（二）专项材料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外债额度集中管理。主办企业申请办理集中境内成员企业外债额度备案时，应在备案申请书中列表说明参加外债额度集中的境内成员企业名称、统一社会信用代码、注册地、每家境内成员企业上年末经审计的所有者权益状况、拟集中的外债额度，并提供贡献外债额度成员企业上年度资产负债表复印件（加盖主办企业公章）。……</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条：跨国公司跨境资金集中运营业务办理期间，合作银行、主办企业、成员企业、业务种类等发生变更的，主办企业应提前一个月通过所在地外汇局向分局变更备案。分局应在收到完整的变更申请材料之日起二十个工作日内完成备案手续，并通过主办企业所在地外汇局出具备案通知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（一）合作银行变更的，应提交以下材料：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1．变更合作银行申请（包括拟选择的合作银行，原账户余额的处理方式等）；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2．加盖银行业务公章的原账户余额对账单；</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3．主办企业与变更后合作银行签署的《跨国公司跨境资金集中运营业务办理确认书》；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4．原备案通知书复印件。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（二）主办企业变更、成员企业新增或退出、外债和境外放款额度变更、业务种类变更的，除参照第七条提交材料外，还应提交原备案通知书复印件。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一条：主办企业、成员企业发生名称变更、分立、合并的，主办企业应在事项发生之日起一个月内报所在地外汇局，同时提交原备案通知书复印件、变更所涉企业的相关情况说明、涉及变更事项的证明材料（如变更后的营业执照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三条：跨国公司需要停止办理跨境资金集中运营业务的，主办企业处理完毕相关债权债务、关闭国内资金主账户后，应通过所在地外汇局向分局备案，提交备案申请，包括跨国公司跨境资金集中运营的外债额度及境外放款额度集中、跨境收支及结售汇、国内资金主账户的关闭等相关情况。</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（2）《资本项目外汇业务指引（2024版）》（汇发[2024]12号）3.113.11.3.1备案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（1）基本材料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①备案申请书（包括跨国公司及主办企业基本情况、拟开展的业务种类、成员企业名单、主办企业及成员企业股权结构情况、拟选择的合作银行情况等）。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②跨国公司对主办企业开展跨境资金集中运营业务的授权书。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③主办企业与合作银行共同签署的《跨国公司跨境资金集中运营业务办理确认书》。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④主办企业及境内成员企业营业执照。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⑤境外成员企业注册文件复印件。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⑥金融业务许可证及经营范围批准文件（仅主办企业为财务公司的需提供）。</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（2）专项材料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债额度集中管理。主办企业申请办理集中境内成员企业外债额度备案时，应在备案申请书中列表说明参加外债额度集中的境内成员企业名称、统一社会信用代码、注册地、每家境内成员企业最近一期经审计的所有者权益状况、拟集中的外债额度，并提供贡献外债额度成员企业最近一期经审计的资产负债表复印件（加盖主办企业公章）。</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3.11.3.2变更备案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（1）合作银行变更的，应提交以下材料：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①书面申请（包括拟选择的合作银行，原账户余额的处理方式等）。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②加盖银行业务公章的原账户余额对账单（新增合作银行的无需提供）。</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③主办企业与新增合作银行签署的《跨国公司跨境资金集中运营业务办理确认书》。</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（2）主办企业变更、成员企业新增或退出、外债和境外放款额度变更、业务种类变更的，参照备案提交材料。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（3）主办企业、成员企业发生名称变更、分立、合并的，主办企业应在事项发生之日起一个月内报所在地外汇局，同时提交变更所涉企业的相关情况说明、涉及变更事项的证明材料（如变更后的营业执照等）。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3.11.3.3注销备案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（1）申请书，包括：跨国公司跨境资金集中运营业务开展情况、债权债务处理、国内资金主账户的关闭、注销备案原因等相关情况。</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（2）国内资金主账户关户证明材料。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（3）原备案通知书原件。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经审计的财务报告</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（1）《跨国公司跨境资金集中运营管理规定》第七条（二）专项材料</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1.外债额度集中管理。主办企业申请办理集中境内成员企业外债额度备案时，应在备案申请书中列表说明参加外债额度集中的境内成员企业名称、统一社会信用代码、注册地、每家境内成员企业上年末经审计的所有者权益状况。</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会计师事务所等具有财务报告审计资格的机构</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经营服务性收费（市场调节价）</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《备案通知书》《境内机构外债签约情况表》《业务登记凭证》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hint="eastAsia" w:ascii="Times New Roman" w:hAnsi="Times New Roman" w:eastAsia="仿宋GB2312" w:cs="仿宋"/>
          <w:sz w:val="30"/>
          <w:szCs w:val="30"/>
          <w:lang w:eastAsia="zh-CN"/>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lang w:eastAsia="zh-CN"/>
        </w:rPr>
        <w:t>否</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rPr>
        <w:t>（六）网上办理深度：</w:t>
      </w:r>
      <w:r>
        <w:rPr>
          <w:rFonts w:hint="eastAsia" w:ascii="Times New Roman" w:hAnsi="Times New Roman" w:eastAsia="仿宋GB2312"/>
          <w:b w:val="0"/>
          <w:bCs w:val="0"/>
          <w:sz w:val="30"/>
          <w:szCs w:val="30"/>
          <w:lang w:eastAsia="zh-CN"/>
        </w:rPr>
        <w:t>无</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（七）到办事现场次数：</w:t>
      </w:r>
      <w:r>
        <w:rPr>
          <w:rFonts w:ascii="Times New Roman" w:hAnsi="Times New Roman" w:eastAsia="方正仿宋_GBK"/>
          <w:sz w:val="30"/>
          <w:szCs w:val="30"/>
        </w:rPr>
        <w:t>1</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尚不支持</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val="en-US"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bCs/>
          <w:sz w:val="30"/>
          <w:szCs w:val="30"/>
          <w:lang w:eastAsia="zh-CN"/>
        </w:rPr>
        <w:t>及咨询电话</w:t>
      </w:r>
      <w:r>
        <w:rPr>
          <w:rFonts w:hint="eastAsia" w:ascii="Times New Roman" w:hAnsi="Times New Roman" w:eastAsia="仿宋GB2312"/>
          <w:b/>
          <w:bCs/>
          <w:sz w:val="30"/>
          <w:szCs w:val="30"/>
        </w:rPr>
        <w:t>：</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lang w:eastAsia="zh-CN"/>
        </w:rPr>
        <w:t>办理地点：</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val="0"/>
          <w:bCs w:val="0"/>
          <w:sz w:val="30"/>
          <w:szCs w:val="30"/>
        </w:rPr>
        <w:t>宁夏回族自治区石嘴山市大武口区朝阳东街180号国家外汇管理局石嘴山市分局外汇管理科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val="0"/>
          <w:bCs w:val="0"/>
          <w:sz w:val="30"/>
          <w:szCs w:val="30"/>
        </w:rPr>
        <w:t>宁夏回族自治区吴忠市利通区古城路83号国家外汇管理局吴忠市分局外汇管理科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县</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宁夏回族自治区吴忠市同心县豫海北街33号中国人民银行同心营业管理部</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val="0"/>
          <w:bCs w:val="0"/>
          <w:sz w:val="30"/>
          <w:szCs w:val="30"/>
        </w:rPr>
        <w:t>宁夏回族自治区固原市原州区新区街道八一路国家外汇管理局固原市分局行外汇管理科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val="0"/>
          <w:bCs w:val="0"/>
          <w:sz w:val="30"/>
          <w:szCs w:val="30"/>
        </w:rPr>
        <w:t>宁夏回族自治区中卫市沙坡头区丰安东路3号国家外汇管理局中卫市分局外汇管理科</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rPr>
        <w:t>咨询方式：</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（0952）2090348  （0952）2090346</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（0953）2059135  （0953）2059137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营业管理部</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0953</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2057274</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（0954）2042703</w:t>
      </w:r>
      <w:r>
        <w:rPr>
          <w:rFonts w:hint="eastAsia" w:ascii="Times New Roman" w:hAnsi="Times New Roman" w:eastAsia="仿宋GB2312"/>
          <w:b w:val="0"/>
          <w:bCs w:val="0"/>
          <w:sz w:val="30"/>
          <w:szCs w:val="30"/>
          <w:lang w:val="en-US" w:eastAsia="zh-CN"/>
        </w:rPr>
        <w:t xml:space="preserve">  </w:t>
      </w:r>
      <w:r>
        <w:rPr>
          <w:rFonts w:hint="eastAsia" w:ascii="Times New Roman" w:hAnsi="Times New Roman" w:eastAsia="仿宋GB2312"/>
          <w:b w:val="0"/>
          <w:bCs w:val="0"/>
          <w:sz w:val="30"/>
          <w:szCs w:val="30"/>
        </w:rPr>
        <w:t>（0954）2042637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（0955）7025154  （0955）7025150</w:t>
      </w:r>
    </w:p>
    <w:p>
      <w:pPr>
        <w:ind w:firstLine="602" w:firstLineChars="200"/>
        <w:rPr>
          <w:rFonts w:hint="eastAsia" w:ascii="Times New Roman" w:hAnsi="Times New Roman" w:eastAsia="仿宋GB2312"/>
          <w:b w:val="0"/>
          <w:bCs w:val="0"/>
          <w:sz w:val="30"/>
          <w:szCs w:val="30"/>
          <w:lang w:eastAsia="zh-CN"/>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周一至周五，上午09:00到12:00，下午1</w:t>
      </w:r>
      <w:r>
        <w:rPr>
          <w:rFonts w:hint="eastAsia" w:ascii="Times New Roman" w:hAnsi="Times New Roman" w:eastAsia="仿宋GB2312"/>
          <w:b w:val="0"/>
          <w:bCs w:val="0"/>
          <w:sz w:val="30"/>
          <w:szCs w:val="30"/>
          <w:lang w:val="en-US" w:eastAsia="zh-CN"/>
        </w:rPr>
        <w:t>4</w:t>
      </w:r>
      <w:r>
        <w:rPr>
          <w:rFonts w:hint="eastAsia" w:ascii="Times New Roman" w:hAnsi="Times New Roman" w:eastAsia="仿宋GB2312"/>
          <w:b w:val="0"/>
          <w:bCs w:val="0"/>
          <w:sz w:val="30"/>
          <w:szCs w:val="30"/>
        </w:rPr>
        <w:t>:</w:t>
      </w:r>
      <w:r>
        <w:rPr>
          <w:rFonts w:hint="eastAsia" w:ascii="Times New Roman" w:hAnsi="Times New Roman" w:eastAsia="仿宋GB2312"/>
          <w:b w:val="0"/>
          <w:bCs w:val="0"/>
          <w:sz w:val="30"/>
          <w:szCs w:val="30"/>
          <w:lang w:val="en-US" w:eastAsia="zh-CN"/>
        </w:rPr>
        <w:t>00</w:t>
      </w:r>
      <w:r>
        <w:rPr>
          <w:rFonts w:hint="eastAsia" w:ascii="Times New Roman" w:hAnsi="Times New Roman" w:eastAsia="仿宋GB2312"/>
          <w:b w:val="0"/>
          <w:bCs w:val="0"/>
          <w:sz w:val="30"/>
          <w:szCs w:val="30"/>
        </w:rPr>
        <w:t>到17:</w:t>
      </w:r>
      <w:r>
        <w:rPr>
          <w:rFonts w:hint="eastAsia" w:ascii="Times New Roman" w:hAnsi="Times New Roman" w:eastAsia="仿宋GB2312"/>
          <w:b w:val="0"/>
          <w:bCs w:val="0"/>
          <w:sz w:val="30"/>
          <w:szCs w:val="30"/>
          <w:lang w:val="en-US" w:eastAsia="zh-CN"/>
        </w:rPr>
        <w:t>3</w:t>
      </w:r>
      <w:r>
        <w:rPr>
          <w:rFonts w:hint="eastAsia" w:ascii="Times New Roman" w:hAnsi="Times New Roman" w:eastAsia="仿宋GB2312"/>
          <w:b w:val="0"/>
          <w:bCs w:val="0"/>
          <w:sz w:val="30"/>
          <w:szCs w:val="30"/>
        </w:rPr>
        <w:t>0；周六、周日及法定节假日不对外办理业务</w:t>
      </w:r>
      <w:r>
        <w:rPr>
          <w:rFonts w:hint="eastAsia" w:ascii="Times New Roman" w:hAnsi="Times New Roman" w:eastAsia="仿宋GB2312"/>
          <w:b w:val="0"/>
          <w:bCs w:val="0"/>
          <w:sz w:val="30"/>
          <w:szCs w:val="30"/>
          <w:lang w:eastAsia="zh-CN"/>
        </w:rPr>
        <w:t>。</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w:t>
      </w:r>
      <w:bookmarkStart w:id="0" w:name="_GoBack"/>
      <w:bookmarkEnd w:id="0"/>
      <w:r>
        <w:rPr>
          <w:rFonts w:hint="eastAsia" w:ascii="Times New Roman" w:hAnsi="Times New Roman" w:eastAsia="仿宋GB2312"/>
          <w:b w:val="0"/>
          <w:bCs w:val="0"/>
          <w:sz w:val="30"/>
          <w:szCs w:val="30"/>
        </w:rPr>
        <w:t>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三</w:t>
      </w:r>
      <w:r>
        <w:rPr>
          <w:rFonts w:hint="eastAsia" w:ascii="Times New Roman" w:hAnsi="Times New Roman" w:eastAsia="仿宋GB2312"/>
          <w:b/>
          <w:bCs/>
          <w:sz w:val="30"/>
          <w:szCs w:val="30"/>
        </w:rPr>
        <w:t>）是否支持网上支付：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四</w:t>
      </w:r>
      <w:r>
        <w:rPr>
          <w:rFonts w:hint="eastAsia" w:ascii="Times New Roman" w:hAnsi="Times New Roman" w:eastAsia="仿宋GB2312"/>
          <w:b/>
          <w:bCs/>
          <w:sz w:val="30"/>
          <w:szCs w:val="30"/>
        </w:rPr>
        <w:t>）是否支持物流快递：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E457E6"/>
    <w:rsid w:val="006F3598"/>
    <w:rsid w:val="00BA4F2D"/>
    <w:rsid w:val="00E457E6"/>
    <w:rsid w:val="00ED5252"/>
    <w:rsid w:val="00FA675F"/>
    <w:rsid w:val="3936007B"/>
    <w:rsid w:val="3C102E14"/>
    <w:rsid w:val="55DD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6650</Words>
  <Characters>6895</Characters>
  <Lines>50</Lines>
  <Paragraphs>14</Paragraphs>
  <TotalTime>0</TotalTime>
  <ScaleCrop>false</ScaleCrop>
  <LinksUpToDate>false</LinksUpToDate>
  <CharactersWithSpaces>6913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2024-05-16T11:21:00Z</dcterms:created>
  <dc:creator>kylin</dc:creator>
  <cp:lastModifiedBy>陈铮</cp:lastModifiedBy>
  <dcterms:modified xsi:type="dcterms:W3CDTF">2026-07-13T02:37:35Z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C443ABB0788F4C01A0D0C6D00165F96E_12</vt:lpwstr>
  </property>
</Properties>
</file>