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省级分局和计划单列市分局办理的</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C类企业经常项目收支登记</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【000171102001】</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经常项目特定收支业务核准【00017110200Y】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省级分局和计划单列市分局办理的C类企业经常项目收支登记【000171102001】</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1.省级分局和计划单列市分局办理的C类企业经常项目收支登记(00017110200101)</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（1）《国务院对确需保留的行政审批项目设定行政许可的决定》</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hint="eastAsia" w:ascii="方正仿宋_GBK" w:hAnsi="方正仿宋_GBK" w:eastAsia="方正仿宋_GBK" w:cs="方正仿宋_GBK"/>
          <w:sz w:val="28"/>
          <w:szCs w:val="28"/>
          <w:lang w:eastAsia="zh-CN"/>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国家外汇管理局关于进一步优化贸易外汇业务管理的通知</w:t>
      </w:r>
      <w:r>
        <w:rPr>
          <w:rFonts w:hint="eastAsia" w:ascii="方正仿宋_GBK" w:hAnsi="方正仿宋_GBK" w:eastAsia="方正仿宋_GBK" w:cs="方正仿宋_GBK"/>
          <w:sz w:val="28"/>
          <w:szCs w:val="28"/>
          <w:lang w:eastAsia="zh-CN"/>
        </w:rPr>
        <w:t>》（汇发</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lang w:val="en-US" w:eastAsia="zh-CN"/>
        </w:rPr>
        <w:t>24</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sz w:val="28"/>
          <w:szCs w:val="28"/>
          <w:lang w:eastAsia="zh-CN"/>
        </w:rPr>
        <w:t>号）第四条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2</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国家外汇管理局关于进一步优化贸易外汇业务管理的通知</w:t>
      </w:r>
      <w:r>
        <w:rPr>
          <w:rFonts w:hint="eastAsia" w:ascii="方正仿宋_GBK" w:hAnsi="方正仿宋_GBK" w:eastAsia="方正仿宋_GBK" w:cs="方正仿宋_GBK"/>
          <w:sz w:val="28"/>
          <w:szCs w:val="28"/>
          <w:lang w:eastAsia="zh-CN"/>
        </w:rPr>
        <w:t>》（汇发</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lang w:val="en-US" w:eastAsia="zh-CN"/>
        </w:rPr>
        <w:t>24</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sz w:val="28"/>
          <w:szCs w:val="28"/>
          <w:lang w:eastAsia="zh-CN"/>
        </w:rPr>
        <w:t>号）第五条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3</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《国家外汇管理局关于印发</w:t>
      </w:r>
      <w:r>
        <w:rPr>
          <w:rFonts w:hint="eastAsia" w:ascii="微软雅黑" w:hAnsi="微软雅黑" w:eastAsia="微软雅黑" w:cs="微软雅黑"/>
          <w:sz w:val="28"/>
          <w:szCs w:val="28"/>
          <w:lang w:eastAsia="zh-CN"/>
        </w:rPr>
        <w:t>〈</w:t>
      </w:r>
      <w:r>
        <w:rPr>
          <w:rFonts w:hint="eastAsia" w:ascii="方正仿宋_GBK" w:hAnsi="方正仿宋_GBK" w:eastAsia="方正仿宋_GBK" w:cs="方正仿宋_GBK"/>
          <w:sz w:val="28"/>
          <w:szCs w:val="28"/>
        </w:rPr>
        <w:t>经常项目外汇业务指引（2020年版）</w:t>
      </w:r>
      <w:r>
        <w:rPr>
          <w:rFonts w:hint="eastAsia" w:ascii="微软雅黑" w:hAnsi="微软雅黑" w:eastAsia="微软雅黑" w:cs="微软雅黑"/>
          <w:sz w:val="28"/>
          <w:szCs w:val="28"/>
          <w:lang w:eastAsia="zh-CN"/>
        </w:rPr>
        <w:t>〉</w:t>
      </w:r>
      <w:r>
        <w:rPr>
          <w:rFonts w:hint="eastAsia" w:ascii="方正仿宋_GBK" w:hAnsi="方正仿宋_GBK" w:eastAsia="方正仿宋_GBK" w:cs="方正仿宋_GBK"/>
          <w:sz w:val="28"/>
          <w:szCs w:val="28"/>
        </w:rPr>
        <w:t>的通知》</w:t>
      </w:r>
      <w:r>
        <w:rPr>
          <w:rFonts w:ascii="方正仿宋_GBK" w:hAnsi="方正仿宋_GBK" w:eastAsia="方正仿宋_GBK" w:cs="方正仿宋_GBK"/>
          <w:sz w:val="28"/>
          <w:szCs w:val="28"/>
        </w:rPr>
        <w:t>（汇发〔2020〕14号）</w:t>
      </w:r>
      <w:r>
        <w:rPr>
          <w:rFonts w:hint="eastAsia" w:ascii="方正仿宋_GBK" w:hAnsi="方正仿宋_GBK" w:eastAsia="方正仿宋_GBK" w:cs="方正仿宋_GBK"/>
          <w:sz w:val="28"/>
          <w:szCs w:val="28"/>
          <w:lang w:eastAsia="zh-CN"/>
        </w:rPr>
        <w:t>附件</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第二十三条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4</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《国家外汇管理局关于印发</w:t>
      </w:r>
      <w:r>
        <w:rPr>
          <w:rFonts w:hint="eastAsia" w:ascii="微软雅黑" w:hAnsi="微软雅黑" w:eastAsia="微软雅黑" w:cs="微软雅黑"/>
          <w:sz w:val="28"/>
          <w:szCs w:val="28"/>
          <w:lang w:eastAsia="zh-CN"/>
        </w:rPr>
        <w:t>〈</w:t>
      </w:r>
      <w:r>
        <w:rPr>
          <w:rFonts w:hint="eastAsia" w:ascii="方正仿宋_GBK" w:hAnsi="方正仿宋_GBK" w:eastAsia="方正仿宋_GBK" w:cs="方正仿宋_GBK"/>
          <w:sz w:val="28"/>
          <w:szCs w:val="28"/>
        </w:rPr>
        <w:t>经常项目外汇业务指引（2020年版）</w:t>
      </w:r>
      <w:r>
        <w:rPr>
          <w:rFonts w:hint="eastAsia" w:ascii="微软雅黑" w:hAnsi="微软雅黑" w:eastAsia="微软雅黑" w:cs="微软雅黑"/>
          <w:sz w:val="28"/>
          <w:szCs w:val="28"/>
          <w:lang w:eastAsia="zh-CN"/>
        </w:rPr>
        <w:t>〉</w:t>
      </w:r>
      <w:r>
        <w:rPr>
          <w:rFonts w:hint="eastAsia" w:ascii="方正仿宋_GBK" w:hAnsi="方正仿宋_GBK" w:eastAsia="方正仿宋_GBK" w:cs="方正仿宋_GBK"/>
          <w:sz w:val="28"/>
          <w:szCs w:val="28"/>
        </w:rPr>
        <w:t>的通知》</w:t>
      </w:r>
      <w:r>
        <w:rPr>
          <w:rFonts w:ascii="方正仿宋_GBK" w:hAnsi="方正仿宋_GBK" w:eastAsia="方正仿宋_GBK" w:cs="方正仿宋_GBK"/>
          <w:sz w:val="28"/>
          <w:szCs w:val="28"/>
        </w:rPr>
        <w:t>（汇发〔2020〕14号）</w:t>
      </w:r>
      <w:r>
        <w:rPr>
          <w:rFonts w:hint="eastAsia" w:ascii="方正仿宋_GBK" w:hAnsi="方正仿宋_GBK" w:eastAsia="方正仿宋_GBK" w:cs="方正仿宋_GBK"/>
          <w:sz w:val="28"/>
          <w:szCs w:val="28"/>
          <w:lang w:eastAsia="zh-CN"/>
        </w:rPr>
        <w:t>附件</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第三十五条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《国家外汇管理局行政许可实施办法》（国家外汇管理局公告2021年第1号）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国家外汇局省级分局和计划单列市分局</w:t>
      </w:r>
      <w:r>
        <w:rPr>
          <w:rFonts w:hint="eastAsia" w:ascii="方正仿宋_GBK" w:hAnsi="方正仿宋_GBK" w:eastAsia="方正仿宋_GBK" w:cs="方正仿宋_GBK"/>
          <w:sz w:val="28"/>
          <w:szCs w:val="28"/>
        </w:rPr>
        <w:t>（县域派出机构可以本级分局名义办理）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省级/直属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hint="eastAsia" w:ascii="方正仿宋_GBK" w:hAnsi="方正仿宋_GBK" w:eastAsia="方正仿宋_GBK" w:cs="方正仿宋_GBK"/>
          <w:sz w:val="28"/>
          <w:szCs w:val="28"/>
          <w:lang w:eastAsia="zh-CN"/>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进口付汇事前审核,出口收汇事前审核</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）基于真实合规交易背景。</w:t>
      </w:r>
    </w:p>
    <w:p>
      <w:pPr>
        <w:spacing w:line="60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在分类监管有效期内的C类企业，此前导致列入C类企业的情况已改善或纠正,且未出现新的列入C类企业情形的，自列入C类企业之日起6个月后，可在所在地外汇局登记后办理90天以上（不含）的延期收款或延期付款业务。</w:t>
      </w:r>
    </w:p>
    <w:p>
      <w:pPr>
        <w:spacing w:line="600" w:lineRule="exact"/>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C类企业在分类监管有效期内原则上不得办理以下业务：</w:t>
      </w:r>
      <w:r>
        <w:rPr>
          <w:rFonts w:hint="default" w:ascii="Calibri" w:hAnsi="Calibri" w:eastAsia="方正仿宋_GBK" w:cs="Calibri"/>
          <w:sz w:val="28"/>
          <w:szCs w:val="28"/>
        </w:rPr>
        <w:t>①</w:t>
      </w:r>
      <w:r>
        <w:rPr>
          <w:rFonts w:ascii="方正仿宋_GBK" w:hAnsi="方正仿宋_GBK" w:eastAsia="方正仿宋_GBK" w:cs="方正仿宋_GBK"/>
          <w:sz w:val="28"/>
          <w:szCs w:val="28"/>
        </w:rPr>
        <w:t>90天以上（不含）的远期信用证（含展期）、海外代付等进口贸易融资业务；</w:t>
      </w:r>
      <w:r>
        <w:rPr>
          <w:rFonts w:hint="default" w:ascii="Calibri" w:hAnsi="Calibri" w:eastAsia="方正仿宋_GBK" w:cs="Calibri"/>
          <w:sz w:val="28"/>
          <w:szCs w:val="28"/>
        </w:rPr>
        <w:t>②</w:t>
      </w:r>
      <w:r>
        <w:rPr>
          <w:rFonts w:hint="eastAsia" w:ascii="方正仿宋_GBK" w:hAnsi="方正仿宋_GBK" w:eastAsia="方正仿宋_GBK" w:cs="方正仿宋_GBK"/>
          <w:sz w:val="28"/>
          <w:szCs w:val="28"/>
        </w:rPr>
        <w:t>90天以上（不含）的托收业务；</w:t>
      </w:r>
      <w:r>
        <w:rPr>
          <w:rFonts w:hint="default" w:ascii="Calibri" w:hAnsi="Calibri" w:eastAsia="方正仿宋_GBK" w:cs="Calibri"/>
          <w:sz w:val="28"/>
          <w:szCs w:val="28"/>
          <w:lang w:eastAsia="zh-CN"/>
        </w:rPr>
        <w:t>③</w:t>
      </w:r>
      <w:r>
        <w:rPr>
          <w:rFonts w:ascii="方正仿宋_GBK" w:hAnsi="方正仿宋_GBK" w:eastAsia="方正仿宋_GBK" w:cs="方正仿宋_GBK"/>
          <w:sz w:val="28"/>
          <w:szCs w:val="28"/>
        </w:rPr>
        <w:t>离岸转手买卖外汇收支业务</w:t>
      </w:r>
      <w:r>
        <w:rPr>
          <w:rFonts w:hint="eastAsia" w:ascii="方正仿宋_GBK" w:hAnsi="方正仿宋_GBK" w:eastAsia="方正仿宋_GBK" w:cs="方正仿宋_GBK"/>
          <w:sz w:val="28"/>
          <w:szCs w:val="28"/>
          <w:lang w:eastAsia="zh-CN"/>
        </w:rPr>
        <w:t>；</w:t>
      </w:r>
      <w:r>
        <w:rPr>
          <w:rFonts w:hint="default" w:ascii="Calibri" w:hAnsi="Calibri" w:eastAsia="方正仿宋_GBK" w:cs="Calibri"/>
          <w:sz w:val="28"/>
          <w:szCs w:val="28"/>
          <w:lang w:eastAsia="zh-CN"/>
        </w:rPr>
        <w:t>④</w:t>
      </w:r>
      <w:r>
        <w:rPr>
          <w:rFonts w:hint="eastAsia" w:ascii="方正仿宋_GBK" w:hAnsi="方正仿宋_GBK" w:eastAsia="方正仿宋_GBK" w:cs="方正仿宋_GBK"/>
          <w:sz w:val="28"/>
          <w:szCs w:val="28"/>
          <w:lang w:eastAsia="zh-CN"/>
        </w:rPr>
        <w:t>除上述第（</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）条所列情况外的</w:t>
      </w:r>
      <w:r>
        <w:rPr>
          <w:rFonts w:hint="eastAsia" w:ascii="方正仿宋_GBK" w:hAnsi="方正仿宋_GBK" w:eastAsia="方正仿宋_GBK" w:cs="方正仿宋_GBK"/>
          <w:sz w:val="28"/>
          <w:szCs w:val="28"/>
        </w:rPr>
        <w:t>90天以上（不含）的延期收款或延期付款业务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hint="eastAsia"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default"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国家外汇管理局关于进一步优化贸易外汇业务管理的通知</w:t>
      </w:r>
      <w:r>
        <w:rPr>
          <w:rFonts w:hint="default" w:ascii="方正仿宋_GBK" w:hAnsi="方正仿宋_GBK" w:eastAsia="方正仿宋_GBK" w:cs="方正仿宋_GBK"/>
          <w:sz w:val="28"/>
          <w:szCs w:val="28"/>
          <w:lang w:eastAsia="zh-CN"/>
        </w:rPr>
        <w:t>》（汇发</w:t>
      </w:r>
      <w:r>
        <w:rPr>
          <w:rFonts w:ascii="方正仿宋_GBK" w:hAnsi="方正仿宋_GBK" w:eastAsia="方正仿宋_GBK" w:cs="方正仿宋_GBK"/>
          <w:sz w:val="28"/>
          <w:szCs w:val="28"/>
        </w:rPr>
        <w:t>〔20</w:t>
      </w:r>
      <w:r>
        <w:rPr>
          <w:rFonts w:hint="default" w:ascii="方正仿宋_GBK" w:hAnsi="方正仿宋_GBK" w:eastAsia="方正仿宋_GBK" w:cs="方正仿宋_GBK"/>
          <w:sz w:val="28"/>
          <w:szCs w:val="28"/>
          <w:lang w:val="en-US" w:eastAsia="zh-CN"/>
        </w:rPr>
        <w:t>24</w:t>
      </w:r>
      <w:r>
        <w:rPr>
          <w:rFonts w:ascii="方正仿宋_GBK" w:hAnsi="方正仿宋_GBK" w:eastAsia="方正仿宋_GBK" w:cs="方正仿宋_GBK"/>
          <w:sz w:val="28"/>
          <w:szCs w:val="28"/>
        </w:rPr>
        <w:t>〕</w:t>
      </w:r>
      <w:r>
        <w:rPr>
          <w:rFonts w:hint="default" w:ascii="方正仿宋_GBK" w:hAnsi="方正仿宋_GBK" w:eastAsia="方正仿宋_GBK" w:cs="方正仿宋_GBK"/>
          <w:sz w:val="28"/>
          <w:szCs w:val="28"/>
          <w:lang w:val="en-US" w:eastAsia="zh-CN"/>
        </w:rPr>
        <w:t>11</w:t>
      </w:r>
      <w:r>
        <w:rPr>
          <w:rFonts w:hint="default" w:ascii="方正仿宋_GBK" w:hAnsi="方正仿宋_GBK" w:eastAsia="方正仿宋_GBK" w:cs="方正仿宋_GBK"/>
          <w:sz w:val="28"/>
          <w:szCs w:val="28"/>
          <w:lang w:eastAsia="zh-CN"/>
        </w:rPr>
        <w:t>号）</w:t>
      </w:r>
      <w:r>
        <w:rPr>
          <w:rFonts w:hint="eastAsia" w:ascii="方正仿宋_GBK" w:hAnsi="方正仿宋_GBK" w:eastAsia="方正仿宋_GBK" w:cs="方正仿宋_GBK"/>
          <w:sz w:val="28"/>
          <w:szCs w:val="28"/>
        </w:rPr>
        <w:t>四、优化B、C 类企业贸易外汇业务管理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B、C 类企业办理90天以上（不含）的延期收款或延期付款业务时，若在分类监管有效期内，此前导致列入B、C类企业的情况已改善或纠正，且未出现新的列入B、C类企业情形，自列入B、C类企业之日起6个月后，可在所在地外汇局办理登记，银行凭《贸易外汇业务登记表》为企业办理该业务。</w:t>
      </w:r>
    </w:p>
    <w:p>
      <w:pPr>
        <w:spacing w:line="600" w:lineRule="exact"/>
        <w:ind w:firstLine="560" w:firstLineChars="200"/>
        <w:rPr>
          <w:rFonts w:ascii="方正仿宋_GBK" w:hAnsi="方正仿宋_GBK" w:eastAsia="方正仿宋_GBK" w:cs="方正仿宋_GBK"/>
          <w:sz w:val="28"/>
          <w:szCs w:val="28"/>
        </w:rPr>
      </w:pPr>
      <w:r>
        <w:rPr>
          <w:rFonts w:hint="default" w:ascii="方正仿宋_GBK" w:hAnsi="方正仿宋_GBK" w:eastAsia="方正仿宋_GBK" w:cs="方正仿宋_GBK"/>
          <w:sz w:val="28"/>
          <w:szCs w:val="28"/>
          <w:lang w:eastAsia="zh-CN"/>
        </w:rPr>
        <w:t>之前规定与本通知内容不一致的，以本通知为准。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《国家外汇管理局关于印发</w:t>
      </w:r>
      <w:r>
        <w:rPr>
          <w:rFonts w:hint="eastAsia" w:ascii="微软雅黑" w:hAnsi="微软雅黑" w:eastAsia="微软雅黑" w:cs="微软雅黑"/>
          <w:sz w:val="28"/>
          <w:szCs w:val="28"/>
          <w:lang w:eastAsia="zh-CN"/>
        </w:rPr>
        <w:t>〈</w:t>
      </w:r>
      <w:r>
        <w:rPr>
          <w:rFonts w:hint="eastAsia" w:ascii="方正仿宋_GBK" w:hAnsi="方正仿宋_GBK" w:eastAsia="方正仿宋_GBK" w:cs="方正仿宋_GBK"/>
          <w:sz w:val="28"/>
          <w:szCs w:val="28"/>
        </w:rPr>
        <w:t>经常项目外汇业务指引（2020年版）</w:t>
      </w:r>
      <w:r>
        <w:rPr>
          <w:rFonts w:hint="eastAsia" w:ascii="微软雅黑" w:hAnsi="微软雅黑" w:eastAsia="微软雅黑" w:cs="微软雅黑"/>
          <w:sz w:val="28"/>
          <w:szCs w:val="28"/>
          <w:lang w:eastAsia="zh-CN"/>
        </w:rPr>
        <w:t>〉</w:t>
      </w:r>
      <w:r>
        <w:rPr>
          <w:rFonts w:hint="eastAsia" w:ascii="方正仿宋_GBK" w:hAnsi="方正仿宋_GBK" w:eastAsia="方正仿宋_GBK" w:cs="方正仿宋_GBK"/>
          <w:sz w:val="28"/>
          <w:szCs w:val="28"/>
        </w:rPr>
        <w:t>的通知》</w:t>
      </w:r>
      <w:r>
        <w:rPr>
          <w:rFonts w:ascii="方正仿宋_GBK" w:hAnsi="方正仿宋_GBK" w:eastAsia="方正仿宋_GBK" w:cs="方正仿宋_GBK"/>
          <w:sz w:val="28"/>
          <w:szCs w:val="28"/>
        </w:rPr>
        <w:t>（汇发〔2020〕14号）</w:t>
      </w:r>
      <w:r>
        <w:rPr>
          <w:rFonts w:hint="eastAsia" w:ascii="方正仿宋_GBK" w:hAnsi="方正仿宋_GBK" w:eastAsia="方正仿宋_GBK" w:cs="方正仿宋_GBK"/>
          <w:sz w:val="28"/>
          <w:szCs w:val="28"/>
          <w:lang w:eastAsia="zh-CN"/>
        </w:rPr>
        <w:t>附件</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第三十五条C类企业在分类监管有效期内的货物贸易外汇收支业务应按照下列规定办理：……</w:t>
      </w:r>
    </w:p>
    <w:p>
      <w:pPr>
        <w:spacing w:line="60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（一）企业需事前逐笔到所在地外汇局办理登记手续，银行凭《登记表》办理。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（三）企业原则上不得办理90天以上（不含）的远期信用证（含展期）、海外代付等进口贸易融资业务；不得办理90天以上（不含）的延期付款、托收业务；不得签订包含90天以上（不含）收汇条款的出口合同；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（四）企业不得办理离岸转手买卖外汇收支业务。</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 xml:space="preserve">6.具体改革举措: </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加盖公章的书面申请原件1份。</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rPr>
        <w:t>合同原件</w:t>
      </w:r>
      <w:r>
        <w:rPr>
          <w:rFonts w:hint="eastAsia" w:ascii="方正仿宋_GBK" w:hAnsi="方正仿宋_GBK" w:eastAsia="方正仿宋_GBK" w:cs="方正仿宋_GBK"/>
          <w:sz w:val="28"/>
          <w:szCs w:val="28"/>
          <w:highlight w:val="none"/>
        </w:rPr>
        <w:t>或加盖公章的复印件1份。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t>发票原件或加盖公章的复印件</w:t>
      </w:r>
      <w:r>
        <w:rPr>
          <w:rFonts w:hint="eastAsia" w:ascii="方正仿宋_GBK" w:hAnsi="方正仿宋_GBK" w:eastAsia="方正仿宋_GBK" w:cs="方正仿宋_GBK"/>
          <w:sz w:val="28"/>
          <w:szCs w:val="28"/>
        </w:rPr>
        <w:t>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加盖公章的报关单复印件1份</w:t>
      </w:r>
      <w:r>
        <w:rPr>
          <w:rFonts w:hint="eastAsia" w:ascii="方正仿宋_GBK" w:hAnsi="方正仿宋_GBK" w:eastAsia="方正仿宋_GBK" w:cs="方正仿宋_GBK"/>
          <w:sz w:val="28"/>
          <w:szCs w:val="28"/>
          <w:lang w:eastAsia="zh-CN"/>
        </w:rPr>
        <w:t>（货物不报关的，可提供运输单据等其他材料）</w:t>
      </w:r>
      <w:r>
        <w:rPr>
          <w:rFonts w:hint="eastAsia" w:ascii="方正仿宋_GBK" w:hAnsi="方正仿宋_GBK" w:eastAsia="方正仿宋_GBK" w:cs="方正仿宋_GBK"/>
          <w:sz w:val="28"/>
          <w:szCs w:val="28"/>
        </w:rPr>
        <w:t>。</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捐赠协议、相关部门出具的分立、合并证明文件或其他相关材料</w:t>
      </w:r>
    </w:p>
    <w:p>
      <w:pPr>
        <w:spacing w:line="600" w:lineRule="exact"/>
        <w:ind w:left="0" w:leftChars="0" w:firstLine="0" w:firstLine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原件或加盖公章的复印件</w:t>
      </w:r>
      <w:r>
        <w:rPr>
          <w:rFonts w:hint="eastAsia" w:ascii="方正仿宋_GBK" w:hAnsi="方正仿宋_GBK" w:eastAsia="方正仿宋_GBK" w:cs="方正仿宋_GBK"/>
          <w:sz w:val="28"/>
          <w:szCs w:val="28"/>
          <w:lang w:val="en-US" w:eastAsia="zh-CN"/>
        </w:rPr>
        <w:t>1份</w:t>
      </w:r>
      <w:r>
        <w:rPr>
          <w:rFonts w:hint="eastAsia" w:ascii="方正仿宋_GBK" w:hAnsi="方正仿宋_GBK" w:eastAsia="方正仿宋_GBK" w:cs="方正仿宋_GBK"/>
          <w:sz w:val="28"/>
          <w:szCs w:val="28"/>
        </w:rPr>
        <w:t>。</w:t>
      </w:r>
    </w:p>
    <w:p>
      <w:pPr>
        <w:spacing w:line="60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与金融机构签订的融资协议原件</w:t>
      </w:r>
      <w:r>
        <w:rPr>
          <w:rFonts w:hint="eastAsia" w:ascii="方正仿宋_GBK" w:hAnsi="方正仿宋_GBK" w:eastAsia="方正仿宋_GBK" w:cs="方正仿宋_GBK"/>
          <w:sz w:val="28"/>
          <w:szCs w:val="28"/>
          <w:highlight w:val="none"/>
        </w:rPr>
        <w:t>或加盖公章的复印件</w:t>
      </w:r>
      <w:r>
        <w:rPr>
          <w:rFonts w:hint="eastAsia" w:ascii="方正仿宋_GBK" w:hAnsi="方正仿宋_GBK" w:eastAsia="方正仿宋_GBK" w:cs="方正仿宋_GBK"/>
          <w:sz w:val="28"/>
          <w:szCs w:val="28"/>
        </w:rPr>
        <w:t>1份。</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经海关签章的</w:t>
      </w:r>
      <w:r>
        <w:rPr>
          <w:rFonts w:hint="eastAsia" w:ascii="方正仿宋_GBK" w:hAnsi="方正仿宋_GBK" w:eastAsia="方正仿宋_GBK" w:cs="方正仿宋_GBK"/>
          <w:sz w:val="28"/>
          <w:szCs w:val="28"/>
        </w:rPr>
        <w:t>《中华人民共和国海关进境旅客行李物品申报单》</w:t>
      </w:r>
      <w:r>
        <w:rPr>
          <w:rFonts w:hint="eastAsia" w:ascii="方正仿宋_GBK" w:hAnsi="方正仿宋_GBK" w:eastAsia="方正仿宋_GBK" w:cs="方正仿宋_GBK"/>
          <w:sz w:val="28"/>
          <w:szCs w:val="28"/>
          <w:lang w:eastAsia="zh-CN"/>
        </w:rPr>
        <w:t>原件或加盖公章的复印件</w:t>
      </w:r>
      <w:r>
        <w:rPr>
          <w:rFonts w:hint="eastAsia" w:ascii="方正仿宋_GBK" w:hAnsi="方正仿宋_GBK" w:eastAsia="方正仿宋_GBK" w:cs="方正仿宋_GBK"/>
          <w:sz w:val="28"/>
          <w:szCs w:val="28"/>
          <w:lang w:val="en-US" w:eastAsia="zh-CN"/>
        </w:rPr>
        <w:t>1份</w:t>
      </w:r>
      <w:r>
        <w:rPr>
          <w:rFonts w:hint="eastAsia" w:ascii="方正仿宋_GBK" w:hAnsi="方正仿宋_GBK" w:eastAsia="方正仿宋_GBK" w:cs="方正仿宋_GBK"/>
          <w:sz w:val="28"/>
          <w:szCs w:val="28"/>
        </w:rPr>
        <w:t>。</w:t>
      </w:r>
    </w:p>
    <w:p>
      <w:pPr>
        <w:spacing w:line="60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需90天以上延期收款、付款的证明材料原件或加盖公章的复印件1份。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国家外汇管理局关于进一步优化贸易外汇业务管理的通知</w:t>
      </w:r>
      <w:r>
        <w:rPr>
          <w:rFonts w:hint="eastAsia" w:ascii="方正仿宋_GBK" w:hAnsi="方正仿宋_GBK" w:eastAsia="方正仿宋_GBK" w:cs="方正仿宋_GBK"/>
          <w:sz w:val="28"/>
          <w:szCs w:val="28"/>
          <w:lang w:eastAsia="zh-CN"/>
        </w:rPr>
        <w:t>》（汇发</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lang w:val="en-US" w:eastAsia="zh-CN"/>
        </w:rPr>
        <w:t>24</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sz w:val="28"/>
          <w:szCs w:val="28"/>
          <w:lang w:eastAsia="zh-CN"/>
        </w:rPr>
        <w:t>号）附件</w:t>
      </w:r>
      <w:r>
        <w:rPr>
          <w:rFonts w:hint="eastAsia" w:ascii="方正仿宋_GBK" w:hAnsi="方正仿宋_GBK" w:eastAsia="方正仿宋_GBK" w:cs="方正仿宋_GBK"/>
          <w:sz w:val="28"/>
          <w:szCs w:val="28"/>
          <w:lang w:val="en-US" w:eastAsia="zh-CN"/>
        </w:rPr>
        <w:t>3：货物贸易外汇登记有关业务办理材料</w:t>
      </w:r>
    </w:p>
    <w:p>
      <w:pPr>
        <w:spacing w:beforeLines="0" w:afterLines="0" w:line="600" w:lineRule="exact"/>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企业到所在地外汇局办理B类企业超可收/付汇额度或90天以上（不含）延期收/付款的贸易外汇收支登记，以及C类企业贸易外汇收支登记时，需提交以下材料：</w:t>
      </w:r>
    </w:p>
    <w:p>
      <w:pPr>
        <w:numPr>
          <w:ilvl w:val="0"/>
          <w:numId w:val="1"/>
        </w:num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加盖公章的书面申请（内容包括但不限于说明需登记的事项、具体内容和原因）；</w:t>
      </w:r>
    </w:p>
    <w:p>
      <w:pPr>
        <w:numPr>
          <w:ilvl w:val="0"/>
          <w:numId w:val="0"/>
        </w:num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2.以信用证、托收方式结算的，提交合同；</w:t>
      </w:r>
    </w:p>
    <w:p>
      <w:pPr>
        <w:numPr>
          <w:ilvl w:val="0"/>
          <w:numId w:val="0"/>
        </w:num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3.以预付、预收货款方式结算的，提交合同和发票；</w:t>
      </w:r>
    </w:p>
    <w:p>
      <w:pPr>
        <w:numPr>
          <w:ilvl w:val="0"/>
          <w:numId w:val="0"/>
        </w:num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4.以其他方式结算的，提交报关单和合同，货物不报关的，可提供运输单据等其他证明材料代替报关单；</w:t>
      </w:r>
    </w:p>
    <w:p>
      <w:pPr>
        <w:numPr>
          <w:ilvl w:val="0"/>
          <w:numId w:val="0"/>
        </w:num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5.收付汇与进出口主体不一致业务，还应区分情况提交捐赠协议、相关部门出具的分立、合并证明文件或其他相关材料；</w:t>
      </w:r>
    </w:p>
    <w:p>
      <w:pPr>
        <w:numPr>
          <w:ilvl w:val="0"/>
          <w:numId w:val="0"/>
        </w:num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6.发生90天以上延期收款、付款的，还应提交需延期的证明材料；</w:t>
      </w:r>
    </w:p>
    <w:p>
      <w:pPr>
        <w:numPr>
          <w:ilvl w:val="0"/>
          <w:numId w:val="0"/>
        </w:num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7.出口贸易融资放款还应提交与金融机构签订的协议和发票；</w:t>
      </w:r>
    </w:p>
    <w:p>
      <w:pPr>
        <w:numPr>
          <w:ilvl w:val="0"/>
          <w:numId w:val="0"/>
        </w:num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8.外币现钞结汇金额达到规定入境申报金额的，还应提交经海关签章的《中华人民共和国海关进境旅客行李物品申报单》。</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《国家外汇管理局关于印发</w:t>
      </w:r>
      <w:r>
        <w:rPr>
          <w:rFonts w:hint="eastAsia" w:ascii="微软雅黑" w:hAnsi="微软雅黑" w:eastAsia="微软雅黑" w:cs="微软雅黑"/>
          <w:sz w:val="28"/>
          <w:szCs w:val="28"/>
          <w:lang w:eastAsia="zh-CN"/>
        </w:rPr>
        <w:t>〈</w:t>
      </w:r>
      <w:r>
        <w:rPr>
          <w:rFonts w:hint="eastAsia" w:ascii="方正仿宋_GBK" w:hAnsi="方正仿宋_GBK" w:eastAsia="方正仿宋_GBK" w:cs="方正仿宋_GBK"/>
          <w:sz w:val="28"/>
          <w:szCs w:val="28"/>
        </w:rPr>
        <w:t>经常项目外汇业务指引（2020年版）</w:t>
      </w:r>
      <w:r>
        <w:rPr>
          <w:rFonts w:hint="eastAsia" w:ascii="微软雅黑" w:hAnsi="微软雅黑" w:eastAsia="微软雅黑" w:cs="微软雅黑"/>
          <w:sz w:val="28"/>
          <w:szCs w:val="28"/>
          <w:lang w:eastAsia="zh-CN"/>
        </w:rPr>
        <w:t>〉</w:t>
      </w:r>
      <w:r>
        <w:rPr>
          <w:rFonts w:hint="eastAsia" w:ascii="方正仿宋_GBK" w:hAnsi="方正仿宋_GBK" w:eastAsia="方正仿宋_GBK" w:cs="方正仿宋_GBK"/>
          <w:sz w:val="28"/>
          <w:szCs w:val="28"/>
        </w:rPr>
        <w:t>的通知》</w:t>
      </w:r>
      <w:r>
        <w:rPr>
          <w:rFonts w:ascii="方正仿宋_GBK" w:hAnsi="方正仿宋_GBK" w:eastAsia="方正仿宋_GBK" w:cs="方正仿宋_GBK"/>
          <w:sz w:val="28"/>
          <w:szCs w:val="28"/>
        </w:rPr>
        <w:t>（汇发〔2020〕14号）</w:t>
      </w:r>
      <w:r>
        <w:rPr>
          <w:rFonts w:hint="eastAsia" w:ascii="方正仿宋_GBK" w:hAnsi="方正仿宋_GBK" w:eastAsia="方正仿宋_GBK" w:cs="方正仿宋_GBK"/>
          <w:sz w:val="28"/>
          <w:szCs w:val="28"/>
          <w:lang w:eastAsia="zh-CN"/>
        </w:rPr>
        <w:t>附件</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第三十五条C类企业在分类监管有效期内的货物贸易外汇收支业务应按照下列规定办理：企业需事前逐笔到所在地外汇局办理登记手续，银行凭《登记表》办理。外汇局办理登记手续时，对于以信用证、托收等方式结算的，审核合同；对于以预付、预收货款方式结算的，审核合同和发票；对于以其他方式结算的，审核报关单和合同，货物不报关的，可提供运输单据等其他证明材料代替报关单。</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 xml:space="preserve">: </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决定作出许可决定书/不予许可决定书。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（1）《国家外汇管理局行政许可实施办法》（国家外汇管理局公告2021年第1号）第十条外汇局收到行政许可申请后，应区分下列情况分别作出处理：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（1）《国家外汇管理局行政许可实施办法》（国家外汇管理局公告2021年第1号）第十五条外汇局应根据以下要求确保行政许可依法按时完成：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外汇局对行政许可办理时限具有对外承诺的，应按照其承诺的时限完成；对外承诺的时限</w:t>
      </w:r>
      <w:r>
        <w:rPr>
          <w:rFonts w:hint="eastAsia" w:ascii="方正仿宋_GBK" w:hAnsi="方正仿宋_GBK" w:eastAsia="方正仿宋_GBK" w:cs="方正仿宋_GBK"/>
          <w:sz w:val="28"/>
          <w:szCs w:val="28"/>
          <w:lang w:eastAsia="zh-CN"/>
        </w:rPr>
        <w:t>不得多于</w:t>
      </w:r>
      <w:r>
        <w:rPr>
          <w:rFonts w:ascii="方正仿宋_GBK" w:hAnsi="方正仿宋_GBK" w:eastAsia="方正仿宋_GBK" w:cs="方正仿宋_GBK"/>
          <w:sz w:val="28"/>
          <w:szCs w:val="28"/>
        </w:rPr>
        <w:t>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 xml:space="preserve">2.收费项目的名称、收费项目的标准、设定收费项目的依据、规定收费标准的依据: </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《贸易外汇业务登记表》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原则上不超过1个月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国家外汇管理局关于进一步优化贸易外汇业务管理的通知</w:t>
      </w:r>
      <w:r>
        <w:rPr>
          <w:rFonts w:hint="eastAsia" w:ascii="方正仿宋_GBK" w:hAnsi="方正仿宋_GBK" w:eastAsia="方正仿宋_GBK" w:cs="方正仿宋_GBK"/>
          <w:sz w:val="28"/>
          <w:szCs w:val="28"/>
          <w:lang w:eastAsia="zh-CN"/>
        </w:rPr>
        <w:t>》（汇发</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lang w:val="en-US" w:eastAsia="zh-CN"/>
        </w:rPr>
        <w:t>24</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sz w:val="28"/>
          <w:szCs w:val="28"/>
          <w:lang w:eastAsia="zh-CN"/>
        </w:rPr>
        <w:t>号）附件</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贸易外汇业务登记表</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备注</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登记表有效期原则上不超过1个月。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 xml:space="preserve">6.办理审批结果变更手续的要求: </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 xml:space="preserve">8.办理审批结果延续手续的要求: </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 xml:space="preserve">9.审批结果的有效地域范围: </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 xml:space="preserve">10.规定审批结果有效地域范围的依据: </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 xml:space="preserve">5.规定在数量限制条件下实施行政许可方式的依据: </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 xml:space="preserve">2.设定年检要求的依据: </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 xml:space="preserve">7.年检收费项目的名称、年检收费项目的标准、设定年检收费项目的依据、规定年检项目收费标准的依据: </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 xml:space="preserve">: </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spacing w:line="540" w:lineRule="exact"/>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十五、</w:t>
      </w:r>
      <w:bookmarkStart w:id="0" w:name="_Toc1293375433_WPSOffice_Level1"/>
      <w:r>
        <w:rPr>
          <w:rFonts w:hint="eastAsia" w:ascii="Times New Roman" w:hAnsi="Times New Roman" w:eastAsia="黑体" w:cs="Times New Roman"/>
          <w:color w:val="auto"/>
          <w:sz w:val="28"/>
          <w:szCs w:val="28"/>
        </w:rPr>
        <w:t>业务办理信息</w:t>
      </w:r>
      <w:bookmarkEnd w:id="0"/>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cs="Times New Roman"/>
          <w:b/>
          <w:bCs/>
          <w:color w:val="auto"/>
          <w:sz w:val="28"/>
          <w:szCs w:val="28"/>
        </w:rPr>
        <w:t>1.是否通办：</w:t>
      </w:r>
      <w:r>
        <w:rPr>
          <w:rFonts w:hint="eastAsia" w:ascii="方正仿宋_GBK" w:hAnsi="方正仿宋_GBK" w:eastAsia="方正仿宋_GBK" w:cs="方正仿宋_GBK"/>
          <w:color w:val="auto"/>
          <w:sz w:val="28"/>
          <w:szCs w:val="28"/>
        </w:rPr>
        <w:t>否</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cs="Times New Roman"/>
          <w:b/>
          <w:bCs/>
          <w:color w:val="auto"/>
          <w:sz w:val="28"/>
          <w:szCs w:val="28"/>
        </w:rPr>
        <w:t>2.通办业务模式：</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cs="Times New Roman"/>
          <w:b/>
          <w:bCs/>
          <w:color w:val="auto"/>
          <w:sz w:val="28"/>
          <w:szCs w:val="28"/>
        </w:rPr>
        <w:t>3.跨省通办事项名称：</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ascii="方正仿宋_GBK" w:hAnsi="方正仿宋_GBK" w:eastAsia="仿宋GB2312" w:cs="方正仿宋_GBK"/>
          <w:color w:val="auto"/>
          <w:sz w:val="28"/>
          <w:szCs w:val="28"/>
        </w:rPr>
      </w:pPr>
      <w:r>
        <w:rPr>
          <w:rFonts w:hint="eastAsia" w:ascii="Times New Roman" w:hAnsi="Times New Roman" w:eastAsia="仿宋GB2312" w:cs="Times New Roman"/>
          <w:b/>
          <w:bCs/>
          <w:color w:val="auto"/>
          <w:sz w:val="28"/>
          <w:szCs w:val="28"/>
        </w:rPr>
        <w:t>4.是否是35号文中的跨省通办事项：</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hint="eastAsia" w:ascii="方正仿宋_GBK" w:hAnsi="方正仿宋_GBK" w:eastAsia="仿宋GB2312" w:cs="方正仿宋_GBK"/>
          <w:color w:val="auto"/>
          <w:sz w:val="28"/>
          <w:szCs w:val="28"/>
          <w:lang w:val="en-US" w:eastAsia="zh-CN"/>
        </w:rPr>
      </w:pPr>
      <w:r>
        <w:rPr>
          <w:rFonts w:hint="eastAsia" w:ascii="Times New Roman" w:hAnsi="Times New Roman" w:eastAsia="仿宋GB2312" w:cs="Times New Roman"/>
          <w:b/>
          <w:bCs/>
          <w:color w:val="auto"/>
          <w:sz w:val="28"/>
          <w:szCs w:val="28"/>
        </w:rPr>
        <w:t>5.是否网办：</w:t>
      </w:r>
      <w:r>
        <w:rPr>
          <w:rFonts w:hint="eastAsia" w:ascii="Times New Roman" w:hAnsi="Times New Roman" w:eastAsia="仿宋GB2312" w:cs="Times New Roman"/>
          <w:b/>
          <w:bCs/>
          <w:color w:val="auto"/>
          <w:sz w:val="28"/>
          <w:szCs w:val="28"/>
          <w:lang w:eastAsia="zh-CN"/>
        </w:rPr>
        <w:t>否</w:t>
      </w:r>
    </w:p>
    <w:p>
      <w:pPr>
        <w:spacing w:line="600" w:lineRule="exact"/>
        <w:ind w:firstLine="562" w:firstLineChars="200"/>
        <w:rPr>
          <w:rFonts w:hint="eastAsia" w:ascii="方正仿宋_GBK" w:hAnsi="方正仿宋_GBK" w:eastAsia="仿宋GB2312" w:cs="方正仿宋_GBK"/>
          <w:color w:val="auto"/>
          <w:sz w:val="28"/>
          <w:szCs w:val="28"/>
          <w:lang w:eastAsia="zh-CN"/>
        </w:rPr>
      </w:pPr>
      <w:r>
        <w:rPr>
          <w:rFonts w:hint="eastAsia" w:ascii="Times New Roman" w:hAnsi="Times New Roman" w:eastAsia="仿宋GB2312" w:cs="Times New Roman"/>
          <w:b/>
          <w:bCs/>
          <w:color w:val="auto"/>
          <w:sz w:val="28"/>
          <w:szCs w:val="28"/>
        </w:rPr>
        <w:t>6.网上办理深度：</w:t>
      </w:r>
      <w:r>
        <w:rPr>
          <w:rFonts w:hint="eastAsia" w:ascii="方正仿宋_GBK" w:hAnsi="方正仿宋_GBK" w:eastAsia="方正仿宋_GBK" w:cs="方正仿宋_GBK"/>
          <w:color w:val="auto"/>
          <w:sz w:val="28"/>
          <w:szCs w:val="28"/>
          <w:lang w:eastAsia="zh-CN"/>
        </w:rPr>
        <w:t>互联网预审</w:t>
      </w:r>
    </w:p>
    <w:p>
      <w:pPr>
        <w:spacing w:line="600" w:lineRule="exact"/>
        <w:ind w:firstLine="562" w:firstLineChars="200"/>
        <w:rPr>
          <w:rFonts w:hint="eastAsia" w:ascii="方正仿宋_GBK" w:hAnsi="方正仿宋_GBK" w:eastAsia="仿宋GB2312" w:cs="方正仿宋_GBK"/>
          <w:color w:val="auto"/>
          <w:sz w:val="28"/>
          <w:szCs w:val="28"/>
          <w:lang w:val="en-US" w:eastAsia="zh-CN"/>
        </w:rPr>
      </w:pPr>
      <w:r>
        <w:rPr>
          <w:rFonts w:hint="eastAsia" w:ascii="Times New Roman" w:hAnsi="Times New Roman" w:eastAsia="仿宋GB2312" w:cs="Times New Roman"/>
          <w:b/>
          <w:bCs/>
          <w:color w:val="auto"/>
          <w:sz w:val="28"/>
          <w:szCs w:val="28"/>
        </w:rPr>
        <w:t>7.到办事现场次数：</w:t>
      </w:r>
      <w:r>
        <w:rPr>
          <w:rFonts w:hint="eastAsia" w:ascii="Times New Roman" w:hAnsi="Times New Roman" w:eastAsia="仿宋GB2312" w:cs="Times New Roman"/>
          <w:b/>
          <w:bCs/>
          <w:color w:val="auto"/>
          <w:sz w:val="28"/>
          <w:szCs w:val="28"/>
          <w:lang w:val="en-US" w:eastAsia="zh-CN"/>
        </w:rPr>
        <w:t>1</w:t>
      </w:r>
    </w:p>
    <w:p>
      <w:pPr>
        <w:spacing w:line="600" w:lineRule="exact"/>
        <w:ind w:firstLine="562" w:firstLineChars="200"/>
        <w:rPr>
          <w:rFonts w:hint="eastAsia" w:ascii="方正仿宋_GBK" w:hAnsi="方正仿宋_GBK" w:eastAsia="仿宋GB2312" w:cs="方正仿宋_GBK"/>
          <w:color w:val="auto"/>
          <w:sz w:val="28"/>
          <w:szCs w:val="28"/>
          <w:lang w:eastAsia="zh-CN"/>
        </w:rPr>
      </w:pPr>
      <w:r>
        <w:rPr>
          <w:rFonts w:hint="eastAsia" w:ascii="Times New Roman" w:hAnsi="Times New Roman" w:eastAsia="仿宋GB2312" w:cs="Times New Roman"/>
          <w:b/>
          <w:bCs/>
          <w:color w:val="auto"/>
          <w:sz w:val="28"/>
          <w:szCs w:val="28"/>
        </w:rPr>
        <w:t>8.必须现场办理原因说明：</w:t>
      </w:r>
      <w:r>
        <w:rPr>
          <w:rFonts w:hint="eastAsia" w:ascii="方正仿宋_GBK" w:hAnsi="方正仿宋_GBK" w:eastAsia="方正仿宋_GBK" w:cs="方正仿宋_GBK"/>
          <w:color w:val="auto"/>
          <w:sz w:val="28"/>
          <w:szCs w:val="28"/>
          <w:lang w:eastAsia="zh-CN"/>
        </w:rPr>
        <w:t>需现场核验材料</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cs="Times New Roman"/>
          <w:b/>
          <w:bCs/>
          <w:color w:val="auto"/>
          <w:sz w:val="28"/>
          <w:szCs w:val="28"/>
        </w:rPr>
        <w:t>9.是否进驻政务大厅：</w:t>
      </w:r>
      <w:r>
        <w:rPr>
          <w:rFonts w:ascii="方正仿宋_GBK" w:hAnsi="方正仿宋_GBK" w:eastAsia="方正仿宋_GBK" w:cs="方正仿宋_GBK"/>
          <w:color w:val="auto"/>
          <w:sz w:val="28"/>
          <w:szCs w:val="28"/>
        </w:rPr>
        <w:t>否</w:t>
      </w:r>
    </w:p>
    <w:p>
      <w:pPr>
        <w:spacing w:line="600" w:lineRule="exact"/>
        <w:ind w:firstLine="562" w:firstLineChars="200"/>
        <w:rPr>
          <w:rFonts w:hint="eastAsia" w:ascii="Times New Roman" w:hAnsi="Times New Roman" w:eastAsia="仿宋GB2312"/>
          <w:b/>
          <w:bCs/>
          <w:color w:val="auto"/>
          <w:sz w:val="28"/>
          <w:szCs w:val="28"/>
        </w:rPr>
      </w:pPr>
      <w:r>
        <w:rPr>
          <w:rFonts w:hint="eastAsia" w:ascii="Times New Roman" w:hAnsi="Times New Roman" w:eastAsia="仿宋GB2312"/>
          <w:b/>
          <w:bCs/>
          <w:color w:val="auto"/>
          <w:sz w:val="28"/>
          <w:szCs w:val="28"/>
        </w:rPr>
        <w:t>10.办理地点：</w:t>
      </w:r>
    </w:p>
    <w:p>
      <w:pPr>
        <w:spacing w:line="600" w:lineRule="exact"/>
        <w:ind w:firstLine="560" w:firstLineChars="2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1）国家外汇管理局宁夏回族自治区分局：</w:t>
      </w:r>
      <w:r>
        <w:rPr>
          <w:rFonts w:hint="eastAsia" w:ascii="方正仿宋_GBK" w:hAnsi="方正仿宋_GBK" w:eastAsia="方正仿宋_GBK" w:cs="方正仿宋_GBK"/>
          <w:color w:val="auto"/>
          <w:sz w:val="28"/>
          <w:szCs w:val="28"/>
        </w:rPr>
        <w:t>宁夏回族自治区银川市兴庆区北京东路215号外汇管理处</w:t>
      </w:r>
      <w:r>
        <w:rPr>
          <w:rFonts w:hint="eastAsia" w:ascii="方正仿宋_GBK" w:hAnsi="方正仿宋_GBK" w:eastAsia="方正仿宋_GBK" w:cs="方正仿宋_GBK"/>
          <w:color w:val="auto"/>
          <w:sz w:val="28"/>
          <w:szCs w:val="28"/>
          <w:lang w:eastAsia="zh-CN"/>
        </w:rPr>
        <w:t>；</w:t>
      </w:r>
    </w:p>
    <w:p>
      <w:pPr>
        <w:pStyle w:val="2"/>
        <w:ind w:left="0" w:leftChars="0" w:firstLine="560" w:firstLineChars="200"/>
        <w:rPr>
          <w:rFonts w:hint="default"/>
          <w:lang w:val="en-US"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2）国家外汇管理局宁夏回族自治区分局灵武营业管理部：宁夏灵武市西平路102号</w:t>
      </w:r>
      <w:bookmarkStart w:id="1" w:name="_GoBack"/>
      <w:bookmarkEnd w:id="1"/>
      <w:r>
        <w:rPr>
          <w:rFonts w:hint="eastAsia" w:ascii="方正仿宋_GBK" w:hAnsi="方正仿宋_GBK" w:eastAsia="方正仿宋_GBK" w:cs="方正仿宋_GBK"/>
          <w:color w:val="auto"/>
          <w:sz w:val="28"/>
          <w:szCs w:val="28"/>
          <w:lang w:val="en-US" w:eastAsia="zh-CN"/>
        </w:rPr>
        <w:t>。</w:t>
      </w:r>
    </w:p>
    <w:p>
      <w:pPr>
        <w:spacing w:line="600" w:lineRule="exact"/>
        <w:ind w:firstLine="562" w:firstLineChars="200"/>
        <w:rPr>
          <w:rFonts w:hint="eastAsia" w:ascii="方正仿宋_GBK" w:hAnsi="方正仿宋_GBK" w:eastAsia="方正仿宋_GBK" w:cs="方正仿宋_GBK"/>
          <w:color w:val="auto"/>
          <w:sz w:val="28"/>
          <w:szCs w:val="28"/>
          <w:lang w:eastAsia="zh-CN"/>
        </w:rPr>
      </w:pPr>
      <w:r>
        <w:rPr>
          <w:rFonts w:hint="eastAsia" w:ascii="Times New Roman" w:hAnsi="Times New Roman" w:eastAsia="仿宋GB2312"/>
          <w:b/>
          <w:bCs/>
          <w:color w:val="auto"/>
          <w:sz w:val="28"/>
          <w:szCs w:val="28"/>
        </w:rPr>
        <w:t>11.办理时间：</w:t>
      </w:r>
      <w:r>
        <w:rPr>
          <w:rFonts w:hint="eastAsia" w:ascii="方正仿宋_GBK" w:hAnsi="方正仿宋_GBK" w:eastAsia="方正仿宋_GBK" w:cs="方正仿宋_GBK"/>
          <w:color w:val="auto"/>
          <w:sz w:val="28"/>
          <w:szCs w:val="28"/>
        </w:rPr>
        <w:t>周一至周五，上午0</w:t>
      </w:r>
      <w:r>
        <w:rPr>
          <w:rFonts w:hint="eastAsia" w:ascii="方正仿宋_GBK" w:hAnsi="方正仿宋_GBK" w:eastAsia="方正仿宋_GBK" w:cs="方正仿宋_GBK"/>
          <w:color w:val="auto"/>
          <w:sz w:val="28"/>
          <w:szCs w:val="28"/>
          <w:lang w:val="en-US" w:eastAsia="zh-CN"/>
        </w:rPr>
        <w:t>9</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0</w:t>
      </w:r>
      <w:r>
        <w:rPr>
          <w:rFonts w:hint="eastAsia" w:ascii="方正仿宋_GBK" w:hAnsi="方正仿宋_GBK" w:eastAsia="方正仿宋_GBK" w:cs="方正仿宋_GBK"/>
          <w:color w:val="auto"/>
          <w:sz w:val="28"/>
          <w:szCs w:val="28"/>
        </w:rPr>
        <w:t>0到12:00,下午1</w:t>
      </w: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:30到1</w:t>
      </w:r>
      <w:r>
        <w:rPr>
          <w:rFonts w:hint="eastAsia" w:ascii="方正仿宋_GBK" w:hAnsi="方正仿宋_GBK" w:eastAsia="方正仿宋_GBK" w:cs="方正仿宋_GBK"/>
          <w:color w:val="auto"/>
          <w:sz w:val="28"/>
          <w:szCs w:val="28"/>
          <w:lang w:val="en-US" w:eastAsia="zh-CN"/>
        </w:rPr>
        <w:t>7</w:t>
      </w:r>
      <w:r>
        <w:rPr>
          <w:rFonts w:hint="eastAsia" w:ascii="方正仿宋_GBK" w:hAnsi="方正仿宋_GBK" w:eastAsia="方正仿宋_GBK" w:cs="方正仿宋_GBK"/>
          <w:color w:val="auto"/>
          <w:sz w:val="28"/>
          <w:szCs w:val="28"/>
        </w:rPr>
        <w:t>:00；周六、周日及法定节假日不对外办理业务</w:t>
      </w:r>
      <w:r>
        <w:rPr>
          <w:rFonts w:hint="eastAsia" w:ascii="方正仿宋_GBK" w:hAnsi="方正仿宋_GBK" w:eastAsia="方正仿宋_GBK" w:cs="方正仿宋_GBK"/>
          <w:color w:val="auto"/>
          <w:sz w:val="28"/>
          <w:szCs w:val="28"/>
          <w:lang w:eastAsia="zh-CN"/>
        </w:rPr>
        <w:t>。</w:t>
      </w:r>
    </w:p>
    <w:p>
      <w:pPr>
        <w:spacing w:line="600" w:lineRule="exact"/>
        <w:ind w:firstLine="562" w:firstLineChars="200"/>
        <w:rPr>
          <w:rFonts w:hint="eastAsia" w:ascii="Times New Roman" w:hAnsi="Times New Roman" w:eastAsia="仿宋GB2312"/>
          <w:b/>
          <w:bCs/>
          <w:color w:val="auto"/>
          <w:sz w:val="28"/>
          <w:szCs w:val="28"/>
        </w:rPr>
      </w:pPr>
      <w:r>
        <w:rPr>
          <w:rFonts w:hint="eastAsia" w:ascii="Times New Roman" w:hAnsi="Times New Roman" w:eastAsia="仿宋GB2312"/>
          <w:b/>
          <w:bCs/>
          <w:color w:val="auto"/>
          <w:sz w:val="28"/>
          <w:szCs w:val="28"/>
        </w:rPr>
        <w:t>12.咨询方式：</w:t>
      </w:r>
    </w:p>
    <w:p>
      <w:pPr>
        <w:spacing w:line="600" w:lineRule="exact"/>
        <w:ind w:firstLine="840" w:firstLineChars="3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kern w:val="2"/>
          <w:sz w:val="28"/>
          <w:szCs w:val="28"/>
          <w:lang w:val="en-US" w:eastAsia="zh-CN" w:bidi="ar-SA"/>
        </w:rPr>
        <w:t>（1）</w:t>
      </w:r>
      <w:r>
        <w:rPr>
          <w:rFonts w:hint="eastAsia" w:ascii="方正仿宋_GBK" w:hAnsi="方正仿宋_GBK" w:eastAsia="方正仿宋_GBK" w:cs="方正仿宋_GBK"/>
          <w:color w:val="auto"/>
          <w:sz w:val="28"/>
          <w:szCs w:val="28"/>
          <w:lang w:val="en-US" w:eastAsia="zh-CN"/>
        </w:rPr>
        <w:t>国家外汇管理局宁夏回族自治区分局：</w:t>
      </w:r>
      <w:r>
        <w:rPr>
          <w:rFonts w:hint="eastAsia" w:ascii="方正仿宋_GBK" w:hAnsi="方正仿宋_GBK" w:eastAsia="方正仿宋_GBK" w:cs="方正仿宋_GBK"/>
          <w:color w:val="auto"/>
          <w:kern w:val="2"/>
          <w:sz w:val="28"/>
          <w:szCs w:val="28"/>
          <w:lang w:val="en-US" w:eastAsia="zh-CN" w:bidi="ar-SA"/>
        </w:rPr>
        <w:t>0951-5189600；0951-5189495；</w:t>
      </w:r>
    </w:p>
    <w:p>
      <w:pPr>
        <w:pStyle w:val="2"/>
        <w:ind w:left="0" w:leftChars="0" w:firstLine="840" w:firstLineChars="300"/>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2）国家外汇管理局宁夏回族自治区分局灵武营业管理部：0951-5189984。</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cs="Times New Roman"/>
          <w:b/>
          <w:bCs/>
          <w:color w:val="auto"/>
          <w:sz w:val="28"/>
          <w:szCs w:val="28"/>
        </w:rPr>
        <w:t>13.监督投诉方式：</w:t>
      </w:r>
      <w:r>
        <w:rPr>
          <w:rFonts w:hint="eastAsia" w:ascii="方正仿宋_GBK" w:hAnsi="方正仿宋_GBK" w:eastAsia="方正仿宋_GBK" w:cs="方正仿宋_GBK"/>
          <w:color w:val="auto"/>
          <w:sz w:val="28"/>
          <w:szCs w:val="28"/>
        </w:rPr>
        <w:t>监督和投诉等可通过国家外汇管理局宁夏回族自治区分局网站www.safe.gov.cn/ningxia/的投诉建议栏目进行,也可通过该网站公布的电话进行。</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cs="Times New Roman"/>
          <w:b/>
          <w:bCs/>
          <w:color w:val="auto"/>
          <w:sz w:val="28"/>
          <w:szCs w:val="28"/>
        </w:rPr>
        <w:t>14.是否支持网上支付：</w:t>
      </w:r>
      <w:r>
        <w:rPr>
          <w:rFonts w:ascii="方正仿宋_GBK" w:hAnsi="方正仿宋_GBK" w:eastAsia="方正仿宋_GBK" w:cs="方正仿宋_GBK"/>
          <w:color w:val="auto"/>
          <w:sz w:val="28"/>
          <w:szCs w:val="28"/>
        </w:rPr>
        <w:t>否</w:t>
      </w:r>
    </w:p>
    <w:p>
      <w:pPr>
        <w:spacing w:line="600" w:lineRule="exact"/>
        <w:ind w:firstLine="562" w:firstLineChars="200"/>
        <w:rPr>
          <w:rFonts w:hint="eastAsia" w:ascii="方正仿宋_GBK" w:hAnsi="方正仿宋_GBK" w:eastAsia="方正仿宋_GBK" w:cs="方正仿宋_GBK"/>
          <w:color w:val="auto"/>
          <w:sz w:val="28"/>
          <w:szCs w:val="28"/>
          <w:lang w:eastAsia="zh-CN"/>
        </w:rPr>
      </w:pPr>
      <w:r>
        <w:rPr>
          <w:rFonts w:hint="eastAsia" w:ascii="Times New Roman" w:hAnsi="Times New Roman" w:eastAsia="仿宋GB2312" w:cs="Times New Roman"/>
          <w:b/>
          <w:bCs/>
          <w:color w:val="auto"/>
          <w:sz w:val="28"/>
          <w:szCs w:val="28"/>
        </w:rPr>
        <w:t>15.是否支持物流快递：</w:t>
      </w:r>
      <w:r>
        <w:rPr>
          <w:rFonts w:hint="eastAsia" w:ascii="方正仿宋_GBK" w:hAnsi="方正仿宋_GBK" w:eastAsia="方正仿宋_GBK" w:cs="方正仿宋_GBK"/>
          <w:color w:val="auto"/>
          <w:sz w:val="28"/>
          <w:szCs w:val="28"/>
          <w:lang w:eastAsia="zh-CN"/>
        </w:rPr>
        <w:t>否</w:t>
      </w:r>
    </w:p>
    <w:p>
      <w:pPr>
        <w:spacing w:line="540" w:lineRule="exact"/>
        <w:outlineLvl w:val="1"/>
        <w:rPr>
          <w:rFonts w:cs="Times New Roman"/>
        </w:rPr>
      </w:pPr>
      <w:r>
        <w:rPr>
          <w:rFonts w:hint="eastAsia" w:ascii="Times New Roman" w:hAnsi="Times New Roman" w:eastAsia="黑体" w:cs="Times New Roman"/>
          <w:sz w:val="28"/>
          <w:szCs w:val="28"/>
          <w:lang w:eastAsia="zh-CN"/>
        </w:rPr>
        <w:t>十六、</w:t>
      </w:r>
      <w:r>
        <w:rPr>
          <w:rFonts w:hint="eastAsia" w:ascii="Times New Roman" w:hAnsi="Times New Roman" w:eastAsia="黑体" w:cs="Times New Roman"/>
          <w:sz w:val="28"/>
          <w:szCs w:val="28"/>
        </w:rPr>
        <w:t>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GB2312">
    <w:altName w:val="仿宋"/>
    <w:panose1 w:val="00000000000000000000"/>
    <w:charset w:val="86"/>
    <w:family w:val="roman"/>
    <w:pitch w:val="default"/>
    <w:sig w:usb0="00000000" w:usb1="00000000"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36E41C"/>
    <w:multiLevelType w:val="singleLevel"/>
    <w:tmpl w:val="4336E41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EB0"/>
    <w:rsid w:val="00034EB0"/>
    <w:rsid w:val="000D05C5"/>
    <w:rsid w:val="00404527"/>
    <w:rsid w:val="00524BC0"/>
    <w:rsid w:val="008745AE"/>
    <w:rsid w:val="008D3C91"/>
    <w:rsid w:val="009B0453"/>
    <w:rsid w:val="009F5AFA"/>
    <w:rsid w:val="00A07AC3"/>
    <w:rsid w:val="00BA787B"/>
    <w:rsid w:val="00C03E81"/>
    <w:rsid w:val="00C145DB"/>
    <w:rsid w:val="00C811EF"/>
    <w:rsid w:val="00DF78A0"/>
    <w:rsid w:val="00E66EB5"/>
    <w:rsid w:val="03343140"/>
    <w:rsid w:val="0385550C"/>
    <w:rsid w:val="07404970"/>
    <w:rsid w:val="081F61AA"/>
    <w:rsid w:val="164D2FF3"/>
    <w:rsid w:val="2FAD5DD7"/>
    <w:rsid w:val="3BCB12A4"/>
    <w:rsid w:val="413D70A0"/>
    <w:rsid w:val="48B9583C"/>
    <w:rsid w:val="731C6FD6"/>
    <w:rsid w:val="7B925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next w:val="1"/>
    <w:unhideWhenUsed/>
    <w:qFormat/>
    <w:uiPriority w:val="39"/>
    <w:pPr>
      <w:widowControl w:val="0"/>
      <w:ind w:left="840" w:leftChars="400"/>
      <w:jc w:val="both"/>
    </w:pPr>
    <w:rPr>
      <w:rFonts w:ascii="Calibri" w:hAnsi="Calibri" w:eastAsia="宋体" w:cs="Times New Roman"/>
      <w:kern w:val="2"/>
      <w:sz w:val="21"/>
      <w:szCs w:val="24"/>
      <w:lang w:val="en-US" w:eastAsia="zh-CN" w:bidi="ar-SA"/>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Calibri" w:hAnsi="Calibri" w:eastAsia="宋体" w:cs="Times New Roman"/>
      <w:sz w:val="18"/>
      <w:szCs w:val="18"/>
    </w:rPr>
  </w:style>
  <w:style w:type="character" w:customStyle="1" w:styleId="8">
    <w:name w:val="页脚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693</Words>
  <Characters>3955</Characters>
  <Lines>32</Lines>
  <Paragraphs>9</Paragraphs>
  <TotalTime>0</TotalTime>
  <ScaleCrop>false</ScaleCrop>
  <LinksUpToDate>false</LinksUpToDate>
  <CharactersWithSpaces>4639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2024-05-30T09:33:00Z</dcterms:created>
  <dc:creator>朱力</dc:creator>
  <cp:lastModifiedBy>Administrator</cp:lastModifiedBy>
  <dcterms:modified xsi:type="dcterms:W3CDTF">2026-06-17T06:18:23Z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43EF79CE571145F49948D9414D63C589</vt:lpwstr>
  </property>
</Properties>
</file>