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Times New Roman" w:hAnsi="Times New Roman" w:eastAsia="仿宋_GB2312" w:cs="Times New Roman"/>
          <w:sz w:val="30"/>
          <w:szCs w:val="30"/>
          <w:lang w:eastAsia="zh-CN"/>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19"/>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w:t>
      </w:r>
      <w:r>
        <w:rPr>
          <w:rFonts w:hint="eastAsia" w:ascii="Times New Roman" w:hAnsi="Times New Roman" w:eastAsia="仿宋_GB2312"/>
          <w:sz w:val="30"/>
          <w:szCs w:val="30"/>
        </w:rPr>
        <w:t>、</w:t>
      </w:r>
      <w:r>
        <w:rPr>
          <w:rFonts w:ascii="Times New Roman" w:hAnsi="Times New Roman" w:eastAsia="仿宋_GB2312" w:cs="Times New Roman"/>
          <w:sz w:val="30"/>
          <w:szCs w:val="30"/>
        </w:rPr>
        <w:t>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四、境内机构短期外债余额指标核准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2.《境内机构借用国际商业贷款管理办法》（〔97〕汇政发字06号）。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.其他相关法规。</w:t>
      </w:r>
    </w:p>
    <w:p>
      <w:pPr>
        <w:numPr>
          <w:ilvl w:val="0"/>
          <w:numId w:val="3"/>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numPr>
          <w:ilvl w:val="0"/>
          <w:numId w:val="4"/>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 xml:space="preserve">国家外汇管理局或申请人所在地国家外汇管理局分局（外汇管理部）。 </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numPr>
          <w:ilvl w:val="0"/>
          <w:numId w:val="5"/>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（1）短期外债使用无不良记录。</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（2）外汇局根据中、外资银行对外汇资金的实际合理需求，根据公平原则，参考上年度指标使用情况、同规模银行一般水平和当年度短期外债余额调控目标等因素为银行核定短期外债指标。</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2.非金融企业需同时符合以下条件：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（1）属于国家鼓励行业，具有对外贸易经营权。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（2）过去三年内连续盈利，或经营趋势良好。</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（3）具有完善的财务管理制度和内控制度。</w:t>
      </w:r>
    </w:p>
    <w:p>
      <w:pPr>
        <w:adjustRightInd w:val="0"/>
        <w:snapToGrid w:val="0"/>
        <w:spacing w:line="360" w:lineRule="auto"/>
        <w:ind w:firstLine="600"/>
        <w:rPr>
          <w:rFonts w:ascii="Times New Roman" w:hAnsi="Times New Roman" w:eastAsia="仿宋_GB2312" w:cs="Times New Roman"/>
          <w:b/>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1.金融机构短期外债余额指标申请材料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流动性需要或资金用途有关的证明材料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境外总行授权文件（“短期外债管理行”提供）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numPr>
          <w:ilvl w:val="0"/>
          <w:numId w:val="6"/>
        </w:num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非金融企业短期外债余额指标申请材料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4"/>
        <w:gridCol w:w="952"/>
        <w:gridCol w:w="457"/>
        <w:gridCol w:w="845"/>
        <w:gridCol w:w="490"/>
        <w:gridCol w:w="771"/>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7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上年度资产负债表和损益表</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上年度外汇收支情况。</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47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信贷机构出具的承诺贷款的意向书</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0" w:type="dxa"/>
            <w:vAlign w:val="center"/>
          </w:tcPr>
          <w:p>
            <w:pPr>
              <w:jc w:val="left"/>
              <w:rPr>
                <w:rFonts w:ascii="Times New Roman" w:hAnsi="Times New Roman" w:eastAsia="仿宋_GB2312" w:cs="Times New Roman"/>
                <w:sz w:val="24"/>
                <w:szCs w:val="24"/>
              </w:rPr>
            </w:pPr>
          </w:p>
        </w:tc>
        <w:tc>
          <w:tcPr>
            <w:tcW w:w="77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申请人可通过所在地外汇局分局（外汇管理部）业务窗口提交材料。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left="567" w:right="300" w:hanging="567" w:hangingChars="189"/>
        <w:jc w:val="center"/>
        <w:rPr>
          <w:rFonts w:hint="eastAsia" w:ascii="Times New Roman" w:hAnsi="Times New Roman" w:eastAsia="黑体" w:cs="Times New Roman"/>
          <w:sz w:val="30"/>
          <w:szCs w:val="30"/>
        </w:rPr>
      </w:pPr>
      <w:r>
        <w:rPr>
          <w:rFonts w:ascii="Times New Roman" w:hAnsi="Times New Roman" w:eastAsia="黑体" w:cs="Times New Roman"/>
          <w:sz w:val="30"/>
          <w:szCs w:val="30"/>
        </w:rPr>
        <w:t>基本流程图</w:t>
      </w:r>
    </w:p>
    <w:p>
      <w:pPr>
        <w:ind w:left="567" w:right="300" w:hanging="567" w:hangingChars="189"/>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37.1pt;margin-top:5.6pt;height:665.15pt;width:491.25pt;rotation:0f;z-index:251658240;" coordorigin="1599,1560" coordsize="9010,13628">
            <o:lock v:ext="edit" position="f" selection="f" grouping="f" rotation="f" cropping="f" text="f" aspectratio="f"/>
            <v:shape id="AutoShape 3" o:spid="_x0000_s1028" type="#_x0000_t32" style="position:absolute;left:6566;top:10994;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28" o:spid="_x0000_s1029" style="position:absolute;left:1599;top:1560;height:13628;width:9010;rotation:0f;" coordorigin="1599,1560" coordsize="9010,13628">
              <o:lock v:ext="edit" position="f" selection="f" grouping="f" rotation="f" cropping="f" text="f" aspectratio="f"/>
              <v:shape id="AutoShape 5" o:spid="_x0000_s1030" type="#_x0000_t32" style="position:absolute;left:6565;top:11899;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0" o:spid="_x0000_s1031" style="position:absolute;left:1599;top:1560;height:13628;width:9010;rotation:0f;" coordorigin="1599,1560" coordsize="9010,13628">
                <o:lock v:ext="edit" position="f" selection="f" grouping="f" rotation="f" cropping="f" text="f" aspectratio="f"/>
                <v:rect id="Rectangle 7" o:spid="_x0000_s1032" style="position:absolute;left:5057;top:11620;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shape id="AutoShape 8" o:spid="_x0000_s1033" type="#_x0000_t32" style="position:absolute;left:3999;top:12614;height:56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9" o:spid="_x0000_s1034" type="#_x0000_t32" style="position:absolute;left:9017;top:12614;height:607;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5" type="#_x0000_t32" style="position:absolute;left:4013;top:12614;height:0;width:4987;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1" o:spid="_x0000_s1036" type="#_x0000_t116" style="position:absolute;left:7492;top:13201;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2" o:spid="_x0000_s1037" type="#_x0000_t116" style="position:absolute;left:2034;top:14510;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rect id="Rectangle 13" o:spid="_x0000_s1038" style="position:absolute;left:2294;top:13181;height:859;width:3461;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39" type="#_x0000_t32" style="position:absolute;left:4013;top:14040;height:470;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9" o:spid="_x0000_s1040" style="position:absolute;left:1599;top:1560;height:11621;width:8921;rotation:0f;" coordorigin="1635,1526" coordsize="8921,11621">
                  <o:lock v:ext="edit" position="f" selection="f" grouping="f" rotation="f" cropping="f" text="f" aspectratio="f"/>
                  <v:shape id="AutoShape 16" o:spid="_x0000_s1041" type="#_x0000_t32" style="position:absolute;left:6600;top:8677;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7" o:spid="_x0000_s1042"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组合 1042" o:spid="_x0000_s1043" style="position:absolute;left:1635;top:2321;height:6356;width:8921;rotation:0f;" coordorigin="1635,2361" coordsize="8921,6356">
                    <o:lock v:ext="edit" position="f" selection="f" grouping="f" rotation="f" cropping="f" text="f" aspectratio="f"/>
                    <v:shape id="AutoShape 19" o:spid="_x0000_s1044" type="#_x0000_t34" style="position:absolute;left:8013;top:4166;height:1285;width:3790;rotation:17694720f;" o:ole="f" fillcolor="#FFFFFF" filled="t" o:preferrelative="t" stroked="t" coordorigin="0,0" coordsize="21600,21600" adj="45">
                      <v:stroke color="#000000" color2="#FFFFFF" miterlimit="2"/>
                      <v:imagedata gain="65536f" blacklevel="0f" gamma="0"/>
                      <o:lock v:ext="edit" position="f" selection="f" grouping="f" rotation="f" cropping="f" text="f" aspectratio="f"/>
                    </v:shape>
                    <v:group id="组合 1044" o:spid="_x0000_s1045" style="position:absolute;left:1635;top:2361;height:6356;width:8921;rotation:0f;" coordorigin="1656,3881" coordsize="8921,6356">
                      <o:lock v:ext="edit" position="f" selection="f" grouping="f" rotation="f" cropping="f" text="f" aspectratio="f"/>
                      <v:shape id="AutoShape 21" o:spid="_x0000_s1046" type="#_x0000_t32" style="position:absolute;left:7549;top:7016;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2" o:spid="_x0000_s1047"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shape id="AutoShape 23" o:spid="_x0000_s1048" type="#_x0000_t32" style="position:absolute;left:3011;top:9967;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4" o:spid="_x0000_s1049" type="#_x0000_t32" style="position:absolute;left:3011;top:6530;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Text Box 25" o:spid="_x0000_s1050"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6" o:spid="_x0000_s1051" type="#_x0000_t32" style="position:absolute;left:7549;top:9110;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7" o:spid="_x0000_s1052"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8" o:spid="_x0000_s1053"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29" o:spid="_x0000_s1054" type="#_x0000_t32" style="position:absolute;left:4429;top:5511;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0" o:spid="_x0000_s1055" type="#_x0000_t32" style="position:absolute;left:5658;top:4533;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6" type="#_x0000_t4" style="position:absolute;left:1656;top:4480;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2" o:spid="_x0000_s1057" type="#_x0000_t32" style="position:absolute;left:5686;top:6453;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 o:spid="_x0000_s1058" type="#_x0000_t32" style="position:absolute;left:5658;top:4533;height:0;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rect id="Rectangle 34" o:spid="_x0000_s1059"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left="850" w:hanging="850" w:hangingChars="405"/>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35" o:spid="_x0000_s1060" type="#_x0000_t116" style="position:absolute;left:6222;top:3881;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6" o:spid="_x0000_s1061" type="#_x0000_t202" style="position:absolute;left:4834;top:4762;height:48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7" o:spid="_x0000_s1062"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8" o:spid="_x0000_s1063" type="#_x0000_t32" style="position:absolute;left:9040;top:4464;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shape id="AutoShape 39" o:spid="_x0000_s1064" type="#_x0000_t32" style="position:absolute;left:3011;top:2229;flip:x;height:6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40" o:spid="_x0000_s1065" type="#_x0000_t4" style="position:absolute;left:3562;top:9140;height:1920;width:612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申请人所在地外汇局分局（外汇管理部）根据申请材料，</w:t>
                          </w:r>
                        </w:p>
                        <w:p>
                          <w:pPr>
                            <w:jc w:val="center"/>
                          </w:pPr>
                          <w:r>
                            <w:rPr>
                              <w:rFonts w:hint="eastAsia"/>
                            </w:rPr>
                            <w:t>作出初审意见</w:t>
                          </w:r>
                        </w:p>
                      </w:txbxContent>
                    </v:textbox>
                  </v:shape>
                  <v:shape id="Text Box 41" o:spid="_x0000_s1066"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2" o:spid="_x0000_s1067"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3" o:spid="_x0000_s1068" type="#_x0000_t32" style="position:absolute;left:9682;top:10120;height:302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v:group>
        </w:pict>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widowControl/>
        <w:jc w:val="left"/>
        <w:rPr>
          <w:rFonts w:ascii="Times New Roman" w:hAnsi="Times New Roman" w:eastAsia="仿宋_GB2312"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rPr>
          <w:rFonts w:ascii="Times New Roman" w:hAnsi="Times New Roman" w:eastAsia="仿宋_GB2312" w:cs="Times New Roman"/>
          <w:bCs/>
          <w:kern w:val="0"/>
          <w:sz w:val="30"/>
          <w:szCs w:val="30"/>
        </w:rPr>
      </w:pPr>
      <w:r>
        <w:rPr>
          <w:rFonts w:ascii="Times New Roman" w:hAnsi="Times New Roman" w:eastAsia="仿宋_GB2312" w:cs="Times New Roman"/>
          <w:bCs/>
          <w:kern w:val="0"/>
          <w:sz w:val="30"/>
          <w:szCs w:val="30"/>
        </w:rPr>
        <w:t xml:space="preserve">    问：外资金融机构能否申请短期外债余额指标？</w:t>
      </w:r>
    </w:p>
    <w:p>
      <w:pPr>
        <w:rPr>
          <w:rFonts w:ascii="Times New Roman" w:hAnsi="Times New Roman" w:cs="Times New Roman"/>
        </w:rPr>
      </w:pPr>
      <w:r>
        <w:rPr>
          <w:rFonts w:ascii="Times New Roman" w:hAnsi="Times New Roman" w:eastAsia="仿宋_GB2312" w:cs="Times New Roman"/>
          <w:bCs/>
          <w:kern w:val="0"/>
          <w:sz w:val="30"/>
          <w:szCs w:val="30"/>
        </w:rPr>
        <w:t xml:space="preserve">    答：2018年1月12日以前，外资金融机构可在短期外债余额指标管理模式和宏观审慎管理模式下任选一种模式适用。2018年1月12日以后，外资金融机构自动适用宏观审慎管理模式。</w:t>
      </w:r>
    </w:p>
    <w:sectPr>
      <w:headerReference r:id="rId4" w:type="default"/>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2315">
    <w:nsid w:val="5A10FB2B"/>
    <w:multiLevelType w:val="singleLevel"/>
    <w:tmpl w:val="5A10FB2B"/>
    <w:lvl w:ilvl="0" w:tentative="1">
      <w:start w:val="5"/>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059956">
    <w:nsid w:val="5A10F1F4"/>
    <w:multiLevelType w:val="singleLevel"/>
    <w:tmpl w:val="5A10F1F4"/>
    <w:lvl w:ilvl="0" w:tentative="1">
      <w:start w:val="2"/>
      <w:numFmt w:val="chineseCounting"/>
      <w:suff w:val="nothing"/>
      <w:lvlText w:val="（%1）"/>
      <w:lvlJc w:val="left"/>
    </w:lvl>
  </w:abstractNum>
  <w:abstractNum w:abstractNumId="1511063245">
    <w:nsid w:val="5A10FECD"/>
    <w:multiLevelType w:val="singleLevel"/>
    <w:tmpl w:val="5A10FECD"/>
    <w:lvl w:ilvl="0" w:tentative="1">
      <w:start w:val="2"/>
      <w:numFmt w:val="decimal"/>
      <w:suff w:val="nothing"/>
      <w:lvlText w:val="%1."/>
      <w:lvlJc w:val="left"/>
    </w:lvl>
  </w:abstractNum>
  <w:abstractNum w:abstractNumId="1511059970">
    <w:nsid w:val="5A10F202"/>
    <w:multiLevelType w:val="singleLevel"/>
    <w:tmpl w:val="5A10F202"/>
    <w:lvl w:ilvl="0" w:tentative="1">
      <w:start w:val="3"/>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059956"/>
  </w:num>
  <w:num w:numId="4">
    <w:abstractNumId w:val="1511059970"/>
  </w:num>
  <w:num w:numId="5">
    <w:abstractNumId w:val="1511062315"/>
  </w:num>
  <w:num w:numId="6">
    <w:abstractNumId w:val="15110632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5"/>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List Paragraph"/>
    <w:basedOn w:val="1"/>
    <w:qFormat/>
    <w:uiPriority w:val="99"/>
    <w:pPr>
      <w:ind w:firstLine="420" w:firstLineChars="200"/>
    </w:p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8">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列出段落4"/>
    <w:basedOn w:val="1"/>
    <w:qFormat/>
    <w:uiPriority w:val="0"/>
    <w:pPr>
      <w:ind w:firstLine="200" w:firstLineChars="200"/>
    </w:pPr>
    <w:rPr>
      <w:rFonts w:ascii="Calibri" w:hAnsi="Calibri" w:eastAsia="宋体" w:cs="Times New Roman"/>
    </w:rPr>
  </w:style>
  <w:style w:type="paragraph" w:customStyle="1" w:styleId="21">
    <w:name w:val="列出段落3"/>
    <w:basedOn w:val="1"/>
    <w:qFormat/>
    <w:uiPriority w:val="0"/>
    <w:pPr>
      <w:ind w:firstLine="420" w:firstLineChars="200"/>
    </w:pPr>
    <w:rPr>
      <w:rFonts w:ascii="Times New Roman" w:hAnsi="Times New Roman" w:eastAsia="宋体" w:cs="Times New Roman"/>
      <w:szCs w:val="24"/>
    </w:rPr>
  </w:style>
  <w:style w:type="paragraph" w:customStyle="1" w:styleId="22">
    <w:name w:val="p0"/>
    <w:basedOn w:val="1"/>
    <w:qFormat/>
    <w:uiPriority w:val="0"/>
    <w:pPr>
      <w:widowControl/>
    </w:pPr>
    <w:rPr>
      <w:rFonts w:ascii="Calibri" w:hAnsi="Calibri" w:eastAsia="宋体" w:cs="宋体"/>
      <w:kern w:val="0"/>
      <w:szCs w:val="21"/>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Intense Emphasis"/>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408</Words>
  <Characters>2331</Characters>
  <Lines>19</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2020-03-17T01:49:00Z</dcterms:created>
  <dc:creator>朱敏1</dc:creator>
  <cp:lastModifiedBy>杜鑫/外汇管理处/银川/PBC</cp:lastModifiedBy>
  <cp:lastPrinted>2021-04-25T12:32:00Z</cp:lastPrinted>
  <dcterms:modified xsi:type="dcterms:W3CDTF">2021-04-27T09:16:34Z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