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Times New Roman" w:hAnsi="Times New Roman" w:eastAsia="仿宋_GB2312" w:cs="Times New Roman"/>
          <w:sz w:val="30"/>
          <w:szCs w:val="30"/>
          <w:lang w:eastAsia="zh-CN"/>
        </w:rPr>
      </w:pPr>
    </w:p>
    <w:p>
      <w:pPr>
        <w:rPr>
          <w:rFonts w:ascii="Times New Roman" w:hAnsi="Times New Roman" w:eastAsia="仿宋_GB2312" w:cs="Times New Roman"/>
          <w:sz w:val="30"/>
          <w:szCs w:val="30"/>
        </w:rPr>
      </w:pPr>
    </w:p>
    <w:p>
      <w:pPr>
        <w:rPr>
          <w:rFonts w:ascii="Times New Roman" w:hAnsi="Times New Roman" w:eastAsia="黑体" w:cs="Times New Roman"/>
          <w:sz w:val="48"/>
          <w:szCs w:val="48"/>
        </w:rPr>
      </w:pPr>
      <w:r>
        <w:rPr>
          <w:rFonts w:ascii="Times New Roman" w:hAnsi="Times New Roman" w:eastAsia="黑体" w:cs="Times New Roman"/>
          <w:sz w:val="48"/>
          <w:szCs w:val="48"/>
        </w:rPr>
        <w:t>编号：57006</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“境内机构外债、对外或有负债</w:t>
      </w:r>
      <w:r>
        <w:rPr>
          <w:rFonts w:hint="eastAsia" w:ascii="Times New Roman" w:hAnsi="Times New Roman" w:eastAsia="黑体" w:cs="Times New Roman"/>
          <w:sz w:val="52"/>
          <w:szCs w:val="52"/>
        </w:rPr>
        <w:t>、外债转贷款</w:t>
      </w:r>
      <w:r>
        <w:rPr>
          <w:rFonts w:ascii="Times New Roman" w:hAnsi="Times New Roman" w:eastAsia="黑体" w:cs="Times New Roman"/>
          <w:sz w:val="52"/>
          <w:szCs w:val="52"/>
        </w:rPr>
        <w:t xml:space="preserve">审批、登记及履约核准” </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宁夏回族自治区分局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pStyle w:val="19"/>
        <w:adjustRightInd w:val="0"/>
        <w:snapToGrid w:val="0"/>
        <w:spacing w:line="360" w:lineRule="auto"/>
        <w:ind w:firstLine="0" w:firstLineChars="0"/>
        <w:outlineLvl w:val="0"/>
        <w:rPr>
          <w:rFonts w:ascii="Times New Roman" w:hAnsi="Times New Roman" w:eastAsia="黑体"/>
          <w:sz w:val="30"/>
          <w:szCs w:val="30"/>
        </w:rPr>
      </w:pPr>
      <w:r>
        <w:rPr>
          <w:rFonts w:ascii="Times New Roman" w:hAnsi="Times New Roman" w:eastAsia="黑体"/>
          <w:sz w:val="30"/>
          <w:szCs w:val="30"/>
        </w:rPr>
        <w:t xml:space="preserve">    一、项目信息</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项目名称：境内机构外债、对外或有负债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审批、登记及履约核准；</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项目编号：57006；</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审批类别：行政许可；</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审查类型：前审后批。</w:t>
      </w:r>
    </w:p>
    <w:p>
      <w:pPr>
        <w:numPr>
          <w:ilvl w:val="0"/>
          <w:numId w:val="1"/>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适用范围</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仿宋_GB2312" w:cs="Times New Roman"/>
          <w:sz w:val="30"/>
          <w:szCs w:val="30"/>
        </w:rPr>
        <w:t xml:space="preserve">    本指南适用于“境内机构外债、对外或有负债、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w:t>
      </w:r>
      <w:r>
        <w:rPr>
          <w:rFonts w:hint="eastAsia" w:ascii="Times New Roman" w:hAnsi="Times New Roman" w:eastAsia="仿宋_GB2312"/>
          <w:sz w:val="30"/>
          <w:szCs w:val="30"/>
        </w:rPr>
        <w:t>、</w:t>
      </w:r>
      <w:r>
        <w:rPr>
          <w:rFonts w:ascii="Times New Roman" w:hAnsi="Times New Roman" w:eastAsia="仿宋_GB2312" w:cs="Times New Roman"/>
          <w:sz w:val="30"/>
          <w:szCs w:val="30"/>
        </w:rPr>
        <w:t>登记及履约核准”的申请和办理。</w:t>
      </w:r>
    </w:p>
    <w:p>
      <w:pPr>
        <w:numPr>
          <w:ilvl w:val="0"/>
          <w:numId w:val="2"/>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（一）《中华人民共和国外汇管理条例》（国务院令第532号）第十八条：“国家对外债实行规模管理。借用外债应当按照国家有关规定办理，并到外汇管理机关办理外债登记”；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九条：“提供对外担保，应当向外汇管理机关提出申请，由外汇管理机关根据申请人的资产负债等情况作出批准或者不批准的决定。申请人签订对外担保合同后，应到外汇管理机关办理对外担保登记。经国务院批准为使用外国政府或者国际金融组织贷款进行转贷提供对外担保的除外。国家规定境内机构的经营范围需经有关主管部门批准的，应当在向外汇管理机关提出申请前办理批准手续”；</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（三）《国务院对确需保留的行政审批项目设定行政许可的决定》（国务院令第412号）附件第471项“境内机构外债、外债转贷款、对外担保履约核准”；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（四）《国务院对确需保留的行政审批项目设定行政许可的决定》（国务院令第412号）附件第485项“境内外资金融机构短期外债核准”；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（五）《外债管理暂行办法》（国家发展计划委员会、财政部、国家外汇管理局令第28号）第十六条：“国家对境内中资机构举借短期国际商业贷款实行余额管理，余额由国家外汇管理局核定”。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四、境内机构短期外债余额指标核准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2.《境内机构借用国际商业贷款管理办法》（〔97〕汇政发字06号）。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3.《境内外资银行外债管理办法》（国家发展和改革委员会 中国人民银行 中国银行业监督管理委员会令2004年第9号）。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4.《国家外汇管理局关于发布〈外债登记管理办法〉的通知》（汇发〔2013〕19号）。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5.《中国人民银行关于全口径跨境融资宏观审慎管理有关事宜的通知》（银发〔2017〕9号）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.其他相关法规。</w:t>
      </w:r>
    </w:p>
    <w:p>
      <w:pPr>
        <w:numPr>
          <w:ilvl w:val="0"/>
          <w:numId w:val="3"/>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申请人所在地国家外汇管理局分局（外汇管理部）。</w:t>
      </w:r>
    </w:p>
    <w:p>
      <w:pPr>
        <w:numPr>
          <w:ilvl w:val="0"/>
          <w:numId w:val="4"/>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决定机构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 xml:space="preserve">国家外汇管理局或申请人所在地国家外汇管理局分局（外汇管理部）。 </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numPr>
          <w:ilvl w:val="0"/>
          <w:numId w:val="5"/>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1.金融机构需同时符合以下条件：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（1）短期外债使用无不良记录。</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（2）外汇局根据中、外资银行对外汇资金的实际合理需求，根据公平原则，参考上年度指标使用情况、同规模银行一般水平和当年度短期外债余额调控目标等因素为银行核定短期外债指标。</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2.非金融企业需同时符合以下条件：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（1）属于国家鼓励行业，具有对外贸易经营权。</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（2）过去三年内连续盈利，或经营趋势良好。</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（3）具有完善的财务管理制度和内控制度。</w:t>
      </w:r>
    </w:p>
    <w:p>
      <w:pPr>
        <w:adjustRightInd w:val="0"/>
        <w:snapToGrid w:val="0"/>
        <w:spacing w:line="360" w:lineRule="auto"/>
        <w:ind w:firstLine="600"/>
        <w:rPr>
          <w:rFonts w:ascii="Times New Roman" w:hAnsi="Times New Roman" w:eastAsia="仿宋_GB2312" w:cs="Times New Roman"/>
          <w:b/>
          <w:sz w:val="30"/>
          <w:szCs w:val="30"/>
        </w:rPr>
      </w:pPr>
      <w:r>
        <w:rPr>
          <w:rFonts w:ascii="Times New Roman" w:hAnsi="Times New Roman" w:eastAsia="仿宋_GB2312" w:cs="Times New Roman"/>
          <w:sz w:val="30"/>
          <w:szCs w:val="30"/>
        </w:rPr>
        <w:t>3.禁止性要求：如符合上述条件，不存在不予许可的情况。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（六）申请材料</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1.金融机构短期外债余额指标申请材料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254"/>
        <w:gridCol w:w="992"/>
        <w:gridCol w:w="567"/>
        <w:gridCol w:w="851"/>
        <w:gridCol w:w="567"/>
        <w:gridCol w:w="759"/>
      </w:tblGrid>
      <w:tr>
        <w:tc>
          <w:tcPr>
            <w:tcW w:w="53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rPr>
          <w:trHeight w:val="378" w:hRule="atLeast"/>
        </w:trP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上年度资产负债表和损益表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流动性需要或资金用途有关的证明材料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境外总行或地区管理部门批准的对中国境内债务人的年度授信限额文件（外资金融机构的境内非法人分支机构提供）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境外总行授权文件（“短期外债管理行”提供）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numPr>
          <w:ilvl w:val="0"/>
          <w:numId w:val="6"/>
        </w:numPr>
        <w:ind w:right="300"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非金融企业短期外债余额指标申请材料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474"/>
        <w:gridCol w:w="952"/>
        <w:gridCol w:w="457"/>
        <w:gridCol w:w="845"/>
        <w:gridCol w:w="490"/>
        <w:gridCol w:w="771"/>
      </w:tblGrid>
      <w:tr>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47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5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9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7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p>
        </w:tc>
      </w:tr>
      <w:tr>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上年度资产负债表和损益表</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上年度外汇收支情况。</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信贷机构出具的承诺贷款的意向书</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spacing w:line="360" w:lineRule="auto"/>
        <w:ind w:firstLine="600" w:firstLineChars="200"/>
        <w:outlineLvl w:val="0"/>
        <w:rPr>
          <w:rFonts w:ascii="Times New Roman" w:hAnsi="Times New Roman" w:eastAsia="黑体" w:cs="Times New Roman"/>
          <w:sz w:val="30"/>
          <w:szCs w:val="30"/>
        </w:rPr>
      </w:pPr>
    </w:p>
    <w:p>
      <w:pPr>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申请人可通过所在地外汇局分局（外汇管理部）业务窗口提交材料。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（十一）审批收费依据及标准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（十二）审批结果</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咨询途径</w:t>
      </w:r>
    </w:p>
    <w:p>
      <w:pPr>
        <w:adjustRightInd w:val="0"/>
        <w:snapToGrid w:val="0"/>
        <w:spacing w:line="360" w:lineRule="auto"/>
        <w:ind w:firstLine="585"/>
        <w:jc w:val="left"/>
        <w:outlineLvl w:val="0"/>
        <w:rPr>
          <w:rFonts w:ascii="Times New Roman" w:hAnsi="Times New Roman" w:eastAsia="仿宋_GB2312" w:cs="Times New Roman"/>
          <w:sz w:val="30"/>
          <w:szCs w:val="30"/>
          <w:lang w:val="en-US"/>
        </w:rPr>
      </w:pPr>
      <w:r>
        <w:rPr>
          <w:rFonts w:ascii="Times New Roman" w:hAnsi="Times New Roman" w:eastAsia="仿宋_GB2312" w:cs="Times New Roman"/>
          <w:sz w:val="30"/>
          <w:szCs w:val="30"/>
        </w:rPr>
        <w:t>（一）咨询窗口：国家外汇管理局</w:t>
      </w:r>
      <w:r>
        <w:rPr>
          <w:rFonts w:hint="eastAsia" w:ascii="Times New Roman" w:hAnsi="Times New Roman" w:eastAsia="仿宋_GB2312" w:cs="Times New Roman"/>
          <w:sz w:val="30"/>
          <w:szCs w:val="30"/>
          <w:lang w:eastAsia="zh-CN"/>
        </w:rPr>
        <w:t>宁夏回族自治区分局外汇处。</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（二）咨询电话：（0</w:t>
      </w:r>
      <w:r>
        <w:rPr>
          <w:rFonts w:hint="eastAsia" w:ascii="Times New Roman" w:hAnsi="Times New Roman" w:eastAsia="仿宋_GB2312" w:cs="Times New Roman"/>
          <w:sz w:val="30"/>
          <w:szCs w:val="30"/>
          <w:lang w:val="en-US" w:eastAsia="zh-CN"/>
        </w:rPr>
        <w:t>951</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5189608。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三</w:t>
      </w:r>
      <w:r>
        <w:rPr>
          <w:rFonts w:ascii="Times New Roman" w:hAnsi="Times New Roman" w:eastAsia="仿宋_GB2312" w:cs="Times New Roman"/>
          <w:sz w:val="30"/>
          <w:szCs w:val="30"/>
        </w:rPr>
        <w:t>）咨询信件邮寄地址：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bookmarkStart w:id="0" w:name="_GoBack"/>
      <w:bookmarkEnd w:id="0"/>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六）</w:t>
      </w:r>
      <w:r>
        <w:rPr>
          <w:rFonts w:ascii="Times New Roman" w:hAnsi="Times New Roman" w:eastAsia="黑体" w:cs="Times New Roman"/>
          <w:sz w:val="30"/>
          <w:szCs w:val="30"/>
        </w:rPr>
        <w:t>监督和投诉渠道</w:t>
      </w:r>
    </w:p>
    <w:p>
      <w:pPr>
        <w:adjustRightInd w:val="0"/>
        <w:snapToGrid w:val="0"/>
        <w:spacing w:line="360" w:lineRule="auto"/>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监督和投诉等可通过</w:t>
      </w:r>
      <w:r>
        <w:rPr>
          <w:rFonts w:ascii="Times New Roman" w:hAnsi="Times New Roman" w:eastAsia="仿宋_GB2312" w:cs="Times New Roman"/>
          <w:sz w:val="30"/>
          <w:szCs w:val="30"/>
        </w:rPr>
        <w:t>国家外汇管理局</w:t>
      </w:r>
      <w:r>
        <w:rPr>
          <w:rFonts w:hint="eastAsia" w:ascii="Times New Roman" w:hAnsi="Times New Roman" w:eastAsia="仿宋_GB2312" w:cs="Times New Roman"/>
          <w:sz w:val="30"/>
          <w:szCs w:val="30"/>
          <w:lang w:eastAsia="zh-CN"/>
        </w:rPr>
        <w:t>宁夏回族自治区分局</w:t>
      </w:r>
      <w:r>
        <w:rPr>
          <w:rFonts w:hint="eastAsia" w:ascii="Times New Roman" w:hAnsi="Times New Roman" w:eastAsia="仿宋_GB2312" w:cs="Times New Roman"/>
          <w:sz w:val="30"/>
          <w:szCs w:val="30"/>
        </w:rPr>
        <w:t>网站</w:t>
      </w:r>
      <w:r>
        <w:fldChar w:fldCharType="begin"/>
      </w:r>
      <w:r>
        <w:instrText xml:space="preserve"> HYPERLINK "http://www.safe.gov.cn" </w:instrText>
      </w:r>
      <w:r>
        <w:fldChar w:fldCharType="separate"/>
      </w:r>
      <w:r>
        <w:rPr>
          <w:rFonts w:ascii="Times New Roman" w:hAnsi="Times New Roman" w:cs="Times New Roman"/>
          <w:sz w:val="30"/>
          <w:szCs w:val="30"/>
        </w:rPr>
        <w:t>www.safe.gov.cn</w:t>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/ningxia/</w:t>
      </w:r>
      <w:r>
        <w:rPr>
          <w:rFonts w:hint="eastAsia" w:ascii="Times New Roman" w:hAnsi="Times New Roman" w:eastAsia="仿宋_GB2312" w:cs="Times New Roman"/>
          <w:sz w:val="30"/>
          <w:szCs w:val="30"/>
        </w:rPr>
        <w:t>的</w:t>
      </w:r>
      <w:r>
        <w:rPr>
          <w:rFonts w:hint="eastAsia" w:ascii="Times New Roman" w:hAnsi="Times New Roman" w:eastAsia="仿宋_GB2312" w:cs="Times New Roman"/>
          <w:sz w:val="30"/>
          <w:szCs w:val="30"/>
          <w:lang w:eastAsia="zh-CN"/>
        </w:rPr>
        <w:t>投诉建议</w:t>
      </w:r>
      <w:r>
        <w:rPr>
          <w:rFonts w:hint="eastAsia" w:ascii="Times New Roman" w:hAnsi="Times New Roman" w:eastAsia="仿宋_GB2312" w:cs="Times New Roman"/>
          <w:sz w:val="30"/>
          <w:szCs w:val="30"/>
        </w:rPr>
        <w:t>栏目进行</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也可通过</w:t>
      </w:r>
      <w:r>
        <w:rPr>
          <w:rFonts w:hint="eastAsia" w:ascii="Times New Roman" w:hAnsi="Times New Roman" w:eastAsia="仿宋_GB2312" w:cs="Times New Roman"/>
          <w:sz w:val="30"/>
          <w:szCs w:val="30"/>
          <w:lang w:eastAsia="zh-CN"/>
        </w:rPr>
        <w:t>该</w:t>
      </w:r>
      <w:r>
        <w:rPr>
          <w:rFonts w:hint="eastAsia" w:ascii="Times New Roman" w:hAnsi="Times New Roman" w:eastAsia="仿宋_GB2312" w:cs="Times New Roman"/>
          <w:sz w:val="30"/>
          <w:szCs w:val="30"/>
        </w:rPr>
        <w:t>网站公布的电话进行。</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办公地址和时间</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（一）办公地址。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r>
        <w:rPr>
          <w:rFonts w:ascii="Times New Roman" w:hAnsi="Times New Roman" w:eastAsia="仿宋_GB2312" w:cs="Times New Roman"/>
          <w:sz w:val="30"/>
          <w:szCs w:val="30"/>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（二）办公时间。周一至周五，</w:t>
      </w:r>
      <w:r>
        <w:rPr>
          <w:rFonts w:hint="eastAsia" w:ascii="Times New Roman" w:hAnsi="Times New Roman" w:eastAsia="仿宋_GB2312" w:cs="Times New Roman"/>
          <w:sz w:val="30"/>
          <w:szCs w:val="30"/>
          <w:lang w:val="en-US" w:eastAsia="zh-CN"/>
        </w:rPr>
        <w:t>夏季上午08:30到12:00,下午14:30到18:00；冬季上午08:30到12:00,下午14:00到17:30；周六、周日及法定节假日不对外办理业务。</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（三）乘车路线。公交车</w:t>
      </w:r>
      <w:r>
        <w:rPr>
          <w:rFonts w:hint="eastAsia" w:ascii="Times New Roman" w:hAnsi="Times New Roman" w:eastAsia="仿宋_GB2312" w:cs="Times New Roman"/>
          <w:sz w:val="30"/>
          <w:szCs w:val="30"/>
          <w:lang w:val="en-US" w:eastAsia="zh-CN"/>
        </w:rPr>
        <w:t>101、101A、19、18路公交线路经停，可在临湖小区站上/下车。</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公开查询</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办理时限结束之日后，申请人可通过电话查询。</w:t>
      </w: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left="567" w:right="300" w:hanging="567" w:hangingChars="189"/>
        <w:jc w:val="center"/>
        <w:rPr>
          <w:rFonts w:hint="eastAsia" w:ascii="Times New Roman" w:hAnsi="Times New Roman" w:eastAsia="黑体" w:cs="Times New Roman"/>
          <w:sz w:val="30"/>
          <w:szCs w:val="30"/>
        </w:rPr>
      </w:pPr>
      <w:r>
        <w:rPr>
          <w:rFonts w:ascii="Times New Roman" w:hAnsi="Times New Roman" w:eastAsia="黑体" w:cs="Times New Roman"/>
          <w:sz w:val="30"/>
          <w:szCs w:val="30"/>
        </w:rPr>
        <w:t>基本流程图</w:t>
      </w:r>
    </w:p>
    <w:p>
      <w:pPr>
        <w:ind w:left="567" w:right="300" w:hanging="567" w:hangingChars="189"/>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组合 1026" o:spid="_x0000_s1027" style="position:absolute;left:0;margin-left:-37.1pt;margin-top:5.6pt;height:665.15pt;width:491.25pt;rotation:0f;z-index:251658240;" coordorigin="1599,1560" coordsize="9010,13628">
            <o:lock v:ext="edit" position="f" selection="f" grouping="f" rotation="f" cropping="f" text="f" aspectratio="f"/>
            <v:shape id="AutoShape 3" o:spid="_x0000_s1028" type="#_x0000_t32" style="position:absolute;left:6566;top:10994;height:626;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28" o:spid="_x0000_s1029" style="position:absolute;left:1599;top:1560;height:13628;width:9010;rotation:0f;" coordorigin="1599,1560" coordsize="9010,13628">
              <o:lock v:ext="edit" position="f" selection="f" grouping="f" rotation="f" cropping="f" text="f" aspectratio="f"/>
              <v:shape id="AutoShape 5" o:spid="_x0000_s1030" type="#_x0000_t32" style="position:absolute;left:6565;top:11899;height:715;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30" o:spid="_x0000_s1031" style="position:absolute;left:1599;top:1560;height:13628;width:9010;rotation:0f;" coordorigin="1599,1560" coordsize="9010,13628">
                <o:lock v:ext="edit" position="f" selection="f" grouping="f" rotation="f" cropping="f" text="f" aspectratio="f"/>
                <v:rect id="Rectangle 7" o:spid="_x0000_s1032" style="position:absolute;left:5057;top:11620;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国家外汇管理局审核</w:t>
                        </w:r>
                      </w:p>
                    </w:txbxContent>
                  </v:textbox>
                </v:rect>
                <v:shape id="AutoShape 8" o:spid="_x0000_s1033" type="#_x0000_t32" style="position:absolute;left:3999;top:12614;height:567;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9" o:spid="_x0000_s1034" type="#_x0000_t32" style="position:absolute;left:9017;top:12614;height:607;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0" o:spid="_x0000_s1035" type="#_x0000_t32" style="position:absolute;left:4013;top:12614;height:0;width:4987;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1" o:spid="_x0000_s1036" type="#_x0000_t116" style="position:absolute;left:7492;top:13201;height:1329;width:311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p>
                        <w:pPr>
                          <w:jc w:val="center"/>
                        </w:pPr>
                      </w:p>
                    </w:txbxContent>
                  </v:textbox>
                </v:shape>
                <v:shape id="AutoShape 12" o:spid="_x0000_s1037" type="#_x0000_t116" style="position:absolute;left:2034;top:14510;height:678;width:479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初审外汇局出具批复文件，并送达</w:t>
                        </w:r>
                      </w:p>
                    </w:txbxContent>
                  </v:textbox>
                </v:shape>
                <v:rect id="Rectangle 13" o:spid="_x0000_s1038" style="position:absolute;left:2294;top:13181;height:859;width:3461;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w:t>
                        </w:r>
                      </w:p>
                      <w:p>
                        <w:pPr>
                          <w:jc w:val="center"/>
                        </w:pPr>
                        <w:r>
                          <w:rPr>
                            <w:rFonts w:hint="eastAsia"/>
                          </w:rPr>
                          <w:t>为初审外汇局出具批复文件</w:t>
                        </w:r>
                      </w:p>
                    </w:txbxContent>
                  </v:textbox>
                </v:rect>
                <v:shape id="AutoShape 14" o:spid="_x0000_s1039" type="#_x0000_t32" style="position:absolute;left:4013;top:14040;height:470;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39" o:spid="_x0000_s1040" style="position:absolute;left:1599;top:1560;height:11621;width:8921;rotation:0f;" coordorigin="1635,1526" coordsize="8921,11621">
                  <o:lock v:ext="edit" position="f" selection="f" grouping="f" rotation="f" cropping="f" text="f" aspectratio="f"/>
                  <v:shape id="AutoShape 16" o:spid="_x0000_s1041" type="#_x0000_t32" style="position:absolute;left:6600;top:8677;height:764;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7" o:spid="_x0000_s1042" type="#_x0000_t116" style="position:absolute;left:1920;top:1526;height:703;width:373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id="组合 1042" o:spid="_x0000_s1043" style="position:absolute;left:1635;top:2321;height:6356;width:8921;rotation:0f;" coordorigin="1635,2361" coordsize="8921,6356">
                    <o:lock v:ext="edit" position="f" selection="f" grouping="f" rotation="f" cropping="f" text="f" aspectratio="f"/>
                    <v:shape id="AutoShape 19" o:spid="_x0000_s1044" type="#_x0000_t34" style="position:absolute;left:8013;top:4166;height:1285;width:3790;rotation:17694720f;" o:ole="f" fillcolor="#FFFFFF" filled="t" o:preferrelative="t" stroked="t" coordorigin="0,0" coordsize="21600,21600" adj="45">
                      <v:stroke color="#000000" color2="#FFFFFF" miterlimit="2"/>
                      <v:imagedata gain="65536f" blacklevel="0f" gamma="0"/>
                      <o:lock v:ext="edit" position="f" selection="f" grouping="f" rotation="f" cropping="f" text="f" aspectratio="f"/>
                    </v:shape>
                    <v:group id="组合 1044" o:spid="_x0000_s1045" style="position:absolute;left:1635;top:2361;height:6356;width:8921;rotation:0f;" coordorigin="1656,3881" coordsize="8921,6356">
                      <o:lock v:ext="edit" position="f" selection="f" grouping="f" rotation="f" cropping="f" text="f" aspectratio="f"/>
                      <v:shape id="AutoShape 21" o:spid="_x0000_s1046" type="#_x0000_t32" style="position:absolute;left:7549;top:7016;height:37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2" o:spid="_x0000_s1047" type="#_x0000_t4" style="position:absolute;left:5812;top:7377;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shape id="AutoShape 23" o:spid="_x0000_s1048" type="#_x0000_t32" style="position:absolute;left:3011;top:9967;height:1;width:121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4" o:spid="_x0000_s1049" type="#_x0000_t32" style="position:absolute;left:3011;top:6530;height:3437;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Text Box 25" o:spid="_x0000_s1050" type="#_x0000_t202" style="position:absolute;left:2253;top:7824;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AutoShape 26" o:spid="_x0000_s1051" type="#_x0000_t32" style="position:absolute;left:7549;top:9110;height:60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27" o:spid="_x0000_s1052" type="#_x0000_t202" style="position:absolute;left:4429;top:9110;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rect id="Rectangle 28" o:spid="_x0000_s1053" style="position:absolute;left:4224;top:9718;height:519;width:5359;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txbxContent>
                        </v:textbox>
                      </v:rect>
                      <v:shape id="AutoShape 29" o:spid="_x0000_s1054" type="#_x0000_t32" style="position:absolute;left:4429;top:5511;height:0;width:1229;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0" o:spid="_x0000_s1055" type="#_x0000_t32" style="position:absolute;left:5658;top:4533;height:192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1" o:spid="_x0000_s1056" type="#_x0000_t4" style="position:absolute;left:1656;top:4480;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接件（5个工作日）作出是否受理决定</w:t>
                              </w:r>
                            </w:p>
                          </w:txbxContent>
                        </v:textbox>
                      </v:shape>
                      <v:shape id="AutoShape 32" o:spid="_x0000_s1057" type="#_x0000_t32" style="position:absolute;left:5686;top:6453;height:1;width:564;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 o:spid="_x0000_s1058" type="#_x0000_t32" style="position:absolute;left:5658;top:4533;height:0;width:564;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rect id="Rectangle 34" o:spid="_x0000_s1059" style="position:absolute;left:6222;top:5885;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850" w:hanging="850" w:hangingChars="405"/>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35" o:spid="_x0000_s1060" type="#_x0000_t116" style="position:absolute;left:6222;top:3881;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shape id="Text Box 36" o:spid="_x0000_s1061" type="#_x0000_t202" style="position:absolute;left:4834;top:4762;height:48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shape id="Text Box 37" o:spid="_x0000_s1062" type="#_x0000_t202" style="position:absolute;left:9583;top:4841;height:2553;width:823;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38" o:spid="_x0000_s1063" type="#_x0000_t32" style="position:absolute;left:9040;top:4464;flip:x;height:0;width:153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shape id="AutoShape 39" o:spid="_x0000_s1064" type="#_x0000_t32" style="position:absolute;left:3011;top:2229;flip:x;height:69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40" o:spid="_x0000_s1065" type="#_x0000_t4" style="position:absolute;left:3562;top:9140;height:1920;width:612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申请人所在地外汇局分局（外汇管理部）根据申请材料，</w:t>
                          </w:r>
                        </w:p>
                        <w:p>
                          <w:pPr>
                            <w:jc w:val="center"/>
                          </w:pPr>
                          <w:r>
                            <w:rPr>
                              <w:rFonts w:hint="eastAsia"/>
                            </w:rPr>
                            <w:t>作出初审意见</w:t>
                          </w:r>
                        </w:p>
                      </w:txbxContent>
                    </v:textbox>
                  </v:shape>
                  <v:shape id="Text Box 41" o:spid="_x0000_s1066" type="#_x0000_t202" style="position:absolute;left:5093;top:10960;height:472;width:812;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同意</w:t>
                          </w:r>
                        </w:p>
                      </w:txbxContent>
                    </v:textbox>
                  </v:shape>
                  <v:shape id="Text Box 42" o:spid="_x0000_s1067" type="#_x0000_t202" style="position:absolute;left:8520;top:10848;height:584;width:1042;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不同意</w:t>
                          </w:r>
                        </w:p>
                      </w:txbxContent>
                    </v:textbox>
                  </v:shape>
                  <v:shape id="AutoShape 43" o:spid="_x0000_s1068" type="#_x0000_t32" style="position:absolute;left:9682;top:10120;height:3027;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group>
          </v:group>
        </w:pict>
      </w: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附录二          </w:t>
      </w:r>
    </w:p>
    <w:p>
      <w:pPr>
        <w:widowControl/>
        <w:jc w:val="left"/>
        <w:rPr>
          <w:rFonts w:ascii="Times New Roman" w:hAnsi="Times New Roman" w:eastAsia="仿宋_GB2312" w:cs="Times New Roman"/>
          <w:kern w:val="0"/>
          <w:sz w:val="30"/>
          <w:szCs w:val="30"/>
        </w:rPr>
      </w:pPr>
    </w:p>
    <w:p>
      <w:pPr>
        <w:jc w:val="center"/>
        <w:rPr>
          <w:rFonts w:ascii="Times New Roman" w:hAnsi="黑体" w:eastAsia="黑体" w:cs="Times New Roman"/>
          <w:kern w:val="0"/>
          <w:sz w:val="30"/>
          <w:szCs w:val="30"/>
        </w:rPr>
      </w:pPr>
      <w:r>
        <w:rPr>
          <w:rFonts w:ascii="Times New Roman" w:hAnsi="黑体" w:eastAsia="黑体" w:cs="Times New Roman"/>
          <w:kern w:val="0"/>
          <w:sz w:val="30"/>
          <w:szCs w:val="30"/>
        </w:rPr>
        <w:t>常见问题</w:t>
      </w:r>
    </w:p>
    <w:p>
      <w:pPr>
        <w:jc w:val="center"/>
        <w:rPr>
          <w:rFonts w:ascii="Times New Roman" w:hAnsi="Times New Roman" w:eastAsia="黑体" w:cs="Times New Roman"/>
          <w:kern w:val="0"/>
          <w:sz w:val="30"/>
          <w:szCs w:val="30"/>
        </w:rPr>
      </w:pPr>
    </w:p>
    <w:p>
      <w:pPr>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 xml:space="preserve">    问：外资金融机构能否申请短期外债余额指标？</w:t>
      </w:r>
    </w:p>
    <w:p>
      <w:pPr>
        <w:rPr>
          <w:rFonts w:ascii="Times New Roman" w:hAnsi="Times New Roman" w:cs="Times New Roman"/>
        </w:rPr>
      </w:pPr>
      <w:r>
        <w:rPr>
          <w:rFonts w:ascii="Times New Roman" w:hAnsi="Times New Roman" w:eastAsia="仿宋_GB2312" w:cs="Times New Roman"/>
          <w:bCs/>
          <w:kern w:val="0"/>
          <w:sz w:val="30"/>
          <w:szCs w:val="30"/>
        </w:rPr>
        <w:t xml:space="preserve">    答：2018年1月12日以前，外资金融机构可在短期外债余额指标管理模式和宏观审慎管理模式下任选一种模式适用。2018年1月12日以后，外资金融机构自动适用宏观审慎管理模式。</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2315">
    <w:nsid w:val="5A10FB2B"/>
    <w:multiLevelType w:val="singleLevel"/>
    <w:tmpl w:val="5A10FB2B"/>
    <w:lvl w:ilvl="0" w:tentative="1">
      <w:start w:val="5"/>
      <w:numFmt w:val="chineseCounting"/>
      <w:suff w:val="nothing"/>
      <w:lvlText w:val="（%1）"/>
      <w:lvlJc w:val="left"/>
    </w:lvl>
  </w:abstractNum>
  <w:abstractNum w:abstractNumId="1511059921">
    <w:nsid w:val="5A10F1D1"/>
    <w:multiLevelType w:val="singleLevel"/>
    <w:tmpl w:val="5A10F1D1"/>
    <w:lvl w:ilvl="0" w:tentative="1">
      <w:start w:val="2"/>
      <w:numFmt w:val="chineseCounting"/>
      <w:suff w:val="nothing"/>
      <w:lvlText w:val="%1、"/>
      <w:lvlJc w:val="left"/>
    </w:lvl>
  </w:abstractNum>
  <w:abstractNum w:abstractNumId="1511059956">
    <w:nsid w:val="5A10F1F4"/>
    <w:multiLevelType w:val="singleLevel"/>
    <w:tmpl w:val="5A10F1F4"/>
    <w:lvl w:ilvl="0" w:tentative="1">
      <w:start w:val="2"/>
      <w:numFmt w:val="chineseCounting"/>
      <w:suff w:val="nothing"/>
      <w:lvlText w:val="（%1）"/>
      <w:lvlJc w:val="left"/>
    </w:lvl>
  </w:abstractNum>
  <w:abstractNum w:abstractNumId="1511063245">
    <w:nsid w:val="5A10FECD"/>
    <w:multiLevelType w:val="singleLevel"/>
    <w:tmpl w:val="5A10FECD"/>
    <w:lvl w:ilvl="0" w:tentative="1">
      <w:start w:val="2"/>
      <w:numFmt w:val="decimal"/>
      <w:suff w:val="nothing"/>
      <w:lvlText w:val="%1."/>
      <w:lvlJc w:val="left"/>
    </w:lvl>
  </w:abstractNum>
  <w:abstractNum w:abstractNumId="1511059970">
    <w:nsid w:val="5A10F202"/>
    <w:multiLevelType w:val="singleLevel"/>
    <w:tmpl w:val="5A10F202"/>
    <w:lvl w:ilvl="0" w:tentative="1">
      <w:start w:val="3"/>
      <w:numFmt w:val="chineseCounting"/>
      <w:suff w:val="nothing"/>
      <w:lvlText w:val="（%1）"/>
      <w:lvlJc w:val="left"/>
    </w:lvl>
  </w:abstractNum>
  <w:abstractNum w:abstractNumId="1511059936">
    <w:nsid w:val="5A10F1E0"/>
    <w:multiLevelType w:val="singleLevel"/>
    <w:tmpl w:val="5A10F1E0"/>
    <w:lvl w:ilvl="0" w:tentative="1">
      <w:start w:val="3"/>
      <w:numFmt w:val="chineseCounting"/>
      <w:suff w:val="nothing"/>
      <w:lvlText w:val="%1、"/>
      <w:lvlJc w:val="left"/>
    </w:lvl>
  </w:abstractNum>
  <w:num w:numId="1">
    <w:abstractNumId w:val="1511059921"/>
  </w:num>
  <w:num w:numId="2">
    <w:abstractNumId w:val="1511059936"/>
  </w:num>
  <w:num w:numId="3">
    <w:abstractNumId w:val="1511059956"/>
  </w:num>
  <w:num w:numId="4">
    <w:abstractNumId w:val="1511059970"/>
  </w:num>
  <w:num w:numId="5">
    <w:abstractNumId w:val="1511062315"/>
  </w:num>
  <w:num w:numId="6">
    <w:abstractNumId w:val="1511063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3"/>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qFormat/>
    <w:uiPriority w:val="9"/>
    <w:pPr>
      <w:ind w:right="300"/>
      <w:outlineLvl w:val="2"/>
    </w:pPr>
    <w:rPr>
      <w:rFonts w:ascii="仿宋_GB2312" w:hAnsi="Calibri" w:eastAsia="仿宋_GB2312" w:cs="Times New Roman"/>
      <w:sz w:val="30"/>
      <w:szCs w:val="30"/>
    </w:rPr>
  </w:style>
  <w:style w:type="character" w:default="1" w:styleId="13">
    <w:name w:val="Default Paragraph Font"/>
    <w:semiHidden/>
    <w:unhideWhenUsed/>
    <w:uiPriority w:val="1"/>
  </w:style>
  <w:style w:type="paragraph" w:styleId="5">
    <w:name w:val="Document Map"/>
    <w:basedOn w:val="1"/>
    <w:link w:val="34"/>
    <w:unhideWhenUsed/>
    <w:qFormat/>
    <w:uiPriority w:val="0"/>
    <w:rPr>
      <w:rFonts w:ascii="宋体"/>
      <w:sz w:val="18"/>
      <w:szCs w:val="18"/>
    </w:rPr>
  </w:style>
  <w:style w:type="paragraph" w:styleId="6">
    <w:name w:val="annotation text"/>
    <w:basedOn w:val="1"/>
    <w:link w:val="31"/>
    <w:unhideWhenUsed/>
    <w:qFormat/>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uiPriority w:val="99"/>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footnote reference"/>
    <w:unhideWhenUsed/>
    <w:qFormat/>
    <w:uiPriority w:val="0"/>
    <w:rPr>
      <w:rFonts w:ascii="Times New Roman" w:hAnsi="Times New Roman" w:cs="Times New Roman"/>
      <w:vertAlign w:val="superscript"/>
    </w:rPr>
  </w:style>
  <w:style w:type="paragraph" w:customStyle="1" w:styleId="16">
    <w:name w:val="List Paragraph"/>
    <w:basedOn w:val="1"/>
    <w:qFormat/>
    <w:uiPriority w:val="99"/>
    <w:pPr>
      <w:ind w:firstLine="420" w:firstLineChars="200"/>
    </w:pPr>
  </w:style>
  <w:style w:type="paragraph" w:customStyle="1" w:styleId="17">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8">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customStyle="1" w:styleId="20">
    <w:name w:val="列出段落4"/>
    <w:basedOn w:val="1"/>
    <w:qFormat/>
    <w:uiPriority w:val="0"/>
    <w:pPr>
      <w:ind w:firstLine="200" w:firstLineChars="200"/>
    </w:pPr>
    <w:rPr>
      <w:rFonts w:ascii="Calibri" w:hAnsi="Calibri" w:eastAsia="宋体" w:cs="Times New Roman"/>
    </w:rPr>
  </w:style>
  <w:style w:type="paragraph" w:customStyle="1" w:styleId="21">
    <w:name w:val="列出段落3"/>
    <w:basedOn w:val="1"/>
    <w:qFormat/>
    <w:uiPriority w:val="0"/>
    <w:pPr>
      <w:ind w:firstLine="420" w:firstLineChars="200"/>
    </w:pPr>
    <w:rPr>
      <w:rFonts w:ascii="Times New Roman" w:hAnsi="Times New Roman" w:eastAsia="宋体" w:cs="Times New Roman"/>
      <w:szCs w:val="24"/>
    </w:rPr>
  </w:style>
  <w:style w:type="paragraph" w:customStyle="1" w:styleId="22">
    <w:name w:val="p0"/>
    <w:basedOn w:val="1"/>
    <w:qFormat/>
    <w:uiPriority w:val="0"/>
    <w:pPr>
      <w:widowControl/>
    </w:pPr>
    <w:rPr>
      <w:rFonts w:ascii="Calibri" w:hAnsi="Calibri" w:eastAsia="宋体" w:cs="宋体"/>
      <w:kern w:val="0"/>
      <w:szCs w:val="21"/>
    </w:rPr>
  </w:style>
  <w:style w:type="character" w:customStyle="1" w:styleId="23">
    <w:name w:val="标题 1 Char Char"/>
    <w:basedOn w:val="13"/>
    <w:link w:val="2"/>
    <w:uiPriority w:val="9"/>
    <w:rPr>
      <w:rFonts w:ascii="黑体" w:hAnsi="黑体" w:eastAsia="黑体" w:cs="宋体"/>
      <w:color w:val="000000"/>
      <w:kern w:val="0"/>
      <w:sz w:val="30"/>
      <w:szCs w:val="30"/>
    </w:rPr>
  </w:style>
  <w:style w:type="character" w:customStyle="1" w:styleId="24">
    <w:name w:val="标题 2 Char Char"/>
    <w:basedOn w:val="13"/>
    <w:link w:val="3"/>
    <w:uiPriority w:val="9"/>
    <w:rPr>
      <w:rFonts w:ascii="Cambria" w:hAnsi="Cambria" w:eastAsia="宋体" w:cs="Times New Roman"/>
      <w:b/>
      <w:bCs/>
      <w:sz w:val="32"/>
      <w:szCs w:val="32"/>
    </w:rPr>
  </w:style>
  <w:style w:type="character" w:customStyle="1" w:styleId="25">
    <w:name w:val="标题 3 Char Char"/>
    <w:basedOn w:val="13"/>
    <w:link w:val="4"/>
    <w:uiPriority w:val="9"/>
    <w:rPr>
      <w:rFonts w:ascii="仿宋_GB2312" w:hAnsi="Calibri" w:eastAsia="仿宋_GB2312" w:cs="Times New Roman"/>
      <w:sz w:val="30"/>
      <w:szCs w:val="30"/>
    </w:rPr>
  </w:style>
  <w:style w:type="character" w:customStyle="1" w:styleId="26">
    <w:name w:val="页眉 Char Char"/>
    <w:basedOn w:val="13"/>
    <w:link w:val="9"/>
    <w:uiPriority w:val="99"/>
    <w:rPr>
      <w:sz w:val="18"/>
      <w:szCs w:val="18"/>
    </w:rPr>
  </w:style>
  <w:style w:type="character" w:customStyle="1" w:styleId="27">
    <w:name w:val="页脚 Char Char"/>
    <w:basedOn w:val="13"/>
    <w:link w:val="8"/>
    <w:uiPriority w:val="99"/>
    <w:rPr>
      <w:sz w:val="18"/>
      <w:szCs w:val="18"/>
    </w:rPr>
  </w:style>
  <w:style w:type="character" w:customStyle="1" w:styleId="28">
    <w:name w:val="批注框文本 Char Char"/>
    <w:basedOn w:val="13"/>
    <w:link w:val="7"/>
    <w:uiPriority w:val="0"/>
    <w:rPr>
      <w:sz w:val="18"/>
      <w:szCs w:val="18"/>
    </w:rPr>
  </w:style>
  <w:style w:type="character" w:customStyle="1" w:styleId="29">
    <w:name w:val="批注框文本 Char1"/>
    <w:basedOn w:val="13"/>
    <w:semiHidden/>
    <w:uiPriority w:val="99"/>
    <w:rPr>
      <w:sz w:val="18"/>
      <w:szCs w:val="18"/>
    </w:rPr>
  </w:style>
  <w:style w:type="character" w:customStyle="1" w:styleId="30">
    <w:name w:val="HTML 预设格式 Char Char"/>
    <w:basedOn w:val="13"/>
    <w:link w:val="11"/>
    <w:uiPriority w:val="99"/>
    <w:rPr>
      <w:rFonts w:ascii="宋体" w:hAnsi="宋体" w:eastAsia="宋体" w:cs="宋体"/>
      <w:kern w:val="0"/>
      <w:sz w:val="24"/>
      <w:szCs w:val="24"/>
    </w:rPr>
  </w:style>
  <w:style w:type="character" w:customStyle="1" w:styleId="31">
    <w:name w:val="批注文字 Char Char"/>
    <w:basedOn w:val="13"/>
    <w:link w:val="6"/>
    <w:uiPriority w:val="99"/>
    <w:rPr>
      <w:rFonts w:ascii="Calibri" w:hAnsi="Calibri" w:eastAsia="宋体" w:cs="Times New Roman"/>
    </w:rPr>
  </w:style>
  <w:style w:type="character" w:customStyle="1" w:styleId="32">
    <w:name w:val="脚注文本 Char Char"/>
    <w:basedOn w:val="13"/>
    <w:link w:val="10"/>
    <w:uiPriority w:val="0"/>
    <w:rPr>
      <w:rFonts w:ascii="Times New Roman" w:hAnsi="Times New Roman"/>
      <w:sz w:val="18"/>
      <w:szCs w:val="18"/>
    </w:rPr>
  </w:style>
  <w:style w:type="character" w:customStyle="1" w:styleId="33">
    <w:name w:val="标题 4 Char Char"/>
    <w:qFormat/>
    <w:uiPriority w:val="0"/>
    <w:rPr>
      <w:rFonts w:ascii="Calibri" w:hAnsi="Calibri"/>
      <w:b/>
      <w:bCs/>
      <w:sz w:val="28"/>
      <w:szCs w:val="28"/>
      <w:lang w:eastAsia="en-US" w:bidi="en-US"/>
    </w:rPr>
  </w:style>
  <w:style w:type="character" w:customStyle="1" w:styleId="34">
    <w:name w:val="文档结构图 Char Char"/>
    <w:basedOn w:val="13"/>
    <w:link w:val="5"/>
    <w:uiPriority w:val="0"/>
    <w:rPr>
      <w:rFonts w:ascii="宋体"/>
      <w:sz w:val="18"/>
      <w:szCs w:val="18"/>
    </w:rPr>
  </w:style>
  <w:style w:type="character" w:customStyle="1" w:styleId="35">
    <w:name w:val="Intense Emphasis"/>
    <w:basedOn w:val="13"/>
    <w:qFormat/>
    <w:uiPriority w:val="21"/>
    <w:rPr>
      <w:b/>
      <w:bCs/>
      <w:i/>
      <w:iCs/>
      <w:color w:val="4F81BD"/>
    </w:rPr>
  </w:style>
  <w:style w:type="character" w:customStyle="1" w:styleId="36">
    <w:name w:val="文档结构图 Char1"/>
    <w:basedOn w:val="13"/>
    <w:semiHidden/>
    <w:qFormat/>
    <w:uiPriority w:val="99"/>
    <w:rPr>
      <w:rFonts w:ascii="宋体" w:eastAsia="宋体"/>
      <w:sz w:val="18"/>
      <w:szCs w:val="18"/>
    </w:rPr>
  </w:style>
  <w:style w:type="character" w:customStyle="1" w:styleId="37">
    <w:name w:val="脚注文本 Char2"/>
    <w:basedOn w:val="13"/>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408</Words>
  <Characters>2331</Characters>
  <Lines>19</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2020-03-17T01:49:00Z</dcterms:created>
  <dc:creator>朱敏1</dc:creator>
  <cp:lastModifiedBy>杜鑫/外汇管理处/银川/PBC</cp:lastModifiedBy>
  <cp:lastPrinted>2021-04-25T12:32:00Z</cp:lastPrinted>
  <dcterms:modified xsi:type="dcterms:W3CDTF">2021-04-27T09:16:34Z</dcterms:modified>
  <dc:title>编号：57006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