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11 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</w:t>
      </w:r>
      <w:r>
        <w:rPr>
          <w:rFonts w:hint="eastAsia" w:ascii="Times New Roman" w:hAnsi="Times New Roman" w:eastAsia="黑体" w:cs="Times New Roman"/>
          <w:sz w:val="52"/>
          <w:szCs w:val="52"/>
        </w:rPr>
        <w:t>汇出境外的</w:t>
      </w:r>
      <w:r>
        <w:rPr>
          <w:rFonts w:ascii="Times New Roman" w:hAnsi="Times New Roman" w:eastAsia="黑体" w:cs="Times New Roman"/>
          <w:sz w:val="52"/>
          <w:szCs w:val="52"/>
        </w:rPr>
        <w:t>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五）</w:t>
      </w:r>
      <w:r>
        <w:rPr>
          <w:rFonts w:ascii="Times New Roman" w:hAnsi="Times New Roman" w:eastAsia="黑体" w:cs="Times New Roman"/>
          <w:sz w:val="30"/>
          <w:szCs w:val="30"/>
        </w:rPr>
        <w:t>咨询途径</w:t>
      </w:r>
    </w:p>
    <w:p>
      <w:pPr>
        <w:adjustRightInd w:val="0"/>
        <w:snapToGrid w:val="0"/>
        <w:spacing w:line="360" w:lineRule="auto"/>
        <w:ind w:firstLine="585"/>
        <w:jc w:val="left"/>
        <w:outlineLvl w:val="0"/>
        <w:rPr>
          <w:rFonts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（一）咨询窗口：国家外汇管理局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宁夏回族自治区分局外汇处。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（二）咨询电话：（0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951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5189608。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）咨询信件邮寄地址：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外汇管理处</w:t>
      </w:r>
      <w:r>
        <w:rPr>
          <w:rFonts w:ascii="Times New Roman" w:hAnsi="Times New Roman" w:eastAsia="仿宋_GB2312" w:cs="Times New Roman"/>
          <w:sz w:val="30"/>
          <w:szCs w:val="30"/>
        </w:rPr>
        <w:t>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750001。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六）</w:t>
      </w:r>
      <w:r>
        <w:rPr>
          <w:rFonts w:ascii="Times New Roman" w:hAnsi="Times New Roman" w:eastAsia="黑体" w:cs="Times New Roman"/>
          <w:sz w:val="30"/>
          <w:szCs w:val="30"/>
        </w:rPr>
        <w:t>监督和投诉渠道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网站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/ningxia/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投诉建议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栏目进行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也可通过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网站公布的电话进行。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（十七）</w:t>
      </w:r>
      <w:r>
        <w:rPr>
          <w:rFonts w:ascii="Times New Roman" w:hAnsi="Times New Roman" w:eastAsia="黑体" w:cs="Times New Roman"/>
          <w:sz w:val="30"/>
          <w:szCs w:val="30"/>
        </w:rPr>
        <w:t>办公地址和时间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（一）办公地址。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外汇管理处</w:t>
      </w:r>
      <w:r>
        <w:rPr>
          <w:rFonts w:ascii="Times New Roman" w:hAnsi="Times New Roman" w:eastAsia="仿宋_GB2312" w:cs="Times New Roman"/>
          <w:sz w:val="30"/>
          <w:szCs w:val="30"/>
        </w:rPr>
        <w:t>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750001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（二）办公时间。周一至周五，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夏季上午08:30到12:00,下午14:30到18:00；冬季上午08:30到12:00,下午14:00到17:30；周六、周日及法定节假日不对外办理业务。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（三）乘车路线。公交车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（十八）</w:t>
      </w:r>
      <w:r>
        <w:rPr>
          <w:rFonts w:ascii="Times New Roman" w:hAnsi="Times New Roman" w:eastAsia="黑体" w:cs="Times New Roman"/>
          <w:sz w:val="30"/>
          <w:szCs w:val="30"/>
        </w:rPr>
        <w:t>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办理时限结束之日后，申请人可通过电话查询。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8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9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0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1" type="#_x0000_t32" style="position:absolute;left:5729;top:10693;height:626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2" type="#_x0000_t32" style="position:absolute;left:7678;top:12568;height:109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3" type="#_x0000_t32" style="position:absolute;left:3705;top:12568;height:103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4" type="#_x0000_t32" style="position:absolute;left:5730;top:11853;height:715;width: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5" type="#_x0000_t32" style="position:absolute;left:3706;top:12568;height:0;width:3972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5" o:spid="_x0000_s1036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7" type="#_x0000_t32" style="position:absolute;left:7240;top:9566;height:608;width:0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7" o:spid="_x0000_s1038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9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40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1" type="#_x0000_t32" style="position:absolute;left:7240;top:7472;height:378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2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3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4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6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8" type="#_x0000_t32" style="position:absolute;left:5010;top:6910;height:0;width:931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9" type="#_x0000_t32" style="position:absolute;left:2702;top:6986;height:3437;width:1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9" o:spid="_x0000_s1050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1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2" type="#_x0000_t32" style="position:absolute;left:4205;top:5967;height:0;width:771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3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4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5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6" type="#_x0000_t32" style="position:absolute;left:5010;top:4999;height:1921;width: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7" type="#_x0000_t32" style="position:absolute;left:5010;top:4989;height:1;width:90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8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0" type="#_x0000_t32" style="position:absolute;left:8983;top:4886;flip:x y;height:2;width:1302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3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杜鑫/外汇管理处/银川/PBC</cp:lastModifiedBy>
  <cp:lastPrinted>2021-04-25T12:53:00Z</cp:lastPrinted>
  <dcterms:modified xsi:type="dcterms:W3CDTF">2021-04-27T09:20:39Z</dcterms:modified>
  <dc:title>编号：57011 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