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非银行债务人非资金划转类提款、还本付息备案</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4.《中国人民银行关于全口径跨境融资宏观审慎管理有关事宜的通知》（银发〔2017〕9号）。</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仿宋_GB2312" w:eastAsia="仿宋_GB2312" w:cs="Times New Roman"/>
          <w:sz w:val="30"/>
          <w:szCs w:val="30"/>
        </w:rPr>
        <w:t>无数量限制，按全口径跨境融资宏观审慎或</w:t>
      </w:r>
      <w:r>
        <w:rPr>
          <w:rFonts w:ascii="Times New Roman" w:hAnsi="Times New Roman" w:eastAsia="仿宋_GB2312" w:cs="Times New Roman"/>
          <w:sz w:val="30"/>
          <w:szCs w:val="30"/>
        </w:rPr>
        <w:t>“</w:t>
      </w:r>
      <w:r>
        <w:rPr>
          <w:rFonts w:ascii="Times New Roman" w:hAnsi="仿宋_GB2312" w:eastAsia="仿宋_GB2312" w:cs="Times New Roman"/>
          <w:sz w:val="30"/>
          <w:szCs w:val="30"/>
        </w:rPr>
        <w:t>投注差</w:t>
      </w:r>
      <w:r>
        <w:rPr>
          <w:rFonts w:ascii="Times New Roman" w:hAnsi="Times New Roman" w:eastAsia="仿宋_GB2312" w:cs="Times New Roman"/>
          <w:sz w:val="30"/>
          <w:szCs w:val="30"/>
        </w:rPr>
        <w:t>”</w:t>
      </w:r>
      <w:r>
        <w:rPr>
          <w:rFonts w:ascii="Times New Roman" w:hAnsi="仿宋_GB2312" w:eastAsia="仿宋_GB2312" w:cs="Times New Roman"/>
          <w:sz w:val="30"/>
          <w:szCs w:val="30"/>
        </w:rPr>
        <w:t>模式管理。</w:t>
      </w:r>
    </w:p>
    <w:p>
      <w:pPr>
        <w:adjustRightInd w:val="0"/>
        <w:snapToGrid w:val="0"/>
        <w:spacing w:line="360" w:lineRule="auto"/>
        <w:outlineLvl w:val="0"/>
        <w:rPr>
          <w:rFonts w:ascii="Times New Roman" w:hAnsi="Times New Roman" w:eastAsia="黑体" w:cs="Times New Roman"/>
          <w:sz w:val="30"/>
          <w:szCs w:val="30"/>
        </w:rPr>
      </w:pPr>
      <w:r>
        <w:rPr>
          <w:rFonts w:ascii="Times New Roman" w:hAnsi="Times New Roman" w:eastAsia="黑体" w:cs="Times New Roman"/>
          <w:sz w:val="30"/>
          <w:szCs w:val="30"/>
        </w:rPr>
        <w:t xml:space="preserve">    （五）办事条件</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非资金划转类提款是指非银行债务人外债提款额或外债本金余额发生变动，但未通过境内银行办理收款从而无法向资本项目信息系统反馈外债提款信息的情形。</w:t>
      </w:r>
    </w:p>
    <w:p>
      <w:pPr>
        <w:widowControl/>
        <w:numPr>
          <w:ilvl w:val="0"/>
          <w:numId w:val="3"/>
        </w:num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非资金划转类还本付息是指非银行债务人外债还款额或外债本金余额发生变动，但未通过境内银行办理付款从而无法向资本项目信息系统反馈外债还款信息的情形。</w:t>
      </w:r>
    </w:p>
    <w:p>
      <w:pPr>
        <w:pStyle w:val="16"/>
        <w:numPr>
          <w:ilvl w:val="0"/>
          <w:numId w:val="3"/>
        </w:numPr>
        <w:adjustRightInd w:val="0"/>
        <w:snapToGrid w:val="0"/>
        <w:spacing w:line="360" w:lineRule="auto"/>
        <w:ind w:firstLineChars="0"/>
        <w:rPr>
          <w:rFonts w:ascii="Times New Roman" w:hAnsi="Times New Roman" w:eastAsia="仿宋_GB2312" w:cs="Times New Roman"/>
          <w:sz w:val="30"/>
          <w:szCs w:val="30"/>
        </w:rPr>
      </w:pPr>
      <w:r>
        <w:rPr>
          <w:rFonts w:ascii="Times New Roman" w:hAnsi="Times New Roman" w:eastAsia="仿宋_GB2312" w:cs="Times New Roman"/>
          <w:sz w:val="30"/>
          <w:szCs w:val="30"/>
        </w:rPr>
        <w:t>非银行债务人发生非资金划转类提款交易和非资金划转类还本付息交易的，应在提款发生后5个工作日内，到所在地外汇局办理逐笔提款备案。</w:t>
      </w:r>
    </w:p>
    <w:p>
      <w:pPr>
        <w:pStyle w:val="16"/>
        <w:numPr>
          <w:ilvl w:val="0"/>
          <w:numId w:val="3"/>
        </w:num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禁止性要求：如符合上述条件，不存在不予许可的情况。</w:t>
      </w:r>
    </w:p>
    <w:p>
      <w:pPr>
        <w:pStyle w:val="16"/>
        <w:adjustRightInd w:val="0"/>
        <w:snapToGrid w:val="0"/>
        <w:spacing w:line="360" w:lineRule="auto"/>
        <w:ind w:left="600" w:firstLine="0" w:firstLineChars="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非银行债务人办理非资金划转类提款备案申请材料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4"/>
        <w:gridCol w:w="992"/>
        <w:gridCol w:w="567"/>
        <w:gridCol w:w="851"/>
        <w:gridCol w:w="567"/>
        <w:gridCol w:w="759"/>
      </w:tblGrid>
      <w:tr>
        <w:tc>
          <w:tcPr>
            <w:tcW w:w="53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378" w:hRule="atLeast"/>
        </w:trPr>
        <w:tc>
          <w:tcPr>
            <w:tcW w:w="53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kern w:val="0"/>
                <w:sz w:val="24"/>
                <w:szCs w:val="24"/>
              </w:rPr>
              <w:t>非银行债务人非资金划转类提款真实性证明材料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widowControl/>
        <w:ind w:firstLine="300" w:firstLineChars="1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2.非银行债务人办理非资金划转类还本付息备案申请材料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4702"/>
        <w:gridCol w:w="751"/>
        <w:gridCol w:w="487"/>
        <w:gridCol w:w="560"/>
        <w:gridCol w:w="487"/>
        <w:gridCol w:w="1049"/>
      </w:tblGrid>
      <w:tr>
        <w:tc>
          <w:tcPr>
            <w:tcW w:w="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7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7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5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8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04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969" w:hRule="atLeast"/>
        </w:trPr>
        <w:tc>
          <w:tcPr>
            <w:tcW w:w="486"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70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书面申请 </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1049" w:type="dxa"/>
            <w:vAlign w:val="center"/>
          </w:tcPr>
          <w:p>
            <w:pPr>
              <w:jc w:val="left"/>
              <w:rPr>
                <w:rFonts w:ascii="Times New Roman" w:hAnsi="Times New Roman" w:eastAsia="仿宋_GB2312" w:cs="Times New Roman"/>
                <w:sz w:val="24"/>
                <w:szCs w:val="24"/>
              </w:rPr>
            </w:pPr>
          </w:p>
        </w:tc>
      </w:tr>
      <w:tr>
        <w:trPr>
          <w:trHeight w:val="378" w:hRule="atLeast"/>
        </w:trPr>
        <w:tc>
          <w:tcPr>
            <w:tcW w:w="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702"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kern w:val="0"/>
                <w:sz w:val="24"/>
                <w:szCs w:val="24"/>
              </w:rPr>
              <w:t>非银行债务人非资金划转类还本付息真实性证明材料</w:t>
            </w:r>
          </w:p>
        </w:tc>
        <w:tc>
          <w:tcPr>
            <w:tcW w:w="7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8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56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87" w:type="dxa"/>
            <w:vAlign w:val="center"/>
          </w:tcPr>
          <w:p>
            <w:pPr>
              <w:jc w:val="left"/>
              <w:rPr>
                <w:rFonts w:ascii="Times New Roman" w:hAnsi="Times New Roman" w:eastAsia="仿宋_GB2312" w:cs="Times New Roman"/>
                <w:sz w:val="24"/>
                <w:szCs w:val="24"/>
              </w:rPr>
            </w:pPr>
          </w:p>
        </w:tc>
        <w:tc>
          <w:tcPr>
            <w:tcW w:w="1049" w:type="dxa"/>
            <w:vAlign w:val="center"/>
          </w:tcPr>
          <w:p>
            <w:pPr>
              <w:adjustRightInd w:val="0"/>
              <w:snapToGrid w:val="0"/>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spacing w:line="360" w:lineRule="auto"/>
        <w:ind w:firstLine="600" w:firstLineChars="200"/>
        <w:outlineLvl w:val="0"/>
        <w:rPr>
          <w:rFonts w:ascii="Times New Roman" w:hAnsi="Times New Roman" w:eastAsia="黑体" w:cs="Times New Roman"/>
          <w:sz w:val="30"/>
          <w:szCs w:val="30"/>
        </w:rPr>
      </w:pPr>
    </w:p>
    <w:p>
      <w:pPr>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spacing w:line="360" w:lineRule="auto"/>
        <w:ind w:firstLine="900" w:firstLineChars="3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ind w:right="3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0.9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附录二            </w:t>
      </w:r>
    </w:p>
    <w:p>
      <w:pPr>
        <w:jc w:val="center"/>
        <w:rPr>
          <w:rFonts w:ascii="Times New Roman" w:hAnsi="黑体" w:eastAsia="黑体" w:cs="Times New Roman"/>
          <w:kern w:val="0"/>
          <w:sz w:val="30"/>
          <w:szCs w:val="30"/>
        </w:rPr>
      </w:pPr>
      <w:r>
        <w:rPr>
          <w:rFonts w:ascii="Times New Roman" w:hAnsi="黑体" w:eastAsia="黑体" w:cs="Times New Roman"/>
          <w:kern w:val="0"/>
          <w:sz w:val="30"/>
          <w:szCs w:val="30"/>
        </w:rPr>
        <w:t>常见问题</w:t>
      </w:r>
    </w:p>
    <w:p>
      <w:pPr>
        <w:jc w:val="center"/>
        <w:rPr>
          <w:rFonts w:ascii="Times New Roman" w:hAnsi="Times New Roman" w:eastAsia="黑体" w:cs="Times New Roman"/>
          <w:kern w:val="0"/>
          <w:sz w:val="30"/>
          <w:szCs w:val="30"/>
        </w:rPr>
      </w:pPr>
    </w:p>
    <w:p>
      <w:pPr>
        <w:ind w:firstLine="750" w:firstLineChars="25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w:t>
      </w:r>
      <w:r>
        <w:rPr>
          <w:rFonts w:hint="eastAsia" w:ascii="Times New Roman" w:hAnsi="Times New Roman" w:eastAsia="仿宋_GB2312" w:cs="Times New Roman"/>
          <w:kern w:val="0"/>
          <w:sz w:val="30"/>
          <w:szCs w:val="30"/>
        </w:rPr>
        <w:t>我</w:t>
      </w:r>
      <w:r>
        <w:rPr>
          <w:rFonts w:ascii="Times New Roman" w:hAnsi="Times New Roman" w:eastAsia="仿宋_GB2312" w:cs="Times New Roman"/>
          <w:kern w:val="0"/>
          <w:sz w:val="30"/>
          <w:szCs w:val="30"/>
        </w:rPr>
        <w:t>公司境外发债资金如果留存境外需要办理什么手续？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w:t>
      </w:r>
      <w:r>
        <w:rPr>
          <w:rFonts w:hint="eastAsia" w:ascii="Times New Roman" w:hAnsi="Times New Roman" w:eastAsia="仿宋_GB2312" w:cs="Times New Roman"/>
          <w:kern w:val="0"/>
          <w:sz w:val="30"/>
          <w:szCs w:val="30"/>
        </w:rPr>
        <w:t>非银行机构借用外债或对外发行债券的，原则上应将所涉资金调回境内使用。境内非银行机构境外发债募集资金境外使用，应符合现行外汇管理及相关法律法规要求，</w:t>
      </w:r>
      <w:r>
        <w:rPr>
          <w:rFonts w:ascii="Times New Roman" w:hAnsi="Times New Roman" w:eastAsia="仿宋_GB2312" w:cs="Times New Roman"/>
          <w:kern w:val="0"/>
          <w:sz w:val="30"/>
          <w:szCs w:val="30"/>
        </w:rPr>
        <w:t>并应在境外债券交割日起</w:t>
      </w:r>
      <w:r>
        <w:rPr>
          <w:rFonts w:hint="eastAsia" w:ascii="Times New Roman" w:hAnsi="Times New Roman" w:eastAsia="仿宋_GB2312" w:cs="Times New Roman"/>
          <w:kern w:val="0"/>
          <w:sz w:val="30"/>
          <w:szCs w:val="30"/>
        </w:rPr>
        <w:t>1</w:t>
      </w:r>
      <w:r>
        <w:rPr>
          <w:rFonts w:ascii="Times New Roman" w:hAnsi="Times New Roman" w:eastAsia="仿宋_GB2312" w:cs="Times New Roman"/>
          <w:kern w:val="0"/>
          <w:sz w:val="30"/>
          <w:szCs w:val="30"/>
        </w:rPr>
        <w:t>5个工作日内，到所在地外汇局办理外债签约登记时，一并办理非资金划转类提款备案。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2.问：我公司计划将已借入外债资金转为股东投资，需要办理什么手续？</w:t>
      </w:r>
    </w:p>
    <w:p>
      <w:pPr>
        <w:rPr>
          <w:rFonts w:ascii="Times New Roman" w:hAnsi="Times New Roman" w:cs="Times New Roman"/>
        </w:rPr>
      </w:pPr>
      <w:r>
        <w:rPr>
          <w:rFonts w:ascii="Times New Roman" w:hAnsi="Times New Roman" w:eastAsia="仿宋_GB2312" w:cs="Times New Roman"/>
          <w:kern w:val="0"/>
          <w:sz w:val="30"/>
          <w:szCs w:val="30"/>
        </w:rPr>
        <w:t xml:space="preserve">    答：需要</w:t>
      </w:r>
      <w:r>
        <w:rPr>
          <w:rFonts w:hint="eastAsia" w:ascii="Times New Roman" w:hAnsi="Times New Roman" w:eastAsia="仿宋_GB2312" w:cs="Times New Roman"/>
          <w:kern w:val="0"/>
          <w:sz w:val="30"/>
          <w:szCs w:val="30"/>
        </w:rPr>
        <w:t>按规定</w:t>
      </w:r>
      <w:r>
        <w:rPr>
          <w:rFonts w:ascii="Times New Roman" w:hAnsi="Times New Roman" w:eastAsia="仿宋_GB2312" w:cs="Times New Roman"/>
          <w:kern w:val="0"/>
          <w:sz w:val="30"/>
          <w:szCs w:val="30"/>
        </w:rPr>
        <w:t>办理外债非资金划转还本付息备案。</w:t>
      </w:r>
    </w:p>
    <w:sectPr>
      <w:footerReference r:id="rId4" w:type="default"/>
      <w:pgSz w:w="11906" w:h="16838"/>
      <w:pgMar w:top="1440" w:right="1800" w:bottom="1440" w:left="1800" w:header="851" w:footer="992" w:gutter="0"/>
      <w:pgNumType w:start="1"/>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347561">
    <w:nsid w:val="5A155569"/>
    <w:multiLevelType w:val="singleLevel"/>
    <w:tmpl w:val="5A155569"/>
    <w:lvl w:ilvl="0" w:tentative="1">
      <w:start w:val="1"/>
      <w:numFmt w:val="decimal"/>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 w:numId="3">
    <w:abstractNumId w:val="15113475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4"/>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5"/>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4"/>
    <w:unhideWhenUsed/>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uiPriority w:val="0"/>
    <w:pPr>
      <w:widowControl/>
    </w:pPr>
    <w:rPr>
      <w:rFonts w:ascii="Calibri" w:hAnsi="Calibri" w:eastAsia="宋体" w:cs="宋体"/>
      <w:kern w:val="0"/>
      <w:szCs w:val="21"/>
    </w:rPr>
  </w:style>
  <w:style w:type="character" w:customStyle="1" w:styleId="23">
    <w:name w:val="标题 1 Char Char"/>
    <w:basedOn w:val="13"/>
    <w:link w:val="2"/>
    <w:uiPriority w:val="9"/>
    <w:rPr>
      <w:rFonts w:ascii="黑体" w:hAnsi="黑体" w:eastAsia="黑体" w:cs="宋体"/>
      <w:color w:val="000000"/>
      <w:kern w:val="0"/>
      <w:sz w:val="30"/>
      <w:szCs w:val="30"/>
    </w:rPr>
  </w:style>
  <w:style w:type="character" w:customStyle="1" w:styleId="24">
    <w:name w:val="标题 2 Char Char"/>
    <w:basedOn w:val="13"/>
    <w:link w:val="3"/>
    <w:uiPriority w:val="9"/>
    <w:rPr>
      <w:rFonts w:ascii="Cambria" w:hAnsi="Cambria" w:eastAsia="宋体" w:cs="Times New Roman"/>
      <w:b/>
      <w:bCs/>
      <w:sz w:val="32"/>
      <w:szCs w:val="32"/>
    </w:rPr>
  </w:style>
  <w:style w:type="character" w:customStyle="1" w:styleId="25">
    <w:name w:val="标题 3 Char Char"/>
    <w:basedOn w:val="13"/>
    <w:link w:val="4"/>
    <w:uiPriority w:val="9"/>
    <w:rPr>
      <w:rFonts w:ascii="仿宋_GB2312" w:hAnsi="Calibri" w:eastAsia="仿宋_GB2312" w:cs="Times New Roman"/>
      <w:sz w:val="30"/>
      <w:szCs w:val="30"/>
    </w:rPr>
  </w:style>
  <w:style w:type="character" w:customStyle="1" w:styleId="26">
    <w:name w:val="页眉 Char Char"/>
    <w:basedOn w:val="13"/>
    <w:link w:val="9"/>
    <w:uiPriority w:val="99"/>
    <w:rPr>
      <w:sz w:val="18"/>
      <w:szCs w:val="18"/>
    </w:rPr>
  </w:style>
  <w:style w:type="character" w:customStyle="1" w:styleId="27">
    <w:name w:val="页脚 Char Char"/>
    <w:basedOn w:val="13"/>
    <w:link w:val="8"/>
    <w:uiPriority w:val="99"/>
    <w:rPr>
      <w:sz w:val="18"/>
      <w:szCs w:val="18"/>
    </w:rPr>
  </w:style>
  <w:style w:type="character" w:customStyle="1" w:styleId="28">
    <w:name w:val="批注框文本 Char Char"/>
    <w:basedOn w:val="13"/>
    <w:link w:val="7"/>
    <w:uiPriority w:val="0"/>
    <w:rPr>
      <w:sz w:val="18"/>
      <w:szCs w:val="18"/>
    </w:rPr>
  </w:style>
  <w:style w:type="character" w:customStyle="1" w:styleId="29">
    <w:name w:val="批注框文本 Char1"/>
    <w:basedOn w:val="13"/>
    <w:semiHidden/>
    <w:uiPriority w:val="99"/>
    <w:rPr>
      <w:sz w:val="18"/>
      <w:szCs w:val="18"/>
    </w:rPr>
  </w:style>
  <w:style w:type="character" w:customStyle="1" w:styleId="30">
    <w:name w:val="HTML 预设格式 Char Char"/>
    <w:basedOn w:val="13"/>
    <w:link w:val="11"/>
    <w:uiPriority w:val="99"/>
    <w:rPr>
      <w:rFonts w:ascii="宋体" w:hAnsi="宋体" w:eastAsia="宋体" w:cs="宋体"/>
      <w:kern w:val="0"/>
      <w:sz w:val="24"/>
      <w:szCs w:val="24"/>
    </w:rPr>
  </w:style>
  <w:style w:type="character" w:customStyle="1" w:styleId="31">
    <w:name w:val="批注文字 Char Char"/>
    <w:basedOn w:val="13"/>
    <w:link w:val="6"/>
    <w:uiPriority w:val="99"/>
    <w:rPr>
      <w:rFonts w:ascii="Calibri" w:hAnsi="Calibri" w:eastAsia="宋体" w:cs="Times New Roman"/>
    </w:rPr>
  </w:style>
  <w:style w:type="character" w:customStyle="1" w:styleId="32">
    <w:name w:val="脚注文本 Char Char"/>
    <w:basedOn w:val="13"/>
    <w:link w:val="10"/>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Char"/>
    <w:basedOn w:val="13"/>
    <w:link w:val="5"/>
    <w:uiPriority w:val="0"/>
    <w:rPr>
      <w:rFonts w:ascii="宋体"/>
      <w:sz w:val="18"/>
      <w:szCs w:val="18"/>
    </w:rPr>
  </w:style>
  <w:style w:type="character" w:customStyle="1" w:styleId="35">
    <w:name w:val="Intense Emphasis"/>
    <w:basedOn w:val="13"/>
    <w:qFormat/>
    <w:uiPriority w:val="21"/>
    <w:rPr>
      <w:b/>
      <w:bCs/>
      <w:i/>
      <w:iCs/>
      <w:color w:val="4F81BD"/>
    </w:rPr>
  </w:style>
  <w:style w:type="character" w:customStyle="1" w:styleId="36">
    <w:name w:val="文档结构图 Char1"/>
    <w:basedOn w:val="13"/>
    <w:semiHidden/>
    <w:qFormat/>
    <w:uiPriority w:val="99"/>
    <w:rPr>
      <w:rFonts w:ascii="宋体" w:eastAsia="宋体"/>
      <w:sz w:val="18"/>
      <w:szCs w:val="18"/>
    </w:rPr>
  </w:style>
  <w:style w:type="character" w:customStyle="1" w:styleId="37">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376</Words>
  <Characters>2144</Characters>
  <Lines>17</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杜鑫/外汇管理处/银川/PBC</cp:lastModifiedBy>
  <cp:lastPrinted>2021-04-25T12:38:00Z</cp:lastPrinted>
  <dcterms:modified xsi:type="dcterms:W3CDTF">2021-04-27T09:17:34Z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