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宁夏回族自治区分局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四、境内公司境外上市或发行境外存托凭证登记及变更、注销登记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2.《国家外汇管理局关于境外上市外汇管理有关问题的通知》（汇发〔2014〕54号）。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3.《H股公司境内未上市股份申请“全流通”业务指引》（证监会公告〔201</w:t>
      </w:r>
      <w:r>
        <w:rPr>
          <w:rFonts w:hint="eastAsia" w:ascii="Times New Roman" w:hAnsi="Times New Roman" w:eastAsia="仿宋_GB2312" w:cs="Times New Roman"/>
          <w:sz w:val="30"/>
          <w:szCs w:val="30"/>
        </w:rPr>
        <w:t>9</w:t>
      </w:r>
      <w:r>
        <w:rPr>
          <w:rFonts w:ascii="Times New Roman" w:hAnsi="Times New Roman" w:eastAsia="仿宋_GB2312" w:cs="Times New Roman"/>
          <w:sz w:val="30"/>
          <w:szCs w:val="30"/>
        </w:rPr>
        <w:t>〕22号）。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 《存托凭证跨境资金管理办法（试行）》（中国人民银行 国家外汇管理局公告〔201</w:t>
      </w:r>
      <w:r>
        <w:rPr>
          <w:rFonts w:hint="eastAsia" w:ascii="Times New Roman" w:hAnsi="Times New Roman" w:eastAsia="仿宋_GB2312" w:cs="Times New Roman"/>
          <w:sz w:val="30"/>
          <w:szCs w:val="30"/>
        </w:rPr>
        <w:t>9</w:t>
      </w:r>
      <w:r>
        <w:rPr>
          <w:rFonts w:ascii="Times New Roman" w:hAnsi="Times New Roman" w:eastAsia="仿宋_GB2312" w:cs="Times New Roman"/>
          <w:sz w:val="30"/>
          <w:szCs w:val="30"/>
        </w:rPr>
        <w:t>〕第8号）。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境外上市发行股票（含优先股及股票派生形式证券）、可转换为股票的公司债券、存托凭证等法律法规允许的证券，并在境外证券交易所公开上市流通的境内公司。境内公司应在境外发行活动（含行使超额配售）结束之日起15个工作日内，到其所在地外汇局办理境外上市登记。</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w:t>
      </w:r>
      <w:r>
        <w:rPr>
          <w:rFonts w:hint="eastAsia" w:ascii="Times New Roman" w:hAnsi="Times New Roman" w:eastAsia="黑体" w:cs="Times New Roman"/>
          <w:sz w:val="30"/>
          <w:szCs w:val="30"/>
        </w:rPr>
        <w:t>.</w:t>
      </w:r>
      <w:r>
        <w:rPr>
          <w:rFonts w:ascii="Times New Roman" w:hAnsi="Times New Roman" w:eastAsia="黑体" w:cs="Times New Roman"/>
          <w:sz w:val="30"/>
          <w:szCs w:val="30"/>
        </w:rPr>
        <w:t>境内公司境外上市</w:t>
      </w:r>
      <w:r>
        <w:rPr>
          <w:rFonts w:hint="eastAsia" w:ascii="Times New Roman" w:hAnsi="Times New Roman" w:eastAsia="黑体" w:cs="Times New Roman"/>
          <w:sz w:val="30"/>
          <w:szCs w:val="30"/>
        </w:rPr>
        <w:t>或发行境外存托凭证</w:t>
      </w:r>
      <w:r>
        <w:rPr>
          <w:rFonts w:ascii="Times New Roman" w:hAnsi="Times New Roman" w:eastAsia="黑体" w:cs="Times New Roman"/>
          <w:sz w:val="30"/>
          <w:szCs w:val="30"/>
        </w:rPr>
        <w:t>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书面申请，并附《境外上市登记表》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中国证监会许可境内公司境外上市</w:t>
            </w:r>
            <w:r>
              <w:rPr>
                <w:rFonts w:hint="eastAsia" w:ascii="Times New Roman" w:hAnsi="Times New Roman" w:eastAsia="仿宋_GB2312" w:cs="Times New Roman"/>
                <w:kern w:val="0"/>
                <w:sz w:val="24"/>
                <w:szCs w:val="24"/>
              </w:rPr>
              <w:t>或发行境外存托凭证</w:t>
            </w:r>
            <w:r>
              <w:rPr>
                <w:rFonts w:ascii="Times New Roman" w:hAnsi="Times New Roman" w:eastAsia="仿宋_GB2312" w:cs="Times New Roman"/>
                <w:kern w:val="0"/>
                <w:sz w:val="24"/>
                <w:szCs w:val="24"/>
              </w:rPr>
              <w:t>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境外发行结束的公告文件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rPr>
          <w:trHeight w:val="1301" w:hRule="atLeast"/>
        </w:trP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国家外汇管理局关于境内投资者参与境外上市购付汇的批准文件（如有）</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right="-58"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w:t>
      </w:r>
      <w:r>
        <w:rPr>
          <w:rFonts w:hint="eastAsia" w:ascii="Times New Roman" w:hAnsi="Times New Roman" w:eastAsia="黑体" w:cs="Times New Roman"/>
          <w:sz w:val="30"/>
          <w:szCs w:val="30"/>
        </w:rPr>
        <w:t>.</w:t>
      </w:r>
      <w:r>
        <w:rPr>
          <w:rFonts w:ascii="Times New Roman" w:hAnsi="Times New Roman" w:eastAsia="黑体" w:cs="Times New Roman"/>
          <w:sz w:val="30"/>
          <w:szCs w:val="30"/>
        </w:rPr>
        <w:t>H</w:t>
      </w:r>
      <w:r>
        <w:rPr>
          <w:rFonts w:hint="eastAsia" w:ascii="Times New Roman" w:hAnsi="Times New Roman" w:eastAsia="黑体" w:cs="Times New Roman"/>
          <w:sz w:val="30"/>
          <w:szCs w:val="30"/>
        </w:rPr>
        <w:t>股</w:t>
      </w:r>
      <w:r>
        <w:rPr>
          <w:rFonts w:ascii="Times New Roman" w:hAnsi="Times New Roman" w:eastAsia="黑体" w:cs="Times New Roman"/>
          <w:sz w:val="30"/>
          <w:szCs w:val="30"/>
        </w:rPr>
        <w:t>“</w:t>
      </w:r>
      <w:r>
        <w:rPr>
          <w:rFonts w:hint="eastAsia" w:ascii="Times New Roman" w:hAnsi="Times New Roman" w:eastAsia="黑体" w:cs="Times New Roman"/>
          <w:sz w:val="30"/>
          <w:szCs w:val="30"/>
        </w:rPr>
        <w:t>全流通</w:t>
      </w:r>
      <w:r>
        <w:rPr>
          <w:rFonts w:ascii="Times New Roman" w:hAnsi="Times New Roman" w:eastAsia="黑体" w:cs="Times New Roman"/>
          <w:sz w:val="30"/>
          <w:szCs w:val="30"/>
        </w:rPr>
        <w:t>”</w:t>
      </w:r>
      <w:r>
        <w:rPr>
          <w:rFonts w:hint="eastAsia" w:ascii="Times New Roman" w:hAnsi="Times New Roman" w:eastAsia="黑体" w:cs="Times New Roman"/>
          <w:sz w:val="30"/>
          <w:szCs w:val="30"/>
        </w:rPr>
        <w:t>变更登记申请材料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书面申请，并附《境外上市登记表》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中国证监会批准参加</w:t>
            </w:r>
            <w:r>
              <w:rPr>
                <w:rFonts w:ascii="Times New Roman" w:hAnsi="Times New Roman" w:eastAsia="仿宋_GB2312" w:cs="Times New Roman"/>
                <w:kern w:val="0"/>
                <w:sz w:val="24"/>
                <w:szCs w:val="24"/>
              </w:rPr>
              <w:t>H</w:t>
            </w:r>
            <w:r>
              <w:rPr>
                <w:rFonts w:hint="eastAsia" w:ascii="Times New Roman" w:hAnsi="Times New Roman" w:eastAsia="仿宋_GB2312" w:cs="Times New Roman"/>
                <w:kern w:val="0"/>
                <w:sz w:val="24"/>
                <w:szCs w:val="24"/>
              </w:rPr>
              <w:t>股</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全流通</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业务的许可文件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境外上市公司关于开展</w:t>
            </w:r>
            <w:r>
              <w:rPr>
                <w:rFonts w:ascii="Times New Roman" w:hAnsi="Times New Roman" w:eastAsia="仿宋_GB2312" w:cs="Times New Roman"/>
                <w:kern w:val="0"/>
                <w:sz w:val="24"/>
                <w:szCs w:val="24"/>
              </w:rPr>
              <w:t>H</w:t>
            </w:r>
            <w:r>
              <w:rPr>
                <w:rFonts w:hint="eastAsia" w:ascii="Times New Roman" w:hAnsi="Times New Roman" w:eastAsia="仿宋_GB2312" w:cs="Times New Roman"/>
                <w:kern w:val="0"/>
                <w:sz w:val="24"/>
                <w:szCs w:val="24"/>
              </w:rPr>
              <w:t>股</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全流通</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业务的公告文件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bl>
    <w:p>
      <w:pPr>
        <w:ind w:right="-58"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3</w:t>
      </w:r>
      <w:r>
        <w:rPr>
          <w:rFonts w:hint="eastAsia" w:ascii="Times New Roman" w:hAnsi="Times New Roman" w:eastAsia="黑体" w:cs="Times New Roman"/>
          <w:sz w:val="30"/>
          <w:szCs w:val="30"/>
        </w:rPr>
        <w:t>.</w:t>
      </w:r>
      <w:r>
        <w:rPr>
          <w:rFonts w:ascii="Times New Roman" w:hAnsi="Times New Roman" w:eastAsia="黑体" w:cs="Times New Roman"/>
          <w:sz w:val="30"/>
          <w:szCs w:val="30"/>
        </w:rPr>
        <w:t>境内公司境外上市其他变更登记申请材料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书面申请，并附《境外上市登记表》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主管部门关于变更事项的相关批复或备案文件（如有）</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相关公告</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4</w:t>
      </w:r>
      <w:r>
        <w:rPr>
          <w:rFonts w:hint="eastAsia" w:ascii="Times New Roman" w:hAnsi="Times New Roman" w:eastAsia="黑体" w:cs="Times New Roman"/>
          <w:sz w:val="30"/>
          <w:szCs w:val="30"/>
        </w:rPr>
        <w:t>.</w:t>
      </w:r>
      <w:r>
        <w:rPr>
          <w:rFonts w:ascii="Times New Roman" w:hAnsi="Times New Roman" w:eastAsia="黑体" w:cs="Times New Roman"/>
          <w:sz w:val="30"/>
          <w:szCs w:val="30"/>
        </w:rPr>
        <w:t>境内公司境外上市注销登记申请材料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w:t>
            </w:r>
            <w:r>
              <w:rPr>
                <w:rFonts w:ascii="Times New Roman" w:hAnsi="Times New Roman" w:eastAsia="仿宋_GB2312" w:cs="Times New Roman"/>
                <w:color w:val="000000"/>
                <w:sz w:val="24"/>
                <w:szCs w:val="24"/>
              </w:rPr>
              <w:t>，并附</w:t>
            </w:r>
            <w:r>
              <w:rPr>
                <w:rFonts w:ascii="Times New Roman" w:hAnsi="Times New Roman" w:eastAsia="仿宋_GB2312" w:cs="Times New Roman"/>
                <w:kern w:val="0"/>
                <w:sz w:val="24"/>
                <w:szCs w:val="24"/>
              </w:rPr>
              <w:t>《境外上市登记表》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退市公告</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sz w:val="24"/>
                <w:szCs w:val="24"/>
              </w:rPr>
              <w:t>主管部门关于注销事项的相关批复或备案文件（如有）</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540" w:lineRule="exact"/>
        <w:ind w:firstLine="600" w:firstLineChars="200"/>
        <w:rPr>
          <w:rFonts w:ascii="Times New Roman" w:hAnsi="Times New Roman" w:eastAsia="黑体" w:cs="Times New Roman"/>
          <w:sz w:val="30"/>
          <w:szCs w:val="30"/>
        </w:rPr>
      </w:pP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54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rPr>
        <w:t>申请人可通过所在地外汇局业务窗口</w:t>
      </w:r>
      <w:r>
        <w:rPr>
          <w:rFonts w:hint="eastAsia" w:ascii="Times New Roman" w:hAnsi="Times New Roman" w:eastAsia="仿宋_GB2312" w:cs="Times New Roman"/>
          <w:sz w:val="30"/>
          <w:szCs w:val="30"/>
          <w:highlight w:val="none"/>
        </w:rPr>
        <w:t>或国家外汇管理局政务服务网上办理系统</w:t>
      </w:r>
      <w:r>
        <w:rPr>
          <w:rFonts w:ascii="Times New Roman" w:hAnsi="Times New Roman" w:eastAsia="仿宋_GB2312" w:cs="Times New Roman"/>
          <w:sz w:val="30"/>
          <w:szCs w:val="30"/>
        </w:rPr>
        <w:t>提交材料</w:t>
      </w:r>
      <w:r>
        <w:rPr>
          <w:rFonts w:hint="eastAsia" w:ascii="Times New Roman" w:hAnsi="Times New Roman" w:eastAsia="仿宋_GB2312" w:cs="Times New Roman"/>
          <w:sz w:val="30"/>
          <w:szCs w:val="30"/>
        </w:rPr>
        <w:t>。</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54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540" w:lineRule="exact"/>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540" w:lineRule="exact"/>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540" w:lineRule="exact"/>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540" w:lineRule="exact"/>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540" w:lineRule="exact"/>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540" w:lineRule="exact"/>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咨询途径</w:t>
      </w:r>
    </w:p>
    <w:p>
      <w:pPr>
        <w:adjustRightInd w:val="0"/>
        <w:snapToGrid w:val="0"/>
        <w:spacing w:line="360" w:lineRule="auto"/>
        <w:ind w:firstLine="585"/>
        <w:jc w:val="left"/>
        <w:outlineLvl w:val="0"/>
        <w:rPr>
          <w:rFonts w:ascii="Times New Roman" w:hAnsi="Times New Roman" w:eastAsia="仿宋_GB2312" w:cs="Times New Roman"/>
          <w:sz w:val="30"/>
          <w:szCs w:val="30"/>
          <w:lang w:val="en-US"/>
        </w:rPr>
      </w:pPr>
      <w:r>
        <w:rPr>
          <w:rFonts w:ascii="Times New Roman" w:hAnsi="Times New Roman" w:eastAsia="仿宋_GB2312" w:cs="Times New Roman"/>
          <w:sz w:val="30"/>
          <w:szCs w:val="30"/>
        </w:rPr>
        <w:t>（一）咨询窗口：国家外汇管理局</w:t>
      </w:r>
      <w:r>
        <w:rPr>
          <w:rFonts w:hint="eastAsia" w:ascii="Times New Roman" w:hAnsi="Times New Roman" w:eastAsia="仿宋_GB2312" w:cs="Times New Roman"/>
          <w:sz w:val="30"/>
          <w:szCs w:val="30"/>
          <w:lang w:eastAsia="zh-CN"/>
        </w:rPr>
        <w:t>宁夏回族自治区分局外汇处。</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（二）咨询电话：（0</w:t>
      </w:r>
      <w:r>
        <w:rPr>
          <w:rFonts w:hint="eastAsia" w:ascii="Times New Roman" w:hAnsi="Times New Roman" w:eastAsia="仿宋_GB2312" w:cs="Times New Roman"/>
          <w:sz w:val="30"/>
          <w:szCs w:val="30"/>
          <w:lang w:val="en-US" w:eastAsia="zh-CN"/>
        </w:rPr>
        <w:t>951</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5189608。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三</w:t>
      </w:r>
      <w:r>
        <w:rPr>
          <w:rFonts w:ascii="Times New Roman" w:hAnsi="Times New Roman" w:eastAsia="仿宋_GB2312" w:cs="Times New Roman"/>
          <w:sz w:val="30"/>
          <w:szCs w:val="30"/>
        </w:rPr>
        <w:t>）咨询信件邮寄地址：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bookmarkStart w:id="3" w:name="_GoBack"/>
      <w:bookmarkEnd w:id="3"/>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监督和投诉渠道</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监督和投诉等可通过</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宁夏回族自治区分局</w:t>
      </w:r>
      <w:r>
        <w:rPr>
          <w:rFonts w:hint="eastAsia" w:ascii="Times New Roman" w:hAnsi="Times New Roman" w:eastAsia="仿宋_GB2312" w:cs="Times New Roman"/>
          <w:sz w:val="30"/>
          <w:szCs w:val="30"/>
        </w:rPr>
        <w:t>网站</w:t>
      </w:r>
      <w:r>
        <w:fldChar w:fldCharType="begin"/>
      </w:r>
      <w:r>
        <w:instrText xml:space="preserve"> HYPERLINK "http://www.safe.gov.cn" </w:instrText>
      </w:r>
      <w:r>
        <w:fldChar w:fldCharType="separate"/>
      </w:r>
      <w:r>
        <w:rPr>
          <w:rFonts w:ascii="Times New Roman" w:hAnsi="Times New Roman" w:cs="Times New Roman"/>
          <w:sz w:val="30"/>
          <w:szCs w:val="30"/>
        </w:rPr>
        <w:t>www.safe.gov.cn</w:t>
      </w:r>
      <w:r>
        <w:rPr>
          <w:rFonts w:ascii="Times New Roman" w:hAnsi="Times New Roman" w:cs="Times New Roman"/>
          <w:sz w:val="30"/>
          <w:szCs w:val="30"/>
        </w:rPr>
        <w:fldChar w:fldCharType="end"/>
      </w:r>
      <w:r>
        <w:rPr>
          <w:rFonts w:hint="eastAsia" w:ascii="Times New Roman" w:hAnsi="Times New Roman" w:cs="Times New Roman"/>
          <w:sz w:val="30"/>
          <w:szCs w:val="30"/>
          <w:lang w:val="en-US" w:eastAsia="zh-CN"/>
        </w:rPr>
        <w:t>/ningxia/</w:t>
      </w:r>
      <w:r>
        <w:rPr>
          <w:rFonts w:hint="eastAsia" w:ascii="Times New Roman" w:hAnsi="Times New Roman" w:eastAsia="仿宋_GB2312" w:cs="Times New Roman"/>
          <w:sz w:val="30"/>
          <w:szCs w:val="30"/>
        </w:rPr>
        <w:t>的</w:t>
      </w:r>
      <w:r>
        <w:rPr>
          <w:rFonts w:hint="eastAsia" w:ascii="Times New Roman" w:hAnsi="Times New Roman" w:eastAsia="仿宋_GB2312" w:cs="Times New Roman"/>
          <w:sz w:val="30"/>
          <w:szCs w:val="30"/>
          <w:lang w:eastAsia="zh-CN"/>
        </w:rPr>
        <w:t>投诉建议</w:t>
      </w:r>
      <w:r>
        <w:rPr>
          <w:rFonts w:hint="eastAsia" w:ascii="Times New Roman" w:hAnsi="Times New Roman" w:eastAsia="仿宋_GB2312" w:cs="Times New Roman"/>
          <w:sz w:val="30"/>
          <w:szCs w:val="30"/>
        </w:rPr>
        <w:t>栏目进行</w:t>
      </w:r>
      <w:r>
        <w:rPr>
          <w:rFonts w:hint="eastAsia"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rPr>
        <w:t>也可通过</w:t>
      </w:r>
      <w:r>
        <w:rPr>
          <w:rFonts w:hint="eastAsia" w:ascii="Times New Roman" w:hAnsi="Times New Roman" w:eastAsia="仿宋_GB2312" w:cs="Times New Roman"/>
          <w:sz w:val="30"/>
          <w:szCs w:val="30"/>
          <w:lang w:eastAsia="zh-CN"/>
        </w:rPr>
        <w:t>该</w:t>
      </w:r>
      <w:r>
        <w:rPr>
          <w:rFonts w:hint="eastAsia" w:ascii="Times New Roman" w:hAnsi="Times New Roman" w:eastAsia="仿宋_GB2312" w:cs="Times New Roman"/>
          <w:sz w:val="30"/>
          <w:szCs w:val="30"/>
        </w:rPr>
        <w:t>网站公布的电话进行。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办公地址和时间</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（一）办公地址。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r>
        <w:rPr>
          <w:rFonts w:ascii="Times New Roman" w:hAnsi="Times New Roman" w:eastAsia="仿宋_GB2312" w:cs="Times New Roman"/>
          <w:sz w:val="30"/>
          <w:szCs w:val="30"/>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（二）办公时间。周一至周五，</w:t>
      </w:r>
      <w:r>
        <w:rPr>
          <w:rFonts w:hint="eastAsia" w:ascii="Times New Roman" w:hAnsi="Times New Roman" w:eastAsia="仿宋_GB2312" w:cs="Times New Roman"/>
          <w:sz w:val="30"/>
          <w:szCs w:val="30"/>
          <w:lang w:val="en-US" w:eastAsia="zh-CN"/>
        </w:rPr>
        <w:t>夏季上午08:30到12:00,下午14:30到18:00；冬季上午08:30到12:00,下午14:00到17:30；周六、周日及法定节假日不对外办理业务。</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（三）乘车路线。公交车</w:t>
      </w:r>
      <w:r>
        <w:rPr>
          <w:rFonts w:hint="eastAsia" w:ascii="Times New Roman" w:hAnsi="Times New Roman" w:eastAsia="仿宋_GB2312" w:cs="Times New Roman"/>
          <w:sz w:val="30"/>
          <w:szCs w:val="30"/>
          <w:lang w:val="en-US" w:eastAsia="zh-CN"/>
        </w:rPr>
        <w:t>101、101A、19、18路公交线路经停，可在临湖小区站上/下车。</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公开查询</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办理时限结束之日后，申请人可通过电话查询。</w:t>
      </w: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026" o:spid="_x0000_s1027" style="position:absolute;left:0;margin-left:-21pt;margin-top:14.85pt;height:586.05pt;width:455.05pt;rotation:0f;z-index:251659264;" coordorigin="-180,0" coordsize="9101,11721">
            <o:lock v:ext="edit" position="f" selection="f" grouping="f" rotation="f" cropping="f" text="f" aspectratio="f"/>
            <v:rect id="Rectangle 681"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682"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683"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31" type="#_x0000_t32" style="position:absolute;left:4382;top:7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85" o:spid="_x0000_s1032" type="#_x0000_t32" style="position:absolute;left:6331;top:9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86" o:spid="_x0000_s1033" type="#_x0000_t32" style="position:absolute;left:2358;top:9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87" o:spid="_x0000_s1034" type="#_x0000_t32" style="position:absolute;left:4383;top:8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688" o:spid="_x0000_s1035" type="#_x0000_t32" style="position:absolute;left:2359;top:9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180;top:0;height:7693;width:9101;rotation:0f;" coordorigin="-180,0" coordsize="9101,7693">
              <o:lock v:ext="edit" position="f" selection="f" grouping="f" rotation="f" cropping="f" text="f" aspectratio="f"/>
              <v:shape id="AutoShape 690" o:spid="_x0000_s1037" type="#_x0000_t32" style="position:absolute;left:5893;top:6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180;top:0;height:7693;width:9101;rotation:0f;" coordorigin="-180,0" coordsize="9101,7693">
                <o:lock v:ext="edit" position="f" selection="f" grouping="f" rotation="f" cropping="f" text="f" aspectratio="f"/>
                <v:shape id="AutoShape 692" o:spid="_x0000_s1039" type="#_x0000_t34" style="position:absolute;left:6366;top:3154;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693"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694" o:spid="_x0000_s1041" type="#_x0000_t32" style="position:absolute;left:5893;top:4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695"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696"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697"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698"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99"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80;top:0;height:7424;width:4774;rotation:0f;" coordorigin="-180,0" coordsize="4774,7424">
                  <o:lock v:ext="edit" position="f" selection="f" grouping="f" rotation="f" cropping="f" text="f" aspectratio="f"/>
                  <v:shape id="AutoShape 701" o:spid="_x0000_s1048" type="#_x0000_t32" style="position:absolute;left:3663;top:3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702" o:spid="_x0000_s1049" type="#_x0000_t32" style="position:absolute;left:1355;top:3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180;top:0;height:4020;width:3809;rotation:0f;" coordorigin="-180,0" coordsize="3809,4020">
                    <o:lock v:ext="edit" position="f" selection="f" grouping="f" rotation="f" cropping="f" text="f" aspectratio="f"/>
                    <v:shape id="AutoShape 704" o:spid="_x0000_s1051" type="#_x0000_t32" style="position:absolute;left:1396;top:1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705" o:spid="_x0000_s1052" type="#_x0000_t32" style="position:absolute;left:2400;top:2967;height:0;width:1229;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706" o:spid="_x0000_s1053" type="#_x0000_t4" style="position:absolute;left:-180;top:1936;height:2084;width:295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707"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708" o:spid="_x0000_s1055" type="#_x0000_t32" style="position:absolute;left:1355;top:7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709" o:spid="_x0000_s1056" type="#_x0000_t32" style="position:absolute;left:3663;top:1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710" o:spid="_x0000_s1057" type="#_x0000_t32" style="position:absolute;left:3663;top:1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711"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2"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13" o:spid="_x0000_s1060" type="#_x0000_t32" style="position:absolute;left:7384;top:1886;flip:x;height:0;width:153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rPr>
          <w:rFonts w:ascii="Times New Roman" w:hAnsi="Times New Roman" w:eastAsia="仿宋_GB2312" w:cs="Times New Roman"/>
          <w:kern w:val="0"/>
          <w:sz w:val="30"/>
          <w:szCs w:val="30"/>
        </w:rPr>
      </w:pPr>
      <w:r>
        <w:rPr>
          <w:rFonts w:ascii="Times New Roman" w:hAnsi="Times New Roman" w:eastAsia="仿宋_GB2312" w:cs="Times New Roman"/>
          <w:sz w:val="30"/>
          <w:szCs w:val="30"/>
        </w:rPr>
        <w:br w:type="page"/>
      </w:r>
      <w:r>
        <w:rPr>
          <w:rFonts w:ascii="Times New Roman" w:hAnsi="Times New Roman" w:eastAsia="宋体" w:cs="Times New Roman"/>
          <w:kern w:val="2"/>
          <w:sz w:val="21"/>
          <w:szCs w:val="22"/>
          <w:lang w:val="en-US" w:eastAsia="zh-CN" w:bidi="ar-SA"/>
        </w:rPr>
        <w:pict>
          <v:roundrect id="AutoShape 667" o:spid="_x0000_s1061" style="position:absolute;left:0;margin-left:202.4pt;margin-top:277.65pt;height:71.35pt;width:180.85pt;rotation:0f;z-index:251658240;" o:ole="f" fillcolor="#FFFFFF" filled="f" o:preferrelative="t" stroked="f" coordsize="21600,21600" arcsize="16.6666666666667%">
            <v:fill on="f" color2="#FFFFFF" focus="0%"/>
            <v:imagedata gain="65536f" blacklevel="0f" gamma="0"/>
            <o:lock v:ext="edit" position="f" selection="f" grouping="f" rotation="f" cropping="f" text="f" aspectratio="f"/>
          </v:roundrect>
        </w:pict>
      </w:r>
      <w:r>
        <w:rPr>
          <w:rFonts w:ascii="Times New Roman" w:hAnsi="Times New Roman" w:eastAsia="仿宋_GB2312" w:cs="Times New Roman"/>
          <w:kern w:val="0"/>
          <w:sz w:val="30"/>
          <w:szCs w:val="30"/>
        </w:rPr>
        <w:t>附录二</w:t>
      </w:r>
      <w:bookmarkStart w:id="0" w:name="_Toc495992544"/>
      <w:bookmarkStart w:id="1" w:name="_Toc492328427"/>
      <w:bookmarkStart w:id="2" w:name="_Toc487492185"/>
    </w:p>
    <w:p>
      <w:pPr>
        <w:ind w:right="300"/>
        <w:jc w:val="center"/>
        <w:rPr>
          <w:rFonts w:ascii="Times New Roman" w:hAnsi="Times New Roman" w:eastAsia="仿宋_GB2312" w:cs="Times New Roman"/>
          <w:kern w:val="0"/>
          <w:sz w:val="30"/>
          <w:szCs w:val="30"/>
        </w:rPr>
      </w:pPr>
      <w:r>
        <w:rPr>
          <w:rFonts w:ascii="Times New Roman" w:hAnsi="Times New Roman" w:eastAsia="黑体" w:cs="Times New Roman"/>
          <w:sz w:val="30"/>
          <w:szCs w:val="30"/>
        </w:rPr>
        <w:t>境外上市登记表</w:t>
      </w:r>
      <w:bookmarkEnd w:id="0"/>
      <w:bookmarkEnd w:id="1"/>
      <w:bookmarkEnd w:id="2"/>
      <w:r>
        <w:rPr>
          <w:rFonts w:ascii="Times New Roman" w:hAnsi="Times New Roman" w:eastAsia="黑体" w:cs="Times New Roman"/>
          <w:sz w:val="30"/>
          <w:szCs w:val="30"/>
        </w:rPr>
        <w:t>（示范文本）</w:t>
      </w:r>
    </w:p>
    <w:p>
      <w:pPr>
        <w:spacing w:line="400" w:lineRule="exact"/>
        <w:jc w:val="left"/>
        <w:rPr>
          <w:rFonts w:ascii="Times New Roman" w:hAnsi="Times New Roman" w:eastAsia="华文楷体" w:cs="Times New Roman"/>
          <w:sz w:val="24"/>
        </w:rPr>
      </w:pPr>
      <w:r>
        <w:rPr>
          <w:rFonts w:ascii="Times New Roman" w:hAnsi="华文楷体" w:eastAsia="华文楷体" w:cs="Times New Roman"/>
          <w:sz w:val="24"/>
        </w:rPr>
        <w:t>登记类别：</w:t>
      </w:r>
      <w:r>
        <w:rPr>
          <w:rFonts w:ascii="Times New Roman" w:hAnsi="Times New Roman" w:eastAsia="华文楷体" w:cs="Times New Roman"/>
          <w:sz w:val="24"/>
        </w:rPr>
        <w:t>□</w:t>
      </w:r>
      <w:r>
        <w:rPr>
          <w:rFonts w:ascii="Times New Roman" w:hAnsi="华文楷体" w:eastAsia="华文楷体" w:cs="Times New Roman"/>
          <w:sz w:val="24"/>
        </w:rPr>
        <w:t>登记</w:t>
      </w:r>
      <w:r>
        <w:rPr>
          <w:rFonts w:ascii="Times New Roman" w:hAnsi="Times New Roman" w:eastAsia="华文楷体" w:cs="Times New Roman"/>
          <w:sz w:val="24"/>
        </w:rPr>
        <w:t xml:space="preserve">   □</w:t>
      </w:r>
      <w:r>
        <w:rPr>
          <w:rFonts w:ascii="Times New Roman" w:hAnsi="华文楷体" w:eastAsia="华文楷体" w:cs="Times New Roman"/>
          <w:sz w:val="24"/>
        </w:rPr>
        <w:t>变更登记</w:t>
      </w:r>
      <w:r>
        <w:rPr>
          <w:rFonts w:ascii="Times New Roman" w:hAnsi="Times New Roman" w:eastAsia="华文楷体" w:cs="Times New Roman"/>
          <w:sz w:val="24"/>
        </w:rPr>
        <w:t xml:space="preserve"> </w:t>
      </w:r>
      <w:r>
        <w:rPr>
          <w:rFonts w:hint="eastAsia" w:ascii="Times New Roman" w:hAnsi="Times New Roman" w:eastAsia="华文楷体" w:cs="Times New Roman"/>
          <w:sz w:val="24"/>
        </w:rPr>
        <w:t xml:space="preserve"> </w:t>
      </w:r>
      <w:r>
        <w:rPr>
          <w:rFonts w:ascii="Times New Roman" w:hAnsi="Times New Roman" w:eastAsia="华文楷体" w:cs="Times New Roman"/>
          <w:sz w:val="24"/>
        </w:rPr>
        <w:t>□</w:t>
      </w:r>
      <w:r>
        <w:rPr>
          <w:rFonts w:ascii="Times New Roman" w:hAnsi="华文楷体" w:eastAsia="华文楷体" w:cs="Times New Roman"/>
          <w:sz w:val="24"/>
        </w:rPr>
        <w:t>注销登记</w:t>
      </w:r>
      <w:r>
        <w:rPr>
          <w:rFonts w:ascii="Times New Roman" w:hAnsi="Times New Roman" w:eastAsia="华文楷体" w:cs="Times New Roman"/>
          <w:sz w:val="24"/>
        </w:rPr>
        <w:t xml:space="preserve">     </w:t>
      </w:r>
      <w:r>
        <w:rPr>
          <w:rFonts w:ascii="Times New Roman" w:hAnsi="华文楷体" w:eastAsia="华文楷体" w:cs="Times New Roman"/>
          <w:sz w:val="24"/>
        </w:rPr>
        <w:t>编号（外汇局填写）：</w:t>
      </w:r>
    </w:p>
    <w:tbl>
      <w:tblPr>
        <w:tblW w:w="8897"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trPr>
          <w:trHeight w:val="446"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境外上市的境内公司（以下简称境内公司）基本信息</w:t>
            </w:r>
          </w:p>
        </w:tc>
      </w:tr>
      <w:tr>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境内公司名称</w:t>
            </w:r>
          </w:p>
        </w:tc>
        <w:tc>
          <w:tcPr>
            <w:tcW w:w="3187" w:type="dxa"/>
            <w:gridSpan w:val="12"/>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513" w:type="dxa"/>
            <w:gridSpan w:val="3"/>
            <w:vAlign w:val="center"/>
          </w:tcPr>
          <w:p>
            <w:pPr>
              <w:spacing w:line="340" w:lineRule="exact"/>
              <w:jc w:val="center"/>
              <w:rPr>
                <w:rFonts w:ascii="Times New Roman" w:hAnsi="Times New Roman" w:eastAsia="华文楷体" w:cs="Times New Roman"/>
                <w:sz w:val="24"/>
              </w:rPr>
            </w:pPr>
          </w:p>
        </w:tc>
      </w:tr>
      <w:tr>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3187" w:type="dxa"/>
            <w:gridSpan w:val="12"/>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513" w:type="dxa"/>
            <w:gridSpan w:val="3"/>
            <w:vAlign w:val="center"/>
          </w:tcPr>
          <w:p>
            <w:pPr>
              <w:spacing w:line="340" w:lineRule="exact"/>
              <w:jc w:val="center"/>
              <w:rPr>
                <w:rFonts w:ascii="Times New Roman" w:hAnsi="Times New Roman" w:eastAsia="华文楷体" w:cs="Times New Roman"/>
                <w:sz w:val="24"/>
              </w:rPr>
            </w:pPr>
          </w:p>
        </w:tc>
      </w:tr>
      <w:tr>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上市地及证券交易所</w:t>
            </w:r>
          </w:p>
        </w:tc>
        <w:tc>
          <w:tcPr>
            <w:tcW w:w="3187" w:type="dxa"/>
            <w:gridSpan w:val="12"/>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上市时间</w:t>
            </w:r>
          </w:p>
        </w:tc>
        <w:tc>
          <w:tcPr>
            <w:tcW w:w="1513" w:type="dxa"/>
            <w:gridSpan w:val="3"/>
            <w:vAlign w:val="center"/>
          </w:tcPr>
          <w:p>
            <w:pPr>
              <w:spacing w:line="340" w:lineRule="exact"/>
              <w:jc w:val="center"/>
              <w:rPr>
                <w:rFonts w:ascii="Times New Roman" w:hAnsi="Times New Roman" w:eastAsia="华文楷体" w:cs="Times New Roman"/>
                <w:sz w:val="24"/>
              </w:rPr>
            </w:pPr>
          </w:p>
        </w:tc>
      </w:tr>
      <w:tr>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证监会批准文号</w:t>
            </w:r>
          </w:p>
        </w:tc>
        <w:tc>
          <w:tcPr>
            <w:tcW w:w="6401" w:type="dxa"/>
            <w:gridSpan w:val="21"/>
            <w:tcBorders>
              <w:left w:val="single" w:color="auto" w:sz="4" w:space="0"/>
            </w:tcBorders>
            <w:vAlign w:val="center"/>
          </w:tcPr>
          <w:p>
            <w:pPr>
              <w:spacing w:line="340" w:lineRule="exact"/>
              <w:jc w:val="center"/>
              <w:rPr>
                <w:rFonts w:ascii="Times New Roman" w:hAnsi="Times New Roman" w:eastAsia="华文楷体" w:cs="Times New Roman"/>
                <w:sz w:val="24"/>
              </w:rPr>
            </w:pPr>
          </w:p>
        </w:tc>
      </w:tr>
      <w:tr>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证券名称</w:t>
            </w:r>
          </w:p>
        </w:tc>
        <w:tc>
          <w:tcPr>
            <w:tcW w:w="3187" w:type="dxa"/>
            <w:gridSpan w:val="12"/>
            <w:tcBorders>
              <w:left w:val="single" w:color="auto" w:sz="4" w:space="0"/>
            </w:tcBorders>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证券代码</w:t>
            </w:r>
          </w:p>
        </w:tc>
        <w:tc>
          <w:tcPr>
            <w:tcW w:w="1513" w:type="dxa"/>
            <w:gridSpan w:val="3"/>
            <w:vAlign w:val="center"/>
          </w:tcPr>
          <w:p>
            <w:pPr>
              <w:spacing w:line="340" w:lineRule="exact"/>
              <w:jc w:val="center"/>
              <w:rPr>
                <w:rFonts w:ascii="Times New Roman" w:hAnsi="Times New Roman" w:eastAsia="华文楷体" w:cs="Times New Roman"/>
                <w:sz w:val="24"/>
              </w:rPr>
            </w:pPr>
          </w:p>
        </w:tc>
      </w:tr>
      <w:tr>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总股数</w:t>
            </w:r>
          </w:p>
        </w:tc>
        <w:tc>
          <w:tcPr>
            <w:tcW w:w="873" w:type="dxa"/>
            <w:gridSpan w:val="4"/>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530" w:type="dxa"/>
            <w:gridSpan w:val="6"/>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总股本金额</w:t>
            </w:r>
          </w:p>
        </w:tc>
        <w:tc>
          <w:tcPr>
            <w:tcW w:w="1446" w:type="dxa"/>
            <w:gridSpan w:val="4"/>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039" w:type="dxa"/>
            <w:gridSpan w:val="4"/>
            <w:tcBorders>
              <w:lef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币种</w:t>
            </w:r>
          </w:p>
        </w:tc>
        <w:tc>
          <w:tcPr>
            <w:tcW w:w="1513" w:type="dxa"/>
            <w:gridSpan w:val="3"/>
            <w:vAlign w:val="center"/>
          </w:tcPr>
          <w:p>
            <w:pPr>
              <w:spacing w:line="340" w:lineRule="exact"/>
              <w:jc w:val="center"/>
              <w:rPr>
                <w:rFonts w:ascii="Times New Roman" w:hAnsi="Times New Roman" w:eastAsia="华文楷体" w:cs="Times New Roman"/>
                <w:sz w:val="24"/>
              </w:rPr>
            </w:pPr>
          </w:p>
        </w:tc>
      </w:tr>
      <w:tr>
        <w:trPr>
          <w:trHeight w:val="20" w:hRule="atLeast"/>
          <w:jc w:val="center"/>
        </w:trPr>
        <w:tc>
          <w:tcPr>
            <w:tcW w:w="2496" w:type="dxa"/>
            <w:gridSpan w:val="7"/>
            <w:tcBorders>
              <w:top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总股本变更原因</w:t>
            </w:r>
          </w:p>
        </w:tc>
        <w:tc>
          <w:tcPr>
            <w:tcW w:w="6401" w:type="dxa"/>
            <w:gridSpan w:val="21"/>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增发（含超额配售）</w:t>
            </w:r>
            <w:r>
              <w:rPr>
                <w:rFonts w:ascii="Times New Roman" w:hAnsi="Times New Roman" w:eastAsia="华文楷体" w:cs="Times New Roman"/>
                <w:sz w:val="24"/>
              </w:rPr>
              <w:t xml:space="preserve">      □</w:t>
            </w:r>
            <w:r>
              <w:rPr>
                <w:rFonts w:ascii="Times New Roman" w:hAnsi="华文楷体" w:eastAsia="华文楷体" w:cs="Times New Roman"/>
                <w:sz w:val="24"/>
              </w:rPr>
              <w:t>回购</w:t>
            </w:r>
            <w:r>
              <w:rPr>
                <w:rFonts w:ascii="Times New Roman" w:hAnsi="Times New Roman" w:eastAsia="华文楷体" w:cs="Times New Roman"/>
                <w:sz w:val="24"/>
              </w:rPr>
              <w:t xml:space="preserve">      □</w:t>
            </w:r>
            <w:r>
              <w:rPr>
                <w:rFonts w:ascii="Times New Roman" w:hAnsi="华文楷体" w:eastAsia="华文楷体" w:cs="Times New Roman"/>
                <w:sz w:val="24"/>
              </w:rPr>
              <w:t>可转债转股</w:t>
            </w:r>
          </w:p>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资本公积、盈余公积、未分配利润转增股本</w:t>
            </w:r>
          </w:p>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其他</w:t>
            </w:r>
            <w:r>
              <w:rPr>
                <w:rFonts w:ascii="Times New Roman" w:hAnsi="华文楷体" w:eastAsia="华文楷体" w:cs="Times New Roman"/>
                <w:sz w:val="24"/>
                <w:u w:val="single"/>
              </w:rPr>
              <w:t>（具体说明：</w:t>
            </w:r>
            <w:r>
              <w:rPr>
                <w:rFonts w:ascii="Times New Roman" w:hAnsi="Times New Roman" w:eastAsia="华文楷体" w:cs="Times New Roman"/>
                <w:sz w:val="24"/>
                <w:u w:val="single"/>
              </w:rPr>
              <w:t xml:space="preserve">                                 </w:t>
            </w:r>
            <w:r>
              <w:rPr>
                <w:rFonts w:ascii="Times New Roman" w:hAnsi="华文楷体" w:eastAsia="华文楷体" w:cs="Times New Roman"/>
                <w:sz w:val="24"/>
                <w:u w:val="single"/>
              </w:rPr>
              <w:t>）</w:t>
            </w:r>
          </w:p>
        </w:tc>
      </w:tr>
      <w:tr>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联系人</w:t>
            </w:r>
          </w:p>
        </w:tc>
        <w:tc>
          <w:tcPr>
            <w:tcW w:w="4037" w:type="dxa"/>
            <w:gridSpan w:val="16"/>
            <w:vAlign w:val="center"/>
          </w:tcPr>
          <w:p>
            <w:pPr>
              <w:spacing w:line="340" w:lineRule="exact"/>
              <w:jc w:val="center"/>
              <w:rPr>
                <w:rFonts w:ascii="Times New Roman" w:hAnsi="Times New Roman" w:eastAsia="华文楷体" w:cs="Times New Roman"/>
                <w:sz w:val="24"/>
              </w:rPr>
            </w:pPr>
          </w:p>
        </w:tc>
        <w:tc>
          <w:tcPr>
            <w:tcW w:w="851" w:type="dxa"/>
            <w:gridSpan w:val="2"/>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联系电话</w:t>
            </w:r>
          </w:p>
        </w:tc>
        <w:tc>
          <w:tcPr>
            <w:tcW w:w="1513" w:type="dxa"/>
            <w:gridSpan w:val="3"/>
            <w:vAlign w:val="center"/>
          </w:tcPr>
          <w:p>
            <w:pPr>
              <w:spacing w:line="340" w:lineRule="exact"/>
              <w:jc w:val="center"/>
              <w:rPr>
                <w:rFonts w:ascii="Times New Roman" w:hAnsi="Times New Roman" w:eastAsia="华文楷体" w:cs="Times New Roman"/>
                <w:sz w:val="24"/>
              </w:rPr>
            </w:pPr>
          </w:p>
        </w:tc>
      </w:tr>
      <w:tr>
        <w:trPr>
          <w:trHeight w:val="524"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主要境内股东的基本信息</w:t>
            </w:r>
          </w:p>
        </w:tc>
      </w:tr>
      <w:tr>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p>
        </w:tc>
        <w:tc>
          <w:tcPr>
            <w:tcW w:w="1482" w:type="dxa"/>
            <w:gridSpan w:val="6"/>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名称（或姓名）</w:t>
            </w:r>
          </w:p>
        </w:tc>
        <w:tc>
          <w:tcPr>
            <w:tcW w:w="1825" w:type="dxa"/>
            <w:gridSpan w:val="6"/>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526" w:type="dxa"/>
            <w:gridSpan w:val="5"/>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持股比例</w:t>
            </w:r>
          </w:p>
        </w:tc>
        <w:tc>
          <w:tcPr>
            <w:tcW w:w="1513" w:type="dxa"/>
            <w:gridSpan w:val="3"/>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注册地址</w:t>
            </w:r>
          </w:p>
        </w:tc>
      </w:tr>
      <w:tr>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境内股东</w:t>
            </w:r>
            <w:r>
              <w:rPr>
                <w:rFonts w:ascii="Times New Roman" w:hAnsi="Times New Roman" w:eastAsia="华文楷体" w:cs="Times New Roman"/>
                <w:sz w:val="24"/>
              </w:rPr>
              <w:t>1</w:t>
            </w:r>
          </w:p>
        </w:tc>
        <w:tc>
          <w:tcPr>
            <w:tcW w:w="1482" w:type="dxa"/>
            <w:gridSpan w:val="6"/>
            <w:vAlign w:val="center"/>
          </w:tcPr>
          <w:p>
            <w:pPr>
              <w:spacing w:line="340" w:lineRule="exact"/>
              <w:jc w:val="center"/>
              <w:rPr>
                <w:rFonts w:ascii="Times New Roman" w:hAnsi="Times New Roman" w:eastAsia="华文楷体" w:cs="Times New Roman"/>
                <w:sz w:val="24"/>
              </w:rPr>
            </w:pPr>
          </w:p>
        </w:tc>
        <w:tc>
          <w:tcPr>
            <w:tcW w:w="1825" w:type="dxa"/>
            <w:gridSpan w:val="6"/>
            <w:vAlign w:val="center"/>
          </w:tcPr>
          <w:p>
            <w:pPr>
              <w:spacing w:line="340" w:lineRule="exact"/>
              <w:jc w:val="center"/>
              <w:rPr>
                <w:rFonts w:ascii="Times New Roman" w:hAnsi="Times New Roman" w:eastAsia="华文楷体" w:cs="Times New Roman"/>
                <w:sz w:val="24"/>
              </w:rPr>
            </w:pPr>
          </w:p>
        </w:tc>
        <w:tc>
          <w:tcPr>
            <w:tcW w:w="1526" w:type="dxa"/>
            <w:gridSpan w:val="5"/>
            <w:vAlign w:val="center"/>
          </w:tcPr>
          <w:p>
            <w:pPr>
              <w:spacing w:line="340" w:lineRule="exact"/>
              <w:jc w:val="center"/>
              <w:rPr>
                <w:rFonts w:ascii="Times New Roman" w:hAnsi="Times New Roman" w:eastAsia="华文楷体" w:cs="Times New Roman"/>
                <w:sz w:val="24"/>
              </w:rPr>
            </w:pPr>
          </w:p>
        </w:tc>
        <w:tc>
          <w:tcPr>
            <w:tcW w:w="1513" w:type="dxa"/>
            <w:gridSpan w:val="3"/>
            <w:vAlign w:val="center"/>
          </w:tcPr>
          <w:p>
            <w:pPr>
              <w:spacing w:line="340" w:lineRule="exact"/>
              <w:jc w:val="center"/>
              <w:rPr>
                <w:rFonts w:ascii="Times New Roman" w:hAnsi="Times New Roman" w:eastAsia="华文楷体" w:cs="Times New Roman"/>
                <w:sz w:val="24"/>
              </w:rPr>
            </w:pPr>
          </w:p>
        </w:tc>
      </w:tr>
      <w:tr>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境内股东</w:t>
            </w:r>
            <w:r>
              <w:rPr>
                <w:rFonts w:ascii="Times New Roman" w:hAnsi="Times New Roman" w:eastAsia="华文楷体" w:cs="Times New Roman"/>
                <w:sz w:val="24"/>
              </w:rPr>
              <w:t>2</w:t>
            </w:r>
          </w:p>
        </w:tc>
        <w:tc>
          <w:tcPr>
            <w:tcW w:w="1482" w:type="dxa"/>
            <w:gridSpan w:val="6"/>
            <w:vAlign w:val="center"/>
          </w:tcPr>
          <w:p>
            <w:pPr>
              <w:spacing w:line="340" w:lineRule="exact"/>
              <w:jc w:val="center"/>
              <w:rPr>
                <w:rFonts w:ascii="Times New Roman" w:hAnsi="Times New Roman" w:eastAsia="华文楷体" w:cs="Times New Roman"/>
                <w:sz w:val="24"/>
              </w:rPr>
            </w:pPr>
          </w:p>
        </w:tc>
        <w:tc>
          <w:tcPr>
            <w:tcW w:w="1825" w:type="dxa"/>
            <w:gridSpan w:val="6"/>
            <w:vAlign w:val="center"/>
          </w:tcPr>
          <w:p>
            <w:pPr>
              <w:spacing w:line="340" w:lineRule="exact"/>
              <w:jc w:val="center"/>
              <w:rPr>
                <w:rFonts w:ascii="Times New Roman" w:hAnsi="Times New Roman" w:eastAsia="华文楷体" w:cs="Times New Roman"/>
                <w:sz w:val="24"/>
              </w:rPr>
            </w:pPr>
          </w:p>
        </w:tc>
        <w:tc>
          <w:tcPr>
            <w:tcW w:w="1526" w:type="dxa"/>
            <w:gridSpan w:val="5"/>
            <w:vAlign w:val="center"/>
          </w:tcPr>
          <w:p>
            <w:pPr>
              <w:spacing w:line="340" w:lineRule="exact"/>
              <w:jc w:val="center"/>
              <w:rPr>
                <w:rFonts w:ascii="Times New Roman" w:hAnsi="Times New Roman" w:eastAsia="华文楷体" w:cs="Times New Roman"/>
                <w:sz w:val="24"/>
              </w:rPr>
            </w:pPr>
          </w:p>
        </w:tc>
        <w:tc>
          <w:tcPr>
            <w:tcW w:w="1513" w:type="dxa"/>
            <w:gridSpan w:val="3"/>
            <w:vAlign w:val="center"/>
          </w:tcPr>
          <w:p>
            <w:pPr>
              <w:spacing w:line="340" w:lineRule="exact"/>
              <w:jc w:val="center"/>
              <w:rPr>
                <w:rFonts w:ascii="Times New Roman" w:hAnsi="Times New Roman" w:eastAsia="华文楷体" w:cs="Times New Roman"/>
                <w:sz w:val="24"/>
              </w:rPr>
            </w:pPr>
          </w:p>
        </w:tc>
      </w:tr>
      <w:tr>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（可加行）</w:t>
            </w:r>
          </w:p>
        </w:tc>
        <w:tc>
          <w:tcPr>
            <w:tcW w:w="1482" w:type="dxa"/>
            <w:gridSpan w:val="6"/>
            <w:vAlign w:val="center"/>
          </w:tcPr>
          <w:p>
            <w:pPr>
              <w:spacing w:line="340" w:lineRule="exact"/>
              <w:jc w:val="center"/>
              <w:rPr>
                <w:rFonts w:ascii="Times New Roman" w:hAnsi="Times New Roman" w:eastAsia="华文楷体" w:cs="Times New Roman"/>
                <w:sz w:val="24"/>
              </w:rPr>
            </w:pPr>
          </w:p>
        </w:tc>
        <w:tc>
          <w:tcPr>
            <w:tcW w:w="1825" w:type="dxa"/>
            <w:gridSpan w:val="6"/>
            <w:vAlign w:val="center"/>
          </w:tcPr>
          <w:p>
            <w:pPr>
              <w:spacing w:line="340" w:lineRule="exact"/>
              <w:jc w:val="center"/>
              <w:rPr>
                <w:rFonts w:ascii="Times New Roman" w:hAnsi="Times New Roman" w:eastAsia="华文楷体" w:cs="Times New Roman"/>
                <w:sz w:val="24"/>
              </w:rPr>
            </w:pPr>
          </w:p>
        </w:tc>
        <w:tc>
          <w:tcPr>
            <w:tcW w:w="1526" w:type="dxa"/>
            <w:gridSpan w:val="5"/>
            <w:vAlign w:val="center"/>
          </w:tcPr>
          <w:p>
            <w:pPr>
              <w:spacing w:line="340" w:lineRule="exact"/>
              <w:jc w:val="center"/>
              <w:rPr>
                <w:rFonts w:ascii="Times New Roman" w:hAnsi="Times New Roman" w:eastAsia="华文楷体" w:cs="Times New Roman"/>
                <w:sz w:val="24"/>
              </w:rPr>
            </w:pPr>
          </w:p>
        </w:tc>
        <w:tc>
          <w:tcPr>
            <w:tcW w:w="1513" w:type="dxa"/>
            <w:gridSpan w:val="3"/>
            <w:vAlign w:val="center"/>
          </w:tcPr>
          <w:p>
            <w:pPr>
              <w:spacing w:line="340" w:lineRule="exact"/>
              <w:jc w:val="center"/>
              <w:rPr>
                <w:rFonts w:ascii="Times New Roman" w:hAnsi="Times New Roman" w:eastAsia="华文楷体" w:cs="Times New Roman"/>
                <w:sz w:val="24"/>
              </w:rPr>
            </w:pPr>
          </w:p>
        </w:tc>
      </w:tr>
      <w:tr>
        <w:trPr>
          <w:trHeight w:val="496"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发行信息</w:t>
            </w:r>
          </w:p>
        </w:tc>
      </w:tr>
      <w:tr>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发行方式</w:t>
            </w:r>
          </w:p>
        </w:tc>
        <w:tc>
          <w:tcPr>
            <w:tcW w:w="7385" w:type="dxa"/>
            <w:gridSpan w:val="24"/>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首次发行</w:t>
            </w:r>
            <w:r>
              <w:rPr>
                <w:rFonts w:ascii="Times New Roman" w:hAnsi="Times New Roman" w:eastAsia="华文楷体" w:cs="Times New Roman"/>
                <w:sz w:val="24"/>
              </w:rPr>
              <w:t xml:space="preserve">           □</w:t>
            </w:r>
            <w:r>
              <w:rPr>
                <w:rFonts w:ascii="Times New Roman" w:hAnsi="华文楷体" w:eastAsia="华文楷体" w:cs="Times New Roman"/>
                <w:sz w:val="24"/>
              </w:rPr>
              <w:t>增发（含超额配售）</w:t>
            </w:r>
          </w:p>
        </w:tc>
      </w:tr>
      <w:tr>
        <w:trPr>
          <w:cantSplit/>
          <w:trHeight w:val="20" w:hRule="atLeast"/>
          <w:jc w:val="center"/>
        </w:trPr>
        <w:tc>
          <w:tcPr>
            <w:tcW w:w="1512" w:type="dxa"/>
            <w:gridSpan w:val="4"/>
            <w:vMerge w:val="restart"/>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发行种类</w:t>
            </w:r>
          </w:p>
        </w:tc>
        <w:tc>
          <w:tcPr>
            <w:tcW w:w="3462" w:type="dxa"/>
            <w:gridSpan w:val="14"/>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股票</w:t>
            </w:r>
          </w:p>
        </w:tc>
        <w:tc>
          <w:tcPr>
            <w:tcW w:w="1559" w:type="dxa"/>
            <w:gridSpan w:val="5"/>
            <w:vMerge w:val="restart"/>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存托凭证</w:t>
            </w:r>
          </w:p>
        </w:tc>
        <w:tc>
          <w:tcPr>
            <w:tcW w:w="2364" w:type="dxa"/>
            <w:gridSpan w:val="5"/>
            <w:vMerge w:val="restart"/>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其他</w:t>
            </w:r>
          </w:p>
        </w:tc>
      </w:tr>
      <w:tr>
        <w:trPr>
          <w:cantSplit/>
          <w:trHeight w:val="20" w:hRule="atLeast"/>
          <w:jc w:val="center"/>
        </w:trPr>
        <w:tc>
          <w:tcPr>
            <w:tcW w:w="1512" w:type="dxa"/>
            <w:gridSpan w:val="4"/>
            <w:vMerge w:val="continue"/>
            <w:vAlign w:val="center"/>
          </w:tcPr>
          <w:p>
            <w:pPr>
              <w:spacing w:line="340" w:lineRule="exact"/>
              <w:jc w:val="left"/>
              <w:rPr>
                <w:rFonts w:ascii="Times New Roman" w:hAnsi="Times New Roman" w:eastAsia="华文楷体" w:cs="Times New Roman"/>
                <w:sz w:val="24"/>
              </w:rPr>
            </w:pPr>
          </w:p>
        </w:tc>
        <w:tc>
          <w:tcPr>
            <w:tcW w:w="1761" w:type="dxa"/>
            <w:gridSpan w:val="6"/>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普通股</w:t>
            </w:r>
          </w:p>
        </w:tc>
        <w:tc>
          <w:tcPr>
            <w:tcW w:w="1701" w:type="dxa"/>
            <w:gridSpan w:val="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优先股</w:t>
            </w:r>
          </w:p>
        </w:tc>
        <w:tc>
          <w:tcPr>
            <w:tcW w:w="1559" w:type="dxa"/>
            <w:gridSpan w:val="5"/>
            <w:vMerge w:val="continue"/>
            <w:vAlign w:val="center"/>
          </w:tcPr>
          <w:p>
            <w:pPr>
              <w:spacing w:line="340" w:lineRule="exact"/>
              <w:jc w:val="center"/>
              <w:rPr>
                <w:rFonts w:ascii="Times New Roman" w:hAnsi="Times New Roman" w:eastAsia="华文楷体" w:cs="Times New Roman"/>
                <w:sz w:val="24"/>
              </w:rPr>
            </w:pPr>
          </w:p>
        </w:tc>
        <w:tc>
          <w:tcPr>
            <w:tcW w:w="2364" w:type="dxa"/>
            <w:gridSpan w:val="5"/>
            <w:vMerge w:val="continue"/>
            <w:vAlign w:val="center"/>
          </w:tcPr>
          <w:p>
            <w:pPr>
              <w:spacing w:line="340" w:lineRule="exact"/>
              <w:jc w:val="center"/>
              <w:rPr>
                <w:rFonts w:ascii="Times New Roman" w:hAnsi="Times New Roman" w:eastAsia="华文楷体" w:cs="Times New Roman"/>
                <w:sz w:val="24"/>
              </w:rPr>
            </w:pPr>
          </w:p>
        </w:tc>
      </w:tr>
      <w:tr>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名称及代码</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发行时间</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发行数量</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766" w:type="dxa"/>
            <w:vMerge w:val="restart"/>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实际募集资金</w:t>
            </w:r>
          </w:p>
        </w:tc>
        <w:tc>
          <w:tcPr>
            <w:tcW w:w="746" w:type="dxa"/>
            <w:gridSpan w:val="3"/>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金额</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766" w:type="dxa"/>
            <w:vMerge w:val="continue"/>
            <w:vAlign w:val="center"/>
          </w:tcPr>
          <w:p>
            <w:pPr>
              <w:spacing w:line="340" w:lineRule="exact"/>
              <w:jc w:val="left"/>
              <w:rPr>
                <w:rFonts w:ascii="Times New Roman" w:hAnsi="Times New Roman" w:eastAsia="华文楷体" w:cs="Times New Roman"/>
                <w:sz w:val="24"/>
              </w:rPr>
            </w:pPr>
          </w:p>
        </w:tc>
        <w:tc>
          <w:tcPr>
            <w:tcW w:w="746"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61" w:type="dxa"/>
            <w:gridSpan w:val="6"/>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701"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559" w:type="dxa"/>
            <w:gridSpan w:val="5"/>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364" w:type="dxa"/>
            <w:gridSpan w:val="5"/>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766" w:type="dxa"/>
            <w:vMerge w:val="continue"/>
            <w:vAlign w:val="center"/>
          </w:tcPr>
          <w:p>
            <w:pPr>
              <w:spacing w:line="340" w:lineRule="exact"/>
              <w:jc w:val="left"/>
              <w:rPr>
                <w:rFonts w:ascii="Times New Roman" w:hAnsi="Times New Roman" w:eastAsia="华文楷体" w:cs="Times New Roman"/>
                <w:sz w:val="24"/>
              </w:rPr>
            </w:pPr>
          </w:p>
        </w:tc>
        <w:tc>
          <w:tcPr>
            <w:tcW w:w="4208" w:type="dxa"/>
            <w:gridSpan w:val="17"/>
            <w:tcBorders>
              <w:top w:val="single" w:color="auto" w:sz="4" w:space="0"/>
            </w:tcBorders>
            <w:vAlign w:val="center"/>
          </w:tcPr>
          <w:p>
            <w:pPr>
              <w:jc w:val="center"/>
              <w:rPr>
                <w:rFonts w:ascii="Times New Roman" w:hAnsi="Times New Roman" w:eastAsia="华文楷体" w:cs="Times New Roman"/>
                <w:sz w:val="24"/>
              </w:rPr>
            </w:pPr>
            <w:r>
              <w:rPr>
                <w:rFonts w:ascii="Times New Roman" w:hAnsi="华文楷体" w:eastAsia="华文楷体" w:cs="Times New Roman"/>
                <w:sz w:val="24"/>
              </w:rPr>
              <w:t>合计金额（折美元）</w:t>
            </w:r>
          </w:p>
        </w:tc>
        <w:tc>
          <w:tcPr>
            <w:tcW w:w="3923" w:type="dxa"/>
            <w:gridSpan w:val="10"/>
            <w:tcBorders>
              <w:top w:val="single" w:color="auto" w:sz="4" w:space="0"/>
            </w:tcBorders>
            <w:vAlign w:val="center"/>
          </w:tcPr>
          <w:p>
            <w:pPr>
              <w:spacing w:line="340" w:lineRule="exact"/>
              <w:jc w:val="left"/>
              <w:rPr>
                <w:rFonts w:ascii="Times New Roman" w:hAnsi="Times New Roman" w:eastAsia="华文楷体" w:cs="Times New Roman"/>
                <w:sz w:val="24"/>
              </w:rPr>
            </w:pPr>
          </w:p>
        </w:tc>
      </w:tr>
      <w:tr>
        <w:trPr>
          <w:trHeight w:val="480"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发行募集资金运用信息</w:t>
            </w:r>
          </w:p>
        </w:tc>
      </w:tr>
      <w:tr>
        <w:trPr>
          <w:cantSplit/>
          <w:trHeight w:val="20" w:hRule="atLeast"/>
          <w:jc w:val="center"/>
        </w:trPr>
        <w:tc>
          <w:tcPr>
            <w:tcW w:w="1371" w:type="dxa"/>
            <w:gridSpan w:val="3"/>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国有股减持上缴社保基金情况</w:t>
            </w:r>
          </w:p>
        </w:tc>
        <w:tc>
          <w:tcPr>
            <w:tcW w:w="2186" w:type="dxa"/>
            <w:gridSpan w:val="9"/>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国有股东减持股数</w:t>
            </w:r>
          </w:p>
        </w:tc>
        <w:tc>
          <w:tcPr>
            <w:tcW w:w="1175" w:type="dxa"/>
            <w:gridSpan w:val="3"/>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660" w:type="dxa"/>
            <w:gridSpan w:val="7"/>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850"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9" w:type="dxa"/>
            <w:gridSpan w:val="3"/>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946" w:type="dxa"/>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2186" w:type="dxa"/>
            <w:gridSpan w:val="9"/>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国有股东上缴社保基金股数</w:t>
            </w:r>
          </w:p>
        </w:tc>
        <w:tc>
          <w:tcPr>
            <w:tcW w:w="1181" w:type="dxa"/>
            <w:gridSpan w:val="4"/>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654" w:type="dxa"/>
            <w:gridSpan w:val="6"/>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上缴社保基金金额</w:t>
            </w:r>
          </w:p>
        </w:tc>
        <w:tc>
          <w:tcPr>
            <w:tcW w:w="850" w:type="dxa"/>
            <w:gridSpan w:val="2"/>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9" w:type="dxa"/>
            <w:gridSpan w:val="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946" w:type="dxa"/>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1371" w:type="dxa"/>
            <w:gridSpan w:val="3"/>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募集资金运用计划</w:t>
            </w:r>
          </w:p>
        </w:tc>
        <w:tc>
          <w:tcPr>
            <w:tcW w:w="1335" w:type="dxa"/>
            <w:gridSpan w:val="6"/>
            <w:vMerge w:val="restart"/>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留存境外</w:t>
            </w:r>
          </w:p>
        </w:tc>
        <w:tc>
          <w:tcPr>
            <w:tcW w:w="1276" w:type="dxa"/>
            <w:gridSpan w:val="4"/>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用途</w:t>
            </w:r>
          </w:p>
        </w:tc>
        <w:tc>
          <w:tcPr>
            <w:tcW w:w="2410" w:type="dxa"/>
            <w:gridSpan w:val="9"/>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金额</w:t>
            </w:r>
          </w:p>
        </w:tc>
        <w:tc>
          <w:tcPr>
            <w:tcW w:w="2505" w:type="dxa"/>
            <w:gridSpan w:val="6"/>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币种</w:t>
            </w: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restart"/>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调回境内</w:t>
            </w:r>
          </w:p>
        </w:tc>
        <w:tc>
          <w:tcPr>
            <w:tcW w:w="1276" w:type="dxa"/>
            <w:gridSpan w:val="4"/>
            <w:vMerge w:val="restart"/>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276"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276" w:type="dxa"/>
            <w:gridSpan w:val="4"/>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4915" w:type="dxa"/>
            <w:gridSpan w:val="15"/>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bottom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2" w:space="0"/>
              <w:right w:val="single" w:color="auto" w:sz="4" w:space="0"/>
            </w:tcBorders>
            <w:vAlign w:val="center"/>
          </w:tcPr>
          <w:p>
            <w:pPr>
              <w:spacing w:line="340" w:lineRule="exact"/>
              <w:rPr>
                <w:rFonts w:ascii="Times New Roman" w:hAnsi="Times New Roman" w:eastAsia="华文楷体" w:cs="Times New Roman"/>
                <w:sz w:val="24"/>
              </w:rPr>
            </w:pPr>
            <w:r>
              <w:rPr>
                <w:rFonts w:ascii="Times New Roman" w:hAnsi="华文楷体" w:eastAsia="华文楷体" w:cs="Times New Roman"/>
                <w:sz w:val="24"/>
              </w:rPr>
              <w:t>其中</w:t>
            </w:r>
            <w:r>
              <w:rPr>
                <w:rFonts w:ascii="Times New Roman" w:hAnsi="Times New Roman" w:eastAsia="华文楷体" w:cs="Times New Roman"/>
                <w:sz w:val="24"/>
              </w:rPr>
              <w:t>:</w:t>
            </w:r>
            <w:r>
              <w:rPr>
                <w:rFonts w:ascii="Times New Roman" w:hAnsi="华文楷体" w:eastAsia="华文楷体" w:cs="Times New Roman"/>
                <w:sz w:val="24"/>
              </w:rPr>
              <w:t>结汇</w:t>
            </w:r>
          </w:p>
        </w:tc>
        <w:tc>
          <w:tcPr>
            <w:tcW w:w="2410" w:type="dxa"/>
            <w:gridSpan w:val="9"/>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restart"/>
            <w:tcBorders>
              <w:top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账户信息</w:t>
            </w:r>
          </w:p>
        </w:tc>
        <w:tc>
          <w:tcPr>
            <w:tcW w:w="2611" w:type="dxa"/>
            <w:gridSpan w:val="10"/>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开户银行</w:t>
            </w:r>
          </w:p>
        </w:tc>
        <w:tc>
          <w:tcPr>
            <w:tcW w:w="2410" w:type="dxa"/>
            <w:gridSpan w:val="9"/>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境外上市专用外汇账户账号</w:t>
            </w:r>
          </w:p>
        </w:tc>
        <w:tc>
          <w:tcPr>
            <w:tcW w:w="2505" w:type="dxa"/>
            <w:gridSpan w:val="6"/>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结汇待支付账户账号</w:t>
            </w: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2611" w:type="dxa"/>
            <w:gridSpan w:val="10"/>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2611" w:type="dxa"/>
            <w:gridSpan w:val="10"/>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2611" w:type="dxa"/>
            <w:gridSpan w:val="10"/>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restart"/>
            <w:tcBorders>
              <w:top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募集资金实际运用情况</w:t>
            </w:r>
          </w:p>
        </w:tc>
        <w:tc>
          <w:tcPr>
            <w:tcW w:w="1335" w:type="dxa"/>
            <w:gridSpan w:val="6"/>
            <w:vMerge w:val="restart"/>
            <w:tcBorders>
              <w:top w:val="single" w:color="auto" w:sz="2"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留存境外</w:t>
            </w:r>
          </w:p>
        </w:tc>
        <w:tc>
          <w:tcPr>
            <w:tcW w:w="1276" w:type="dxa"/>
            <w:gridSpan w:val="4"/>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用途</w:t>
            </w:r>
          </w:p>
        </w:tc>
        <w:tc>
          <w:tcPr>
            <w:tcW w:w="2410" w:type="dxa"/>
            <w:gridSpan w:val="9"/>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金额</w:t>
            </w:r>
          </w:p>
        </w:tc>
        <w:tc>
          <w:tcPr>
            <w:tcW w:w="2505" w:type="dxa"/>
            <w:gridSpan w:val="6"/>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币种</w:t>
            </w: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restart"/>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调回境内</w:t>
            </w:r>
            <w:r>
              <w:rPr>
                <w:rFonts w:ascii="Times New Roman" w:hAnsi="Times New Roman" w:eastAsia="华文楷体" w:cs="Times New Roman"/>
                <w:sz w:val="24"/>
              </w:rPr>
              <w:t xml:space="preserve">     </w:t>
            </w:r>
          </w:p>
        </w:tc>
        <w:tc>
          <w:tcPr>
            <w:tcW w:w="1276" w:type="dxa"/>
            <w:gridSpan w:val="4"/>
            <w:vMerge w:val="restart"/>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4915" w:type="dxa"/>
            <w:gridSpan w:val="15"/>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其中</w:t>
            </w:r>
            <w:r>
              <w:rPr>
                <w:rFonts w:ascii="Times New Roman" w:hAnsi="Times New Roman" w:eastAsia="华文楷体" w:cs="Times New Roman"/>
                <w:sz w:val="24"/>
              </w:rPr>
              <w:t>:</w:t>
            </w:r>
            <w:r>
              <w:rPr>
                <w:rFonts w:ascii="Times New Roman" w:hAnsi="华文楷体" w:eastAsia="华文楷体" w:cs="Times New Roman"/>
                <w:sz w:val="24"/>
              </w:rPr>
              <w:t>结汇</w:t>
            </w:r>
          </w:p>
        </w:tc>
        <w:tc>
          <w:tcPr>
            <w:tcW w:w="2410" w:type="dxa"/>
            <w:gridSpan w:val="9"/>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tcBorders>
            <w:vAlign w:val="center"/>
          </w:tcPr>
          <w:p>
            <w:pPr>
              <w:spacing w:line="340" w:lineRule="exact"/>
              <w:jc w:val="center"/>
              <w:rPr>
                <w:rFonts w:ascii="Times New Roman" w:hAnsi="Times New Roman" w:eastAsia="华文楷体" w:cs="Times New Roman"/>
                <w:sz w:val="24"/>
              </w:rPr>
            </w:pPr>
          </w:p>
        </w:tc>
      </w:tr>
      <w:tr>
        <w:trPr>
          <w:trHeight w:val="20"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回购境外股份信息</w:t>
            </w:r>
          </w:p>
        </w:tc>
      </w:tr>
      <w:tr>
        <w:trPr>
          <w:trHeight w:val="20" w:hRule="atLeast"/>
          <w:jc w:val="center"/>
        </w:trPr>
        <w:tc>
          <w:tcPr>
            <w:tcW w:w="3557" w:type="dxa"/>
            <w:gridSpan w:val="12"/>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证监会许可文号（如有）</w:t>
            </w:r>
          </w:p>
        </w:tc>
        <w:tc>
          <w:tcPr>
            <w:tcW w:w="5340" w:type="dxa"/>
            <w:gridSpan w:val="16"/>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801" w:type="dxa"/>
            <w:gridSpan w:val="2"/>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2756" w:type="dxa"/>
            <w:gridSpan w:val="10"/>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回购证券种类</w:t>
            </w:r>
          </w:p>
        </w:tc>
        <w:tc>
          <w:tcPr>
            <w:tcW w:w="2835" w:type="dxa"/>
            <w:gridSpan w:val="10"/>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回购数量</w:t>
            </w:r>
          </w:p>
        </w:tc>
        <w:tc>
          <w:tcPr>
            <w:tcW w:w="1230"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2756" w:type="dxa"/>
            <w:gridSpan w:val="10"/>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回购金额</w:t>
            </w:r>
          </w:p>
        </w:tc>
        <w:tc>
          <w:tcPr>
            <w:tcW w:w="2835" w:type="dxa"/>
            <w:gridSpan w:val="10"/>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回购期限</w:t>
            </w:r>
          </w:p>
        </w:tc>
        <w:tc>
          <w:tcPr>
            <w:tcW w:w="1230"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计划使用金额</w:t>
            </w:r>
          </w:p>
        </w:tc>
        <w:tc>
          <w:tcPr>
            <w:tcW w:w="2045" w:type="dxa"/>
            <w:gridSpan w:val="8"/>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2835" w:type="dxa"/>
            <w:gridSpan w:val="10"/>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汇出</w:t>
            </w:r>
          </w:p>
        </w:tc>
        <w:tc>
          <w:tcPr>
            <w:tcW w:w="1334" w:type="dxa"/>
            <w:gridSpan w:val="6"/>
            <w:tcBorders>
              <w:top w:val="single" w:color="auto" w:sz="2" w:space="0"/>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2835" w:type="dxa"/>
            <w:gridSpan w:val="10"/>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2835" w:type="dxa"/>
            <w:gridSpan w:val="10"/>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2835" w:type="dxa"/>
            <w:gridSpan w:val="10"/>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801" w:type="dxa"/>
            <w:gridSpan w:val="2"/>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情况</w:t>
            </w:r>
          </w:p>
        </w:tc>
        <w:tc>
          <w:tcPr>
            <w:tcW w:w="2756" w:type="dxa"/>
            <w:gridSpan w:val="10"/>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回购证券种类</w:t>
            </w:r>
          </w:p>
        </w:tc>
        <w:tc>
          <w:tcPr>
            <w:tcW w:w="2835" w:type="dxa"/>
            <w:gridSpan w:val="10"/>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回购数量</w:t>
            </w:r>
          </w:p>
        </w:tc>
        <w:tc>
          <w:tcPr>
            <w:tcW w:w="1230"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2756" w:type="dxa"/>
            <w:gridSpan w:val="10"/>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回购金额</w:t>
            </w:r>
          </w:p>
        </w:tc>
        <w:tc>
          <w:tcPr>
            <w:tcW w:w="2835" w:type="dxa"/>
            <w:gridSpan w:val="10"/>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回购期限</w:t>
            </w:r>
          </w:p>
        </w:tc>
        <w:tc>
          <w:tcPr>
            <w:tcW w:w="1230"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实际使用金额</w:t>
            </w:r>
          </w:p>
        </w:tc>
        <w:tc>
          <w:tcPr>
            <w:tcW w:w="2045" w:type="dxa"/>
            <w:gridSpan w:val="8"/>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2835" w:type="dxa"/>
            <w:gridSpan w:val="10"/>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334"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2835" w:type="dxa"/>
            <w:gridSpan w:val="10"/>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2835" w:type="dxa"/>
            <w:gridSpan w:val="10"/>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2835" w:type="dxa"/>
            <w:gridSpan w:val="10"/>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3"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回购剩余资金调回</w:t>
            </w:r>
          </w:p>
        </w:tc>
        <w:tc>
          <w:tcPr>
            <w:tcW w:w="1343" w:type="dxa"/>
            <w:gridSpan w:val="7"/>
            <w:vMerge w:val="restart"/>
            <w:tcBorders>
              <w:top w:val="single" w:color="auto" w:sz="4" w:space="0"/>
              <w:left w:val="single" w:color="auto" w:sz="4"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调回资金</w:t>
            </w:r>
          </w:p>
        </w:tc>
        <w:tc>
          <w:tcPr>
            <w:tcW w:w="2835" w:type="dxa"/>
            <w:gridSpan w:val="10"/>
            <w:tcBorders>
              <w:top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3"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343" w:type="dxa"/>
            <w:gridSpan w:val="7"/>
            <w:vMerge w:val="continue"/>
            <w:tcBorders>
              <w:left w:val="single" w:color="auto" w:sz="4" w:space="0"/>
            </w:tcBorders>
            <w:vAlign w:val="center"/>
          </w:tcPr>
          <w:p>
            <w:pPr>
              <w:spacing w:line="280" w:lineRule="exact"/>
              <w:jc w:val="left"/>
              <w:rPr>
                <w:rFonts w:ascii="Times New Roman" w:hAnsi="Times New Roman" w:eastAsia="华文楷体" w:cs="Times New Roman"/>
                <w:sz w:val="24"/>
              </w:rPr>
            </w:pPr>
          </w:p>
        </w:tc>
        <w:tc>
          <w:tcPr>
            <w:tcW w:w="2835" w:type="dxa"/>
            <w:gridSpan w:val="10"/>
            <w:tcBorders>
              <w:top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3"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343" w:type="dxa"/>
            <w:gridSpan w:val="7"/>
            <w:tcBorders>
              <w:left w:val="single" w:color="auto" w:sz="4"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5340" w:type="dxa"/>
            <w:gridSpan w:val="16"/>
            <w:tcBorders>
              <w:top w:val="single" w:color="auto" w:sz="4" w:space="0"/>
            </w:tcBorders>
            <w:vAlign w:val="center"/>
          </w:tcPr>
          <w:p>
            <w:pPr>
              <w:spacing w:line="340" w:lineRule="exact"/>
              <w:jc w:val="center"/>
              <w:rPr>
                <w:rFonts w:ascii="Times New Roman" w:hAnsi="Times New Roman" w:eastAsia="华文楷体" w:cs="Times New Roman"/>
                <w:sz w:val="24"/>
              </w:rPr>
            </w:pPr>
          </w:p>
        </w:tc>
      </w:tr>
      <w:tr>
        <w:trPr>
          <w:trHeight w:val="20"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可转债转股信息</w:t>
            </w:r>
          </w:p>
        </w:tc>
      </w:tr>
      <w:tr>
        <w:trPr>
          <w:trHeight w:val="20" w:hRule="atLeast"/>
          <w:jc w:val="center"/>
        </w:trPr>
        <w:tc>
          <w:tcPr>
            <w:tcW w:w="3982" w:type="dxa"/>
            <w:gridSpan w:val="13"/>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证监会许可文号（如有）</w:t>
            </w:r>
          </w:p>
        </w:tc>
        <w:tc>
          <w:tcPr>
            <w:tcW w:w="4915" w:type="dxa"/>
            <w:gridSpan w:val="1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trHeight w:val="20" w:hRule="atLeast"/>
          <w:jc w:val="center"/>
        </w:trPr>
        <w:tc>
          <w:tcPr>
            <w:tcW w:w="2223" w:type="dxa"/>
            <w:gridSpan w:val="6"/>
            <w:tcBorders>
              <w:left w:val="doub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外债登记编号</w:t>
            </w:r>
          </w:p>
        </w:tc>
        <w:tc>
          <w:tcPr>
            <w:tcW w:w="1759" w:type="dxa"/>
            <w:gridSpan w:val="7"/>
            <w:tcBorders>
              <w:bottom w:val="single" w:color="auto" w:sz="4" w:space="0"/>
              <w:right w:val="single" w:color="auto" w:sz="2"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转换比例</w:t>
            </w:r>
          </w:p>
        </w:tc>
        <w:tc>
          <w:tcPr>
            <w:tcW w:w="2505" w:type="dxa"/>
            <w:gridSpan w:val="6"/>
            <w:tcBorders>
              <w:left w:val="single" w:color="auto" w:sz="2"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trHeight w:val="20" w:hRule="atLeast"/>
          <w:jc w:val="center"/>
        </w:trPr>
        <w:tc>
          <w:tcPr>
            <w:tcW w:w="2223" w:type="dxa"/>
            <w:gridSpan w:val="6"/>
            <w:tcBorders>
              <w:top w:val="single" w:color="auto" w:sz="4" w:space="0"/>
              <w:left w:val="doub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债转股前债券总数</w:t>
            </w:r>
          </w:p>
        </w:tc>
        <w:tc>
          <w:tcPr>
            <w:tcW w:w="1759" w:type="dxa"/>
            <w:gridSpan w:val="7"/>
            <w:tcBorders>
              <w:top w:val="single" w:color="auto" w:sz="4" w:space="0"/>
              <w:bottom w:val="single" w:color="auto" w:sz="4" w:space="0"/>
              <w:right w:val="single" w:color="auto" w:sz="2"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债转股前总股数</w:t>
            </w:r>
          </w:p>
        </w:tc>
        <w:tc>
          <w:tcPr>
            <w:tcW w:w="2505" w:type="dxa"/>
            <w:gridSpan w:val="6"/>
            <w:tcBorders>
              <w:top w:val="single" w:color="auto" w:sz="4" w:space="0"/>
              <w:left w:val="single" w:color="auto" w:sz="2"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trHeight w:val="20" w:hRule="atLeast"/>
          <w:jc w:val="center"/>
        </w:trPr>
        <w:tc>
          <w:tcPr>
            <w:tcW w:w="2223" w:type="dxa"/>
            <w:gridSpan w:val="6"/>
            <w:tcBorders>
              <w:top w:val="single" w:color="auto" w:sz="4" w:space="0"/>
              <w:left w:val="doub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本次转换债券数</w:t>
            </w:r>
          </w:p>
        </w:tc>
        <w:tc>
          <w:tcPr>
            <w:tcW w:w="1759" w:type="dxa"/>
            <w:gridSpan w:val="7"/>
            <w:tcBorders>
              <w:top w:val="single" w:color="auto" w:sz="4" w:space="0"/>
              <w:bottom w:val="single" w:color="auto" w:sz="4" w:space="0"/>
              <w:right w:val="single" w:color="auto" w:sz="2"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本次转换股数</w:t>
            </w:r>
          </w:p>
        </w:tc>
        <w:tc>
          <w:tcPr>
            <w:tcW w:w="2505" w:type="dxa"/>
            <w:gridSpan w:val="6"/>
            <w:tcBorders>
              <w:top w:val="single" w:color="auto" w:sz="4" w:space="0"/>
              <w:left w:val="single" w:color="auto" w:sz="2"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trHeight w:val="20" w:hRule="atLeast"/>
          <w:jc w:val="center"/>
        </w:trPr>
        <w:tc>
          <w:tcPr>
            <w:tcW w:w="8897" w:type="dxa"/>
            <w:gridSpan w:val="28"/>
            <w:tcBorders>
              <w:top w:val="single" w:color="auto" w:sz="4" w:space="0"/>
            </w:tcBorders>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其他需要说明的信息</w:t>
            </w:r>
          </w:p>
        </w:tc>
      </w:tr>
      <w:tr>
        <w:trPr>
          <w:trHeight w:val="1798" w:hRule="atLeast"/>
          <w:jc w:val="center"/>
        </w:trPr>
        <w:tc>
          <w:tcPr>
            <w:tcW w:w="8897" w:type="dxa"/>
            <w:gridSpan w:val="28"/>
            <w:tcBorders>
              <w:bottom w:val="single" w:color="auto" w:sz="4" w:space="0"/>
            </w:tcBorders>
            <w:vAlign w:val="center"/>
          </w:tcPr>
          <w:p>
            <w:pPr>
              <w:spacing w:line="520" w:lineRule="exact"/>
              <w:jc w:val="center"/>
              <w:rPr>
                <w:rFonts w:ascii="Times New Roman" w:hAnsi="Times New Roman" w:eastAsia="华文楷体" w:cs="Times New Roman"/>
                <w:b/>
                <w:sz w:val="24"/>
              </w:rPr>
            </w:pPr>
          </w:p>
        </w:tc>
      </w:tr>
      <w:tr>
        <w:trPr>
          <w:trHeight w:val="3106" w:hRule="atLeast"/>
          <w:jc w:val="center"/>
        </w:trPr>
        <w:tc>
          <w:tcPr>
            <w:tcW w:w="8897" w:type="dxa"/>
            <w:gridSpan w:val="28"/>
            <w:tcBorders>
              <w:top w:val="single" w:color="auto" w:sz="4" w:space="0"/>
            </w:tcBorders>
            <w:vAlign w:val="center"/>
          </w:tcPr>
          <w:p>
            <w:pPr>
              <w:spacing w:line="460" w:lineRule="exact"/>
              <w:ind w:firstLine="480" w:firstLineChars="200"/>
              <w:rPr>
                <w:rFonts w:ascii="Times New Roman" w:hAnsi="Times New Roman" w:eastAsia="华文楷体" w:cs="Times New Roman"/>
                <w:b/>
                <w:sz w:val="24"/>
              </w:rPr>
            </w:pPr>
            <w:r>
              <w:rPr>
                <w:rFonts w:ascii="Times New Roman" w:hAnsi="华文楷体" w:eastAsia="华文楷体" w:cs="Times New Roman"/>
                <w:b/>
                <w:sz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pPr>
              <w:spacing w:line="460" w:lineRule="exact"/>
              <w:jc w:val="center"/>
              <w:rPr>
                <w:rFonts w:ascii="Times New Roman" w:hAnsi="Times New Roman" w:eastAsia="华文楷体" w:cs="Times New Roman"/>
                <w:b/>
                <w:sz w:val="24"/>
              </w:rPr>
            </w:pPr>
          </w:p>
          <w:p>
            <w:pPr>
              <w:spacing w:line="460" w:lineRule="exact"/>
              <w:ind w:firstLine="1922" w:firstLineChars="800"/>
              <w:rPr>
                <w:rFonts w:ascii="Times New Roman" w:hAnsi="Times New Roman" w:eastAsia="华文楷体" w:cs="Times New Roman"/>
                <w:b/>
                <w:sz w:val="24"/>
              </w:rPr>
            </w:pPr>
            <w:r>
              <w:rPr>
                <w:rFonts w:ascii="Times New Roman" w:hAnsi="华文楷体" w:eastAsia="华文楷体" w:cs="Times New Roman"/>
                <w:b/>
                <w:sz w:val="24"/>
              </w:rPr>
              <w:t>境外上市的境内公司（名称及公章）：</w:t>
            </w:r>
          </w:p>
          <w:p>
            <w:pPr>
              <w:spacing w:line="460" w:lineRule="exact"/>
              <w:jc w:val="center"/>
              <w:rPr>
                <w:rFonts w:ascii="Times New Roman" w:hAnsi="Times New Roman" w:eastAsia="华文楷体" w:cs="Times New Roman"/>
                <w:b/>
                <w:sz w:val="24"/>
              </w:rPr>
            </w:pPr>
            <w:r>
              <w:rPr>
                <w:rFonts w:ascii="Times New Roman" w:hAnsi="华文楷体" w:eastAsia="华文楷体" w:cs="Times New Roman"/>
                <w:b/>
                <w:sz w:val="24"/>
              </w:rPr>
              <w:t>年</w:t>
            </w:r>
            <w:r>
              <w:rPr>
                <w:rFonts w:ascii="Times New Roman" w:hAnsi="Times New Roman" w:eastAsia="华文楷体" w:cs="Times New Roman"/>
                <w:b/>
                <w:sz w:val="24"/>
              </w:rPr>
              <w:t xml:space="preserve">      </w:t>
            </w:r>
            <w:r>
              <w:rPr>
                <w:rFonts w:ascii="Times New Roman" w:hAnsi="华文楷体" w:eastAsia="华文楷体" w:cs="Times New Roman"/>
                <w:b/>
                <w:sz w:val="24"/>
              </w:rPr>
              <w:t>月</w:t>
            </w:r>
            <w:r>
              <w:rPr>
                <w:rFonts w:ascii="Times New Roman" w:hAnsi="Times New Roman" w:eastAsia="华文楷体" w:cs="Times New Roman"/>
                <w:b/>
                <w:sz w:val="24"/>
              </w:rPr>
              <w:t xml:space="preserve">      </w:t>
            </w:r>
            <w:r>
              <w:rPr>
                <w:rFonts w:ascii="Times New Roman" w:hAnsi="华文楷体" w:eastAsia="华文楷体"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rPr>
      </w:pPr>
      <w:r>
        <w:rPr>
          <w:rFonts w:ascii="Times New Roman" w:hAnsi="Times New Roman" w:cs="Times New Roman"/>
        </w:rPr>
        <w:t>1</w:t>
      </w:r>
      <w:r>
        <w:rPr>
          <w:rFonts w:ascii="Times New Roman" w:hAnsi="宋体" w:cs="Times New Roman"/>
        </w:rPr>
        <w:t>、境内公司填报本登记表，外汇局审核无误并在资本项目信息系统办理登记后，将加盖业务印章的《业务登记凭证》交境内公司。</w:t>
      </w:r>
    </w:p>
    <w:p>
      <w:pPr>
        <w:rPr>
          <w:rFonts w:ascii="Times New Roman" w:hAnsi="Times New Roman" w:eastAsia="华文仿宋" w:cs="Times New Roman"/>
        </w:rPr>
      </w:pPr>
      <w:r>
        <w:rPr>
          <w:rFonts w:ascii="Times New Roman" w:hAnsi="Times New Roman" w:cs="Times New Roman"/>
        </w:rPr>
        <w:t>2</w:t>
      </w:r>
      <w:r>
        <w:rPr>
          <w:rFonts w:ascii="Times New Roman" w:hAnsi="宋体" w:cs="Times New Roman"/>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w:t>
      </w:r>
      <w:r>
        <w:rPr>
          <w:rFonts w:hint="eastAsia" w:ascii="Times New Roman" w:hAnsi="宋体" w:cs="Times New Roman"/>
        </w:rPr>
        <w:t>。</w:t>
      </w:r>
    </w:p>
    <w:p>
      <w:pPr>
        <w:rPr>
          <w:rFonts w:ascii="Times New Roman" w:hAnsi="Times New Roman" w:eastAsia="华文仿宋" w:cs="Times New Roman"/>
        </w:rPr>
      </w:pPr>
    </w:p>
    <w:p>
      <w:pPr>
        <w:widowControl/>
        <w:jc w:val="left"/>
        <w:rPr>
          <w:rFonts w:ascii="Times New Roman" w:hAnsi="Times New Roman" w:eastAsia="华文仿宋" w:cs="Times New Roman"/>
        </w:rPr>
      </w:pPr>
      <w:r>
        <w:rPr>
          <w:rFonts w:ascii="Times New Roman" w:hAnsi="Times New Roman" w:eastAsia="华文仿宋" w:cs="Times New Roman"/>
        </w:rPr>
        <w:br w:type="page"/>
      </w:r>
    </w:p>
    <w:p>
      <w:pPr>
        <w:widowControl/>
        <w:spacing w:line="384"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附录三             </w:t>
      </w:r>
    </w:p>
    <w:p>
      <w:pPr>
        <w:widowControl/>
        <w:spacing w:line="384"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境外上市登记表（错误示例）</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登记类别：　□登记　□变更登记  □注销登记　　　编号（外汇局填写）：</w:t>
      </w:r>
    </w:p>
    <w:tbl>
      <w:tblPr>
        <w:tblW w:w="88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4"/>
        <w:gridCol w:w="565"/>
        <w:gridCol w:w="863"/>
        <w:gridCol w:w="413"/>
        <w:gridCol w:w="709"/>
        <w:gridCol w:w="307"/>
        <w:gridCol w:w="118"/>
        <w:gridCol w:w="992"/>
        <w:gridCol w:w="283"/>
        <w:gridCol w:w="51"/>
        <w:gridCol w:w="942"/>
        <w:gridCol w:w="213"/>
        <w:gridCol w:w="1063"/>
        <w:gridCol w:w="1042"/>
      </w:tblGrid>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境外上市的境内公司（以下简称境内公司）基本信息</w:t>
            </w: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境内公司名称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统一社会信用代码</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注册地址</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上市地及证券交易</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所</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上市时间</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证监会批准文号</w:t>
            </w:r>
          </w:p>
        </w:tc>
        <w:tc>
          <w:tcPr>
            <w:tcW w:w="7561" w:type="dxa"/>
            <w:gridSpan w:val="1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证券名</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证券代码</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总股数</w:t>
            </w:r>
          </w:p>
          <w:p>
            <w:pPr>
              <w:autoSpaceDE w:val="0"/>
              <w:autoSpaceDN w:val="0"/>
              <w:adjustRightInd w:val="0"/>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总股本金额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总股本变更原因</w:t>
            </w:r>
          </w:p>
        </w:tc>
        <w:tc>
          <w:tcPr>
            <w:tcW w:w="7561" w:type="dxa"/>
            <w:gridSpan w:val="1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□增发（含超额配售）　　　□回购　　　□可转债转股</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□资本公积、盈余公积、未分配利润转增股本</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r>
              <w:rPr>
                <w:rFonts w:ascii="Times New Roman" w:hAnsi="Times New Roman" w:eastAsia="仿宋_GB2312" w:cs="Times New Roman"/>
                <w:kern w:val="0"/>
                <w:sz w:val="24"/>
                <w:szCs w:val="24"/>
                <w:u w:val="single"/>
              </w:rPr>
              <w:t>具体说明　　　　　　　　　　　　　　　　　　　</w:t>
            </w:r>
            <w:r>
              <w:rPr>
                <w:rFonts w:ascii="Times New Roman" w:hAnsi="Times New Roman" w:eastAsia="仿宋_GB2312" w:cs="Times New Roman"/>
                <w:kern w:val="0"/>
                <w:sz w:val="24"/>
                <w:szCs w:val="24"/>
              </w:rPr>
              <w:t>）</w:t>
            </w: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联系人</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联系电话</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主要境内股东的基本信息</w:t>
            </w:r>
          </w:p>
        </w:tc>
      </w:tr>
      <w:tr>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名称（或姓名）</w:t>
            </w:r>
          </w:p>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统一社会信用代码（或身份证号码）</w:t>
            </w: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持股比例</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注册地址</w:t>
            </w:r>
          </w:p>
        </w:tc>
      </w:tr>
      <w:tr>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境内股东1</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境内股东2</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发行信息</w:t>
            </w:r>
          </w:p>
        </w:tc>
      </w:tr>
      <w:tr>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发行方式</w:t>
            </w:r>
          </w:p>
        </w:tc>
        <w:tc>
          <w:tcPr>
            <w:tcW w:w="5720" w:type="dxa"/>
            <w:gridSpan w:val="10"/>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□首次发行　　　　　　　□增发（含超额配售）</w:t>
            </w:r>
          </w:p>
        </w:tc>
      </w:tr>
      <w:tr>
        <w:tc>
          <w:tcPr>
            <w:tcW w:w="3085" w:type="dxa"/>
            <w:gridSpan w:val="4"/>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发行种类</w:t>
            </w:r>
          </w:p>
        </w:tc>
        <w:tc>
          <w:tcPr>
            <w:tcW w:w="2409"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股票</w:t>
            </w:r>
          </w:p>
        </w:tc>
        <w:tc>
          <w:tcPr>
            <w:tcW w:w="1206"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存托凭证</w:t>
            </w:r>
          </w:p>
        </w:tc>
        <w:tc>
          <w:tcPr>
            <w:tcW w:w="2105"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p>
        </w:tc>
      </w:tr>
      <w:tr>
        <w:tc>
          <w:tcPr>
            <w:tcW w:w="3085"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普通股</w:t>
            </w: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优先股</w:t>
            </w:r>
          </w:p>
        </w:tc>
        <w:tc>
          <w:tcPr>
            <w:tcW w:w="1206"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10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r>
      <w:tr>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名称及代码</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发行时间　</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宋体" w:cs="Times New Roman"/>
                <w:kern w:val="2"/>
                <w:sz w:val="21"/>
                <w:szCs w:val="22"/>
                <w:lang w:val="en-US" w:eastAsia="zh-CN" w:bidi="ar-SA"/>
              </w:rPr>
              <w:pict>
                <v:shape id="Text Box 1763" o:spid="_x0000_s1062" type="#_x0000_t202" style="position:absolute;left:0;margin-left:-75.75pt;margin-top:12.45pt;height:66.7pt;width:43.75pt;rotation:0f;z-index:251663360;" o:ole="f" fillcolor="#BBD5F0" filled="f" o:preferrelative="t" stroked="f" coordorigin="0,0" coordsize="21600,21600">
                  <v:fill type="gradient" on="f" color2="#9CBEE0" focus="100%" focussize="0f,0f" focusposition="0f,0f"/>
                  <v:imagedata gain="65536f" blacklevel="0f" gamma="0"/>
                  <o:lock v:ext="edit" position="f" selection="f" grouping="f" rotation="f" cropping="f" text="f" aspectratio="f"/>
                  <v:textbox>
                    <w:txbxContent>
                      <w:p>
                        <w:pPr>
                          <w:rPr>
                            <w:rFonts w:ascii="楷体_GB2312" w:eastAsia="楷体_GB2312"/>
                          </w:rPr>
                        </w:pPr>
                        <w:r>
                          <w:rPr>
                            <w:rFonts w:hint="eastAsia" w:ascii="楷体_GB2312" w:eastAsia="楷体_GB2312"/>
                          </w:rPr>
                          <w:t>金额与币种不匹配</w:t>
                        </w:r>
                      </w:p>
                    </w:txbxContent>
                  </v:textbox>
                </v:shape>
              </w:pict>
            </w:r>
            <w:r>
              <w:rPr>
                <w:rFonts w:ascii="Times New Roman" w:hAnsi="Times New Roman" w:eastAsia="宋体" w:cs="Times New Roman"/>
                <w:kern w:val="2"/>
                <w:sz w:val="21"/>
                <w:szCs w:val="22"/>
                <w:lang w:val="en-US" w:eastAsia="zh-CN" w:bidi="ar-SA"/>
              </w:rPr>
              <w:pict>
                <v:rect id="Rectangle 1761" o:spid="_x0000_s1063" style="position:absolute;left:0;margin-left:-84pt;margin-top:0.45pt;height:91.5pt;width:59.4pt;rotation:0f;z-index:251661312;" o:ole="f" fillcolor="#FFFFFF" filled="t" o:preferrelative="t" stroked="t" coordsize="21600,21600">
                  <v:stroke color="#C00000" color2="#FFFFFF" miterlimit="2"/>
                  <v:imagedata gain="65536f" blacklevel="0f" gamma="0"/>
                  <o:lock v:ext="edit" position="f" selection="f" grouping="f" rotation="f" cropping="f" text="f" aspectratio="f"/>
                </v:rect>
              </w:pict>
            </w:r>
            <w:r>
              <w:rPr>
                <w:rFonts w:ascii="Times New Roman" w:hAnsi="Times New Roman" w:eastAsia="宋体" w:cs="Times New Roman"/>
                <w:kern w:val="2"/>
                <w:sz w:val="21"/>
                <w:szCs w:val="22"/>
                <w:lang w:val="en-US" w:eastAsia="zh-CN" w:bidi="ar-SA"/>
              </w:rPr>
              <w:pict>
                <v:shape id="Oval 1760" o:spid="_x0000_s1064" type="#_x0000_t3" style="position:absolute;left:0;margin-left:72.75pt;margin-top:11.5pt;height:25.5pt;width:62.25pt;rotation:0f;z-index:251660288;"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发行数量</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809"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宋体" w:cs="Times New Roman"/>
                <w:kern w:val="2"/>
                <w:sz w:val="21"/>
                <w:szCs w:val="22"/>
                <w:lang w:val="en-US" w:eastAsia="zh-CN" w:bidi="ar-SA"/>
              </w:rPr>
              <w:pict>
                <v:shape id="AutoShape 1762" o:spid="_x0000_s1065" type="#_x0000_t32" style="position:absolute;left:0;flip:x;margin-left:-24.75pt;margin-top:8.9pt;height:12pt;width:97.5pt;rotation:0f;z-index:251662336;"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实际</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募集资金</w:t>
            </w: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80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80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3685"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合计金额（折美元）</w:t>
            </w: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发行募集资金运用信息</w:t>
            </w:r>
          </w:p>
        </w:tc>
      </w:tr>
      <w:tr>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国有股减持上缴社保基金情况</w:t>
            </w:r>
          </w:p>
        </w:tc>
        <w:tc>
          <w:tcPr>
            <w:tcW w:w="1428"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国有股东减持股数</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减持金额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国有股东上缴社保基金股数</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上缴社保基金金额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募集资金</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运用计划</w:t>
            </w: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留存境外</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用途</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经常项下</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境外支付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境外投资</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境外放款</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现金留存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调回境内</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调回资金</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折美元合计</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其中：结汇</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账户信息</w:t>
            </w: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开户银行</w:t>
            </w: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境外上市专用</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外汇账户账号</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结汇待支付账户账号</w:t>
            </w: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募集资金</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实际运用</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情况</w:t>
            </w:r>
          </w:p>
          <w:p>
            <w:pPr>
              <w:autoSpaceDE w:val="0"/>
              <w:autoSpaceDN w:val="0"/>
              <w:adjustRightInd w:val="0"/>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留存境外</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用途</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经常项下</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境外支付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境外投资</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境外放款</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现金留存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调回境内</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调回资金</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折美元合计</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其中：结汇</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回购境外股份信息</w:t>
            </w:r>
          </w:p>
        </w:tc>
      </w:tr>
      <w:tr>
        <w:tc>
          <w:tcPr>
            <w:tcW w:w="5211" w:type="dxa"/>
            <w:gridSpan w:val="8"/>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证监会许可文号（如有）</w:t>
            </w:r>
          </w:p>
        </w:tc>
        <w:tc>
          <w:tcPr>
            <w:tcW w:w="3594"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计划</w:t>
            </w:r>
          </w:p>
          <w:p>
            <w:pPr>
              <w:autoSpaceDE w:val="0"/>
              <w:autoSpaceDN w:val="0"/>
              <w:adjustRightInd w:val="0"/>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回购证券种类</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回购数量</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回购金额</w:t>
            </w:r>
          </w:p>
          <w:p>
            <w:pPr>
              <w:autoSpaceDE w:val="0"/>
              <w:autoSpaceDN w:val="0"/>
              <w:adjustRightInd w:val="0"/>
              <w:jc w:val="left"/>
              <w:rPr>
                <w:rFonts w:ascii="Times New Roman" w:hAnsi="Times New Roman" w:eastAsia="仿宋_GB2312" w:cs="Times New Roman"/>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回购期限</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计划</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使用</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p>
            <w:pPr>
              <w:autoSpaceDE w:val="0"/>
              <w:autoSpaceDN w:val="0"/>
              <w:adjustRightInd w:val="0"/>
              <w:jc w:val="left"/>
              <w:rPr>
                <w:rFonts w:ascii="Times New Roman" w:hAnsi="Times New Roman" w:eastAsia="仿宋_GB2312" w:cs="Times New Roman"/>
                <w:kern w:val="0"/>
                <w:sz w:val="24"/>
                <w:szCs w:val="24"/>
              </w:rPr>
            </w:pPr>
          </w:p>
        </w:tc>
        <w:tc>
          <w:tcPr>
            <w:tcW w:w="1122"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境外解决</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汇出</w:t>
            </w:r>
          </w:p>
          <w:p>
            <w:pPr>
              <w:autoSpaceDE w:val="0"/>
              <w:autoSpaceDN w:val="0"/>
              <w:adjustRightInd w:val="0"/>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购汇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自有外汇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完成</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情况</w:t>
            </w:r>
          </w:p>
          <w:p>
            <w:pPr>
              <w:autoSpaceDE w:val="0"/>
              <w:autoSpaceDN w:val="0"/>
              <w:adjustRightInd w:val="0"/>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回购证券种类</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回购数量</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回购金额</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回购期限</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计划使用金额</w:t>
            </w:r>
          </w:p>
        </w:tc>
        <w:tc>
          <w:tcPr>
            <w:tcW w:w="1122"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境外解决</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境内汇出</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购汇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自有外汇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550" w:type="dxa"/>
            <w:gridSpan w:val="4"/>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回购剩余资金调回</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调回资金</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55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折美元合计</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可转债转股信息</w:t>
            </w:r>
          </w:p>
        </w:tc>
      </w:tr>
      <w:tr>
        <w:tc>
          <w:tcPr>
            <w:tcW w:w="3794"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证监会许可文号（如有）</w:t>
            </w:r>
          </w:p>
        </w:tc>
        <w:tc>
          <w:tcPr>
            <w:tcW w:w="501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外债登记编号</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转换比例</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rPr>
          <w:trHeight w:val="77" w:hRule="atLeast"/>
        </w:trP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债转股前债券总数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债转股前总股数</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本次转换债券数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本次转换股数</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其他需要说明的信息</w:t>
            </w:r>
          </w:p>
        </w:tc>
      </w:tr>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tc>
      </w:tr>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firstLine="48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境外上市的境内公司（名称及公章）：</w:t>
            </w:r>
          </w:p>
          <w:p>
            <w:pPr>
              <w:autoSpaceDE w:val="0"/>
              <w:autoSpaceDN w:val="0"/>
              <w:adjustRightInd w:val="0"/>
              <w:ind w:right="96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　　月　　日　</w:t>
            </w:r>
          </w:p>
          <w:p>
            <w:pPr>
              <w:autoSpaceDE w:val="0"/>
              <w:autoSpaceDN w:val="0"/>
              <w:adjustRightInd w:val="0"/>
              <w:jc w:val="left"/>
              <w:rPr>
                <w:rFonts w:ascii="Times New Roman" w:hAnsi="Times New Roman" w:eastAsia="仿宋_GB2312" w:cs="Times New Roman"/>
                <w:kern w:val="0"/>
                <w:sz w:val="24"/>
                <w:szCs w:val="24"/>
              </w:rPr>
            </w:pPr>
          </w:p>
        </w:tc>
      </w:tr>
    </w:tbl>
    <w:p>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填表说明：</w:t>
      </w:r>
    </w:p>
    <w:p>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１</w:t>
      </w:r>
      <w:r>
        <w:rPr>
          <w:rFonts w:hint="eastAsia" w:ascii="Times New Roman" w:hAnsi="宋体" w:cs="Times New Roman"/>
          <w:kern w:val="0"/>
          <w:szCs w:val="21"/>
        </w:rPr>
        <w:t>.</w:t>
      </w:r>
      <w:r>
        <w:rPr>
          <w:rFonts w:ascii="Times New Roman" w:hAnsi="宋体" w:cs="Times New Roman"/>
          <w:kern w:val="0"/>
          <w:szCs w:val="21"/>
        </w:rPr>
        <w:t>境内公司填报本登记表，外汇局审核无误并在资本项目信息系统办理登记后，</w:t>
      </w:r>
      <w:r>
        <w:rPr>
          <w:rFonts w:ascii="Times New Roman" w:hAnsi="Times New Roman" w:cs="Times New Roman"/>
          <w:kern w:val="0"/>
          <w:szCs w:val="21"/>
        </w:rPr>
        <w:t xml:space="preserve"> </w:t>
      </w:r>
      <w:r>
        <w:rPr>
          <w:rFonts w:ascii="Times New Roman" w:hAnsi="宋体" w:cs="Times New Roman"/>
          <w:kern w:val="0"/>
          <w:szCs w:val="21"/>
        </w:rPr>
        <w:t>将加盖业务印章的业务登记凭证交境内公司。</w:t>
      </w:r>
    </w:p>
    <w:p>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２</w:t>
      </w:r>
      <w:r>
        <w:rPr>
          <w:rFonts w:hint="eastAsia" w:ascii="Times New Roman" w:hAnsi="宋体" w:cs="Times New Roman"/>
          <w:kern w:val="0"/>
          <w:szCs w:val="21"/>
        </w:rPr>
        <w:t>.</w:t>
      </w:r>
      <w:r>
        <w:rPr>
          <w:rFonts w:ascii="Times New Roman" w:hAnsi="宋体" w:cs="Times New Roman"/>
          <w:kern w:val="0"/>
          <w:szCs w:val="21"/>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w:t>
      </w:r>
      <w:r>
        <w:rPr>
          <w:rFonts w:hint="eastAsia" w:ascii="Times New Roman" w:hAnsi="宋体" w:cs="Times New Roman"/>
          <w:kern w:val="0"/>
          <w:szCs w:val="21"/>
        </w:rPr>
        <w:t>。</w:t>
      </w:r>
    </w:p>
    <w:p>
      <w:pPr>
        <w:adjustRightInd w:val="0"/>
        <w:snapToGrid w:val="0"/>
        <w:spacing w:line="360" w:lineRule="auto"/>
        <w:rPr>
          <w:rFonts w:ascii="Times New Roman" w:hAnsi="Times New Roman" w:eastAsia="仿宋_GB2312" w:cs="Times New Roman"/>
          <w:kern w:val="0"/>
          <w:sz w:val="30"/>
          <w:szCs w:val="30"/>
        </w:rPr>
      </w:pPr>
      <w:r>
        <w:rPr>
          <w:rFonts w:ascii="Times New Roman" w:hAnsi="Times New Roman" w:cs="Times New Roman"/>
        </w:rPr>
        <w:br w:type="page"/>
      </w:r>
      <w:r>
        <w:rPr>
          <w:rFonts w:ascii="Times New Roman" w:hAnsi="Times New Roman" w:eastAsia="仿宋_GB2312" w:cs="Times New Roman"/>
          <w:kern w:val="0"/>
          <w:sz w:val="30"/>
          <w:szCs w:val="30"/>
        </w:rPr>
        <w:t xml:space="preserve">附录四            </w:t>
      </w:r>
    </w:p>
    <w:p>
      <w:pPr>
        <w:adjustRightInd w:val="0"/>
        <w:snapToGrid w:val="0"/>
        <w:spacing w:line="360" w:lineRule="auto"/>
        <w:rPr>
          <w:rFonts w:ascii="Times New Roman" w:hAnsi="Times New Roman" w:eastAsia="仿宋_GB2312" w:cs="Times New Roman"/>
          <w:b/>
          <w:kern w:val="0"/>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highlight w:val="yellow"/>
        </w:rPr>
      </w:pP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问：境内公司回购其境外股份的，应在拟回购前多少个工作日内办理回购相关信息登记？</w:t>
      </w:r>
    </w:p>
    <w:p>
      <w:pPr>
        <w:adjustRightInd w:val="0"/>
        <w:snapToGrid w:val="0"/>
        <w:spacing w:line="360" w:lineRule="auto"/>
        <w:ind w:firstLine="600" w:firstLineChars="200"/>
        <w:rPr>
          <w:rFonts w:ascii="Times New Roman" w:hAnsi="Times New Roman" w:eastAsia="华文仿宋" w:cs="Times New Roman"/>
        </w:rPr>
      </w:pPr>
      <w:r>
        <w:rPr>
          <w:rFonts w:ascii="Times New Roman" w:hAnsi="Times New Roman" w:eastAsia="仿宋_GB2312" w:cs="Times New Roman"/>
          <w:kern w:val="0"/>
          <w:sz w:val="30"/>
          <w:szCs w:val="30"/>
        </w:rPr>
        <w:t>答：境内公司回购其境外股份的，应在拟回购前20个工作日内办理回购相关信息登记。</w:t>
      </w:r>
    </w:p>
    <w:p>
      <w:pPr>
        <w:rPr>
          <w:rFonts w:ascii="Times New Roman" w:hAnsi="Times New Roman" w:eastAsia="华文仿宋" w:cs="Times New Roman"/>
        </w:rPr>
      </w:pPr>
    </w:p>
    <w:sectPr>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13</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qFormat="1"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0"/>
    <w:unhideWhenUsed/>
    <w:qFormat/>
    <w:uiPriority w:val="99"/>
    <w:pPr>
      <w:jc w:val="left"/>
    </w:pPr>
    <w:rPr>
      <w:rFonts w:ascii="Calibri" w:hAnsi="Calibri" w:eastAsia="宋体" w:cs="Times New Roman"/>
    </w:rPr>
  </w:style>
  <w:style w:type="paragraph" w:styleId="7">
    <w:name w:val="Balloon Text"/>
    <w:basedOn w:val="1"/>
    <w:link w:val="28"/>
    <w:unhideWhenUsed/>
    <w:qFormat/>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kern w:val="2"/>
      <w:sz w:val="18"/>
      <w:szCs w:val="18"/>
    </w:rPr>
  </w:style>
  <w:style w:type="character" w:customStyle="1" w:styleId="11">
    <w:name w:val="脚注文本 Char"/>
    <w:basedOn w:val="12"/>
    <w:semiHidden/>
    <w:qFormat/>
    <w:uiPriority w:val="99"/>
    <w:rPr>
      <w:kern w:val="2"/>
      <w:sz w:val="18"/>
      <w:szCs w:val="18"/>
    </w:rPr>
  </w:style>
  <w:style w:type="paragraph" w:styleId="13">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List Paragraph"/>
    <w:basedOn w:val="1"/>
    <w:qFormat/>
    <w:uiPriority w:val="34"/>
    <w:pPr>
      <w:ind w:firstLine="420" w:firstLineChars="200"/>
    </w:pPr>
  </w:style>
  <w:style w:type="paragraph" w:customStyle="1" w:styleId="19">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0">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qFormat/>
    <w:uiPriority w:val="99"/>
    <w:rPr>
      <w:rFonts w:ascii="Calibri" w:hAnsi="Calibri" w:eastAsia="宋体" w:cs="黑体"/>
      <w:kern w:val="2"/>
      <w:sz w:val="21"/>
      <w:szCs w:val="22"/>
      <w:lang w:val="en-US" w:eastAsia="zh-CN" w:bidi="ar-SA"/>
    </w:rPr>
  </w:style>
  <w:style w:type="paragraph" w:customStyle="1" w:styleId="22">
    <w:name w:val="列出段落1"/>
    <w:basedOn w:val="1"/>
    <w:qFormat/>
    <w:uiPriority w:val="34"/>
    <w:pPr>
      <w:ind w:firstLine="420" w:firstLineChars="200"/>
    </w:pPr>
    <w:rPr>
      <w:rFonts w:ascii="Calibri" w:hAnsi="Calibri" w:eastAsia="宋体" w:cs="Times New Roman"/>
    </w:rPr>
  </w:style>
  <w:style w:type="paragraph" w:customStyle="1" w:styleId="23">
    <w:name w:val="列出段落4"/>
    <w:basedOn w:val="1"/>
    <w:qFormat/>
    <w:uiPriority w:val="0"/>
    <w:pPr>
      <w:ind w:firstLine="200" w:firstLineChars="200"/>
    </w:pPr>
    <w:rPr>
      <w:rFonts w:ascii="Calibri" w:hAnsi="Calibri" w:eastAsia="宋体" w:cs="Times New Roman"/>
    </w:rPr>
  </w:style>
  <w:style w:type="paragraph" w:customStyle="1" w:styleId="24">
    <w:name w:val="列出段落3"/>
    <w:basedOn w:val="1"/>
    <w:qFormat/>
    <w:uiPriority w:val="0"/>
    <w:pPr>
      <w:ind w:firstLine="420" w:firstLineChars="200"/>
    </w:pPr>
    <w:rPr>
      <w:rFonts w:ascii="Times New Roman" w:hAnsi="Times New Roman" w:eastAsia="宋体" w:cs="Times New Roman"/>
      <w:szCs w:val="24"/>
    </w:rPr>
  </w:style>
  <w:style w:type="paragraph" w:customStyle="1" w:styleId="25">
    <w:name w:val="p0"/>
    <w:basedOn w:val="1"/>
    <w:qFormat/>
    <w:uiPriority w:val="0"/>
    <w:pPr>
      <w:widowControl/>
    </w:pPr>
    <w:rPr>
      <w:rFonts w:ascii="Calibri" w:hAnsi="Calibri" w:eastAsia="宋体" w:cs="宋体"/>
      <w:kern w:val="0"/>
      <w:szCs w:val="21"/>
    </w:rPr>
  </w:style>
  <w:style w:type="character" w:customStyle="1" w:styleId="26">
    <w:name w:val="页眉 Char Char"/>
    <w:basedOn w:val="12"/>
    <w:link w:val="9"/>
    <w:uiPriority w:val="99"/>
    <w:rPr>
      <w:sz w:val="18"/>
      <w:szCs w:val="18"/>
    </w:rPr>
  </w:style>
  <w:style w:type="character" w:customStyle="1" w:styleId="27">
    <w:name w:val="页脚 Char Char"/>
    <w:basedOn w:val="12"/>
    <w:link w:val="8"/>
    <w:uiPriority w:val="99"/>
    <w:rPr>
      <w:sz w:val="18"/>
      <w:szCs w:val="18"/>
    </w:rPr>
  </w:style>
  <w:style w:type="character" w:customStyle="1" w:styleId="28">
    <w:name w:val="批注框文本 Char Char"/>
    <w:basedOn w:val="12"/>
    <w:link w:val="7"/>
    <w:uiPriority w:val="0"/>
    <w:rPr>
      <w:sz w:val="18"/>
      <w:szCs w:val="18"/>
    </w:rPr>
  </w:style>
  <w:style w:type="character" w:customStyle="1" w:styleId="29">
    <w:name w:val="HTML 预设格式 Char Char"/>
    <w:basedOn w:val="12"/>
    <w:link w:val="13"/>
    <w:uiPriority w:val="99"/>
    <w:rPr>
      <w:rFonts w:ascii="宋体" w:hAnsi="宋体" w:eastAsia="宋体" w:cs="宋体"/>
      <w:kern w:val="0"/>
      <w:sz w:val="24"/>
      <w:szCs w:val="24"/>
    </w:rPr>
  </w:style>
  <w:style w:type="character" w:customStyle="1" w:styleId="30">
    <w:name w:val="批注文字 Char Char"/>
    <w:basedOn w:val="12"/>
    <w:link w:val="6"/>
    <w:uiPriority w:val="0"/>
    <w:rPr>
      <w:rFonts w:ascii="Calibri" w:hAnsi="Calibri" w:eastAsia="宋体" w:cs="Times New Roman"/>
    </w:rPr>
  </w:style>
  <w:style w:type="character" w:customStyle="1" w:styleId="31">
    <w:name w:val="标题 1 Char Char"/>
    <w:basedOn w:val="12"/>
    <w:link w:val="2"/>
    <w:uiPriority w:val="9"/>
    <w:rPr>
      <w:rFonts w:ascii="黑体" w:hAnsi="黑体" w:eastAsia="黑体" w:cs="宋体"/>
      <w:color w:val="000000"/>
      <w:kern w:val="0"/>
      <w:sz w:val="30"/>
      <w:szCs w:val="30"/>
    </w:rPr>
  </w:style>
  <w:style w:type="character" w:customStyle="1" w:styleId="32">
    <w:name w:val="标题 2 Char Char"/>
    <w:basedOn w:val="12"/>
    <w:link w:val="3"/>
    <w:uiPriority w:val="0"/>
    <w:rPr>
      <w:rFonts w:ascii="Cambria" w:hAnsi="Cambria" w:eastAsia="宋体" w:cs="Times New Roman"/>
      <w:b/>
      <w:bCs/>
      <w:sz w:val="32"/>
      <w:szCs w:val="32"/>
    </w:rPr>
  </w:style>
  <w:style w:type="character" w:customStyle="1" w:styleId="33">
    <w:name w:val="标题 3 Char Char"/>
    <w:basedOn w:val="12"/>
    <w:link w:val="4"/>
    <w:uiPriority w:val="9"/>
    <w:rPr>
      <w:rFonts w:ascii="仿宋_GB2312" w:hAnsi="Calibri" w:eastAsia="仿宋_GB2312" w:cs="Times New Roman"/>
      <w:sz w:val="30"/>
      <w:szCs w:val="30"/>
    </w:rPr>
  </w:style>
  <w:style w:type="character" w:customStyle="1" w:styleId="34">
    <w:name w:val="脚注文本 Char1"/>
    <w:basedOn w:val="12"/>
    <w:link w:val="10"/>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2"/>
    <w:link w:val="5"/>
    <w:uiPriority w:val="0"/>
    <w:rPr>
      <w:rFonts w:ascii="宋体"/>
      <w:sz w:val="18"/>
      <w:szCs w:val="18"/>
    </w:rPr>
  </w:style>
  <w:style w:type="character" w:customStyle="1" w:styleId="37">
    <w:name w:val="批注文字 Char1"/>
    <w:basedOn w:val="12"/>
    <w:semiHidden/>
    <w:qFormat/>
    <w:uiPriority w:val="99"/>
    <w:rPr>
      <w:kern w:val="2"/>
      <w:sz w:val="21"/>
      <w:szCs w:val="22"/>
    </w:rPr>
  </w:style>
  <w:style w:type="character" w:customStyle="1" w:styleId="38">
    <w:name w:val="Intense Emphasis"/>
    <w:basedOn w:val="12"/>
    <w:qFormat/>
    <w:uiPriority w:val="21"/>
    <w:rPr>
      <w:b/>
      <w:bCs/>
      <w:i/>
      <w:iCs/>
      <w:color w:val="4F81BD"/>
    </w:rPr>
  </w:style>
  <w:style w:type="character" w:customStyle="1" w:styleId="39">
    <w:name w:val="文档结构图 Char1"/>
    <w:basedOn w:val="12"/>
    <w:semiHidden/>
    <w:qFormat/>
    <w:uiPriority w:val="99"/>
    <w:rPr>
      <w:rFonts w:ascii="宋体" w:eastAsia="宋体"/>
      <w:sz w:val="18"/>
      <w:szCs w:val="18"/>
    </w:rPr>
  </w:style>
  <w:style w:type="character" w:customStyle="1" w:styleId="40">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855</Words>
  <Characters>4876</Characters>
  <Lines>40</Lines>
  <Paragraphs>11</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2020-02-26T06:12:00Z</dcterms:created>
  <dc:creator>裴建君2</dc:creator>
  <cp:lastModifiedBy>杜鑫/外汇管理处/银川/PBC</cp:lastModifiedBy>
  <cp:lastPrinted>2017-11-24T00:22:00Z</cp:lastPrinted>
  <dcterms:modified xsi:type="dcterms:W3CDTF">2021-04-27T09:13:55Z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