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非银行金融机构（不含保险机构）资本金（营运资金）本外币转换核准</w:t>
      </w:r>
    </w:p>
    <w:p>
      <w:pPr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【000171114001】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一、基本要素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ascii="Times New Roman" w:hAnsi="Times New Roman" w:eastAsia="仿宋GB2312"/>
          <w:b/>
          <w:bCs/>
          <w:sz w:val="28"/>
          <w:szCs w:val="28"/>
        </w:rPr>
        <w:t>行政许可事项名称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及编码</w:t>
      </w:r>
    </w:p>
    <w:p>
      <w:pPr>
        <w:spacing w:line="540" w:lineRule="exact"/>
        <w:ind w:firstLine="560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金融机构本外币转换核准【00017111400Y】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行政许可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事项子项名称及编码</w:t>
      </w:r>
    </w:p>
    <w:p>
      <w:pPr>
        <w:spacing w:line="360" w:lineRule="auto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非银行金融机构（不含保险机构）资本金（营运资金）本外币转换核准【000171114001】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行政许可事项业务办理项名称及编码</w:t>
      </w:r>
    </w:p>
    <w:p>
      <w:pPr>
        <w:spacing w:line="360" w:lineRule="auto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非银行金融机构（不含保险机构）资本金（营运资金）本外币转换核准(00017111400101)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设定依据</w:t>
      </w:r>
    </w:p>
    <w:p>
      <w:pPr>
        <w:spacing w:line="540" w:lineRule="exact"/>
        <w:ind w:firstLine="560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《中华人民共和国外汇管理条例》（国务院令第532号）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实施依据</w:t>
      </w:r>
    </w:p>
    <w:p>
      <w:pPr>
        <w:spacing w:line="540" w:lineRule="exact"/>
        <w:ind w:firstLine="560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</w:t>
      </w:r>
      <w:r>
        <w:rPr>
          <w:rFonts w:ascii="方正仿宋_GBK" w:hAnsi="方正仿宋_GBK" w:eastAsia="方正仿宋_GBK" w:cs="方正仿宋_GBK"/>
          <w:sz w:val="28"/>
          <w:szCs w:val="28"/>
        </w:rPr>
        <w:t>《银行办理结售汇业务管理办法实施细则》（汇发〔2014〕53号文印发）</w:t>
      </w:r>
    </w:p>
    <w:p>
      <w:pPr>
        <w:spacing w:line="540" w:lineRule="exact"/>
        <w:ind w:firstLine="560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</w:t>
      </w:r>
      <w:r>
        <w:rPr>
          <w:rFonts w:ascii="方正仿宋_GBK" w:hAnsi="方正仿宋_GBK" w:eastAsia="方正仿宋_GBK" w:cs="方正仿宋_GBK"/>
          <w:sz w:val="28"/>
          <w:szCs w:val="28"/>
        </w:rPr>
        <w:t>《国家外汇管理局行政许可实施办法》（国家外汇管理局公告2021年第1号）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（六）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监管依据</w:t>
      </w:r>
    </w:p>
    <w:p>
      <w:pPr>
        <w:spacing w:line="540" w:lineRule="exact"/>
        <w:ind w:firstLine="560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《中华人民共和国外汇管理条例》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（国务院令第532号）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（七）</w:t>
      </w:r>
      <w:r>
        <w:rPr>
          <w:rFonts w:ascii="Times New Roman" w:hAnsi="Times New Roman" w:eastAsia="仿宋GB2312"/>
          <w:b/>
          <w:bCs/>
          <w:sz w:val="28"/>
          <w:szCs w:val="28"/>
        </w:rPr>
        <w:t>实施机关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国家外汇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管理</w:t>
      </w:r>
      <w:r>
        <w:rPr>
          <w:rFonts w:ascii="方正仿宋_GBK" w:hAnsi="方正仿宋_GBK" w:eastAsia="方正仿宋_GBK" w:cs="方正仿宋_GBK"/>
          <w:sz w:val="28"/>
          <w:szCs w:val="28"/>
        </w:rPr>
        <w:t>局省级分局和计划单列市分局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（八）</w:t>
      </w:r>
      <w:r>
        <w:rPr>
          <w:rFonts w:ascii="Times New Roman" w:hAnsi="Times New Roman" w:eastAsia="仿宋GB2312"/>
          <w:b/>
          <w:bCs/>
          <w:sz w:val="28"/>
          <w:szCs w:val="28"/>
        </w:rPr>
        <w:t>审批层级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国家级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（九）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行使</w:t>
      </w:r>
      <w:r>
        <w:rPr>
          <w:rFonts w:ascii="Times New Roman" w:hAnsi="Times New Roman" w:eastAsia="仿宋GB2312"/>
          <w:b/>
          <w:bCs/>
          <w:sz w:val="28"/>
          <w:szCs w:val="28"/>
        </w:rPr>
        <w:t>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省级/直属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是否由审批机关受理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（十一）</w:t>
      </w:r>
      <w:r>
        <w:rPr>
          <w:rFonts w:ascii="Times New Roman" w:hAnsi="Times New Roman" w:eastAsia="仿宋GB2312"/>
          <w:b/>
          <w:bCs/>
          <w:sz w:val="28"/>
          <w:szCs w:val="28"/>
        </w:rPr>
        <w:t>受理层级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省级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是否存在初审环节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  <w:highlight w:val="yellow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（十三）</w:t>
      </w:r>
      <w:r>
        <w:rPr>
          <w:rFonts w:ascii="Times New Roman" w:hAnsi="Times New Roman" w:eastAsia="仿宋GB2312"/>
          <w:b/>
          <w:bCs/>
          <w:sz w:val="28"/>
          <w:szCs w:val="28"/>
        </w:rPr>
        <w:t>初审层级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jc w:val="lef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（十四）</w:t>
      </w:r>
      <w:r>
        <w:rPr>
          <w:rFonts w:ascii="Times New Roman" w:hAnsi="Times New Roman" w:eastAsia="仿宋GB2312"/>
          <w:b/>
          <w:bCs/>
          <w:sz w:val="28"/>
          <w:szCs w:val="28"/>
        </w:rPr>
        <w:t>对应政务服务事项国家级基本目录名称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非银行金融机构（不含保险公司）资本金（或营运资金）本外币转换管理</w:t>
      </w:r>
    </w:p>
    <w:p>
      <w:pPr>
        <w:spacing w:line="600" w:lineRule="exact"/>
        <w:ind w:firstLine="562" w:firstLineChars="200"/>
        <w:jc w:val="lef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要素统一情况：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全部要素全国统一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二、行政许可事项类型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条件型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三、行政许可条件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准予行政许可的条件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非银行金融机构申请将人民币资本金（营运资金）转换为外币的，转换金额应与其开展的外汇业务规模相匹配。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规定行政许可条件的依据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《银行办理结售汇业务管理办法实施细则》（汇发〔2014〕53号文印发）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四、</w:t>
      </w:r>
      <w:r>
        <w:rPr>
          <w:rFonts w:ascii="Times New Roman" w:hAnsi="Times New Roman" w:eastAsia="黑体"/>
          <w:sz w:val="28"/>
          <w:szCs w:val="28"/>
        </w:rPr>
        <w:t>行政许可服务对象类型</w:t>
      </w:r>
      <w:r>
        <w:rPr>
          <w:rFonts w:hint="eastAsia" w:ascii="Times New Roman" w:hAnsi="Times New Roman" w:eastAsia="黑体"/>
          <w:sz w:val="28"/>
          <w:szCs w:val="28"/>
        </w:rPr>
        <w:t>与改革举措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服务对象类型：</w:t>
      </w:r>
      <w:r>
        <w:rPr>
          <w:rFonts w:ascii="方正仿宋_GBK" w:hAnsi="方正仿宋_GBK" w:eastAsia="方正仿宋_GBK" w:cs="方正仿宋_GBK"/>
          <w:sz w:val="28"/>
          <w:szCs w:val="28"/>
        </w:rPr>
        <w:t>企业法人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是否为涉企许可事项：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涉企经营许可事项名称：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许可证件名称：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改革方式：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（六）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具体改革举措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（七）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加强事中事后监管措施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1.开展“双随机、一公开”监管，依法查处违规行为，适时公开相关案例。2.依法及时处理投诉举报。3.开展数据统计与监测，掌握外汇业务情况。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五、申请材料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申请材料名称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营业执照（统一社会信用代码证）原件或加盖公章的复印件1份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加盖公章的书面申请原件1份（含公司概况、本外币转换依据以及是否符合有关主管部门的规定，购汇的币种、金额、资金用途等）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人民币和外币资产负债表原件及加盖公章的复印件各1份（验原件，留存复印件）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相关交易需经有关主管部门批准的，应提供相应批准文件原件及加盖公章的复印件各1份（验原件，留存复印件）。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规定申请材料的依据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《银行办理结售汇业务管理办法实施细则》（汇发〔2014〕53号文印发）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《国家外汇管理局行政许可实施办法》（国家外汇管理局公告2021年第1号）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六、中介服务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有无法定中介服务事项：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中介服务事项名称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ascii="Times New Roman" w:hAnsi="Times New Roman" w:eastAsia="仿宋GB2312"/>
          <w:b/>
          <w:bCs/>
          <w:sz w:val="28"/>
          <w:szCs w:val="28"/>
        </w:rPr>
        <w:t>设定中介服务事项的依据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ascii="Times New Roman" w:hAnsi="Times New Roman" w:eastAsia="仿宋GB2312"/>
          <w:b/>
          <w:bCs/>
          <w:sz w:val="28"/>
          <w:szCs w:val="28"/>
        </w:rPr>
        <w:t>提供中介服务的机构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ascii="Times New Roman" w:hAnsi="Times New Roman" w:eastAsia="仿宋GB2312"/>
          <w:b/>
          <w:bCs/>
          <w:sz w:val="28"/>
          <w:szCs w:val="28"/>
        </w:rPr>
        <w:t>中介服务事项的收费性质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七、审批程序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办理行政许可的程序环节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</w:t>
      </w:r>
      <w:r>
        <w:rPr>
          <w:rFonts w:ascii="方正仿宋_GBK" w:hAnsi="方正仿宋_GBK" w:eastAsia="方正仿宋_GBK" w:cs="方正仿宋_GBK"/>
          <w:sz w:val="28"/>
          <w:szCs w:val="28"/>
        </w:rPr>
        <w:t>申请人申请；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</w:t>
      </w:r>
      <w:r>
        <w:rPr>
          <w:rFonts w:ascii="方正仿宋_GBK" w:hAnsi="方正仿宋_GBK" w:eastAsia="方正仿宋_GBK" w:cs="方正仿宋_GBK"/>
          <w:sz w:val="28"/>
          <w:szCs w:val="28"/>
        </w:rPr>
        <w:t>审批机构受理/不予受理；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3.</w:t>
      </w:r>
      <w:r>
        <w:rPr>
          <w:rFonts w:ascii="方正仿宋_GBK" w:hAnsi="方正仿宋_GBK" w:eastAsia="方正仿宋_GBK" w:cs="方正仿宋_GBK"/>
          <w:sz w:val="28"/>
          <w:szCs w:val="28"/>
        </w:rPr>
        <w:t>审批机构审查；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4.</w:t>
      </w:r>
      <w:r>
        <w:rPr>
          <w:rFonts w:ascii="方正仿宋_GBK" w:hAnsi="方正仿宋_GBK" w:eastAsia="方正仿宋_GBK" w:cs="方正仿宋_GBK"/>
          <w:sz w:val="28"/>
          <w:szCs w:val="28"/>
        </w:rPr>
        <w:t>决定作出许可决定书/不予许可决定书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规定行政许可程序的依据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《国家外汇管理局行政许可实施办法》（国家外汇管理局公告2021年第1号）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是否需要现场勘验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是否需要组织听证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是否需要招标、拍卖、挂牌交易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（六）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是否需要检验、检测、检疫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（七）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是否需要鉴定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（八）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是否需要专家评审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（九）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是否需要向社会公示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是否实行告知承诺办理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审批机关是否委托服务机构开展技术性服务：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八、受理和审批时限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承诺受理时限：</w:t>
      </w:r>
      <w:r>
        <w:rPr>
          <w:rFonts w:ascii="方正仿宋_GBK" w:hAnsi="方正仿宋_GBK" w:eastAsia="方正仿宋_GBK" w:cs="方正仿宋_GBK"/>
          <w:sz w:val="28"/>
          <w:szCs w:val="28"/>
        </w:rPr>
        <w:t>5个工作日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法定审批时限：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20个工作日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规定法定审批时限依据</w:t>
      </w:r>
    </w:p>
    <w:p>
      <w:pPr>
        <w:spacing w:line="600" w:lineRule="exact"/>
        <w:ind w:firstLine="560" w:firstLineChars="200"/>
        <w:rPr>
          <w:rFonts w:ascii="Times New Roman" w:hAnsi="Times New Roman" w:eastAsia="仿宋GB2312"/>
          <w:sz w:val="32"/>
          <w:szCs w:val="32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《国家外汇管理局行政许可实施办法》（国家外汇管理局公告2021年第1号）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承诺审批时限：</w:t>
      </w:r>
      <w:r>
        <w:rPr>
          <w:rFonts w:ascii="方正仿宋_GBK" w:hAnsi="方正仿宋_GBK" w:eastAsia="方正仿宋_GBK" w:cs="方正仿宋_GBK"/>
          <w:sz w:val="28"/>
          <w:szCs w:val="28"/>
        </w:rPr>
        <w:t>20个工作日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九、收费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办理行政许可是否收费：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540" w:lineRule="exact"/>
        <w:ind w:firstLine="562" w:firstLineChars="200"/>
        <w:outlineLvl w:val="2"/>
        <w:rPr>
          <w:rFonts w:ascii="方正仿宋_GBK" w:hAnsi="方正仿宋_GBK" w:eastAsia="方正仿宋_GBK" w:cs="方正仿宋_GBK"/>
          <w:b/>
          <w:bCs/>
          <w:color w:val="FF0000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收费项目的名称、收费项目的标准、设定收费项目的依据、规定收费标准的依据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十、行政许可证件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审批结果类型：</w:t>
      </w:r>
      <w:r>
        <w:rPr>
          <w:rFonts w:ascii="方正仿宋_GBK" w:hAnsi="方正仿宋_GBK" w:eastAsia="方正仿宋_GBK" w:cs="方正仿宋_GBK"/>
          <w:sz w:val="28"/>
          <w:szCs w:val="28"/>
        </w:rPr>
        <w:t>批文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审批结果名称：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《资本项目外汇业务核准件》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审批结果的有效期限：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当次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32"/>
          <w:szCs w:val="32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规定审批结果有效期限的依据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是否需要办理审批结果变更手续：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32"/>
          <w:szCs w:val="32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（六）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办理审批结果变更手续的要求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（七）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是否需要办理审批结果延续手续：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32"/>
          <w:szCs w:val="32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（八）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办理审批结果延续手续的要求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（九）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审批结果的有效地域范围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全国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规定审批结果有效地域范围的依据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十一、行政许可数量限制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有无行政许可数量限制：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布数量限制的方式：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公布数量限制的周期：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在数量限制条件下实施行政许可的方式：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jc w:val="left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规定在数量限制条件下实施行政许可方式的依据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十二、行政许可后年检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有无年检要求：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设定年检要求的依据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年检周期：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年检是否要求报送材料：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年检报送材料名称：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（六）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年检是否收费：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（七）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年检收费项目的名称、年检收费项目的标准、设定年检收费项目的依据、规定年检项目收费标准的依据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（八）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通过年检的证明或者标志：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十三、行政许可后年报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ascii="Times New Roman" w:hAnsi="Times New Roman" w:eastAsia="仿宋GB2312"/>
          <w:b/>
          <w:bCs/>
          <w:sz w:val="28"/>
          <w:szCs w:val="28"/>
        </w:rPr>
        <w:t>有无年报要求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年报报送材料名称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ascii="Times New Roman" w:hAnsi="Times New Roman" w:eastAsia="仿宋GB2312"/>
          <w:b/>
          <w:bCs/>
          <w:sz w:val="28"/>
          <w:szCs w:val="28"/>
        </w:rPr>
        <w:t>设定年报要求的依据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ascii="Times New Roman" w:hAnsi="Times New Roman" w:eastAsia="仿宋GB2312"/>
          <w:b/>
          <w:bCs/>
          <w:sz w:val="28"/>
          <w:szCs w:val="28"/>
        </w:rPr>
        <w:t>年报周期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十四、监管主体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国家外汇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管理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局及其分局</w:t>
      </w:r>
    </w:p>
    <w:p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eastAsia="黑体"/>
          <w:sz w:val="28"/>
          <w:szCs w:val="28"/>
        </w:rPr>
        <w:t>十五、办理地址</w:t>
      </w:r>
    </w:p>
    <w:p>
      <w:pPr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国家外汇管理局宁波市分局：浙江省宁波市江东北路138号金融大厦23楼2314室（资本项目处）</w:t>
      </w:r>
    </w:p>
    <w:p>
      <w:pPr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国家外汇管理局宁波市分局北仑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营业管理部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：浙江省宁波市北仑区明州西路185号二楼服务大厅（外汇管理科）</w:t>
      </w:r>
    </w:p>
    <w:p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eastAsia="黑体"/>
          <w:sz w:val="28"/>
          <w:szCs w:val="28"/>
        </w:rPr>
        <w:t>十六、办公时间</w:t>
      </w:r>
    </w:p>
    <w:p>
      <w:pPr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法定工作日：5月-9月：上午8:30-11:30；下午14:00-17:30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00" w:firstLineChars="5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10月-次年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月：上午8:30-11:30；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  <w:lang w:eastAsia="zh-CN"/>
        </w:rPr>
        <w:t>下午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13:30-17:00</w:t>
      </w:r>
    </w:p>
    <w:p>
      <w:pPr>
        <w:rPr>
          <w:rFonts w:hint="eastAsia" w:eastAsia="黑体"/>
          <w:sz w:val="28"/>
          <w:szCs w:val="28"/>
        </w:rPr>
      </w:pPr>
      <w:bookmarkStart w:id="0" w:name="_GoBack"/>
      <w:bookmarkEnd w:id="0"/>
      <w:r>
        <w:rPr>
          <w:rFonts w:hint="eastAsia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eastAsia="黑体"/>
          <w:sz w:val="28"/>
          <w:szCs w:val="28"/>
        </w:rPr>
        <w:t>十七、咨询途径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国家外汇管理局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宁波市分局资本项目处，咨询</w:t>
      </w:r>
      <w:r>
        <w:rPr>
          <w:rFonts w:ascii="方正仿宋_GBK" w:hAnsi="方正仿宋_GBK" w:eastAsia="方正仿宋_GBK" w:cs="方正仿宋_GBK"/>
          <w:sz w:val="28"/>
          <w:szCs w:val="28"/>
        </w:rPr>
        <w:t>电话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（0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574</w:t>
      </w:r>
      <w:r>
        <w:rPr>
          <w:rFonts w:ascii="方正仿宋_GBK" w:hAnsi="方正仿宋_GBK" w:eastAsia="方正仿宋_GBK" w:cs="方正仿宋_GBK"/>
          <w:sz w:val="28"/>
          <w:szCs w:val="28"/>
        </w:rPr>
        <w:t>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87058258、87058286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国家外汇管理局宁波市分局北仑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营业管理部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外汇管理科，咨询电话：（0574）86221936、86221822</w:t>
      </w:r>
    </w:p>
    <w:p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eastAsia="黑体"/>
          <w:sz w:val="28"/>
          <w:szCs w:val="28"/>
        </w:rPr>
        <w:t>十八、监督投诉渠道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中国人民银行宁波市分行：（0574）87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337569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中国人民银行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宁波市分行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北仑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营业管理部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：（0574）86221807</w:t>
      </w:r>
    </w:p>
    <w:p>
      <w:pPr>
        <w:spacing w:line="540" w:lineRule="exact"/>
        <w:outlineLvl w:val="1"/>
      </w:pPr>
    </w:p>
    <w:p>
      <w:pPr>
        <w:widowControl/>
        <w:jc w:val="left"/>
      </w:pPr>
      <w:r>
        <w:br w:type="page"/>
      </w:r>
    </w:p>
    <w:p>
      <w:pPr>
        <w:ind w:left="567" w:right="300" w:hanging="567" w:hangingChars="189"/>
        <w:jc w:val="center"/>
        <w:rPr>
          <w:rFonts w:hint="eastAsia" w:ascii="Times New Roman" w:hAnsi="Times New Roman" w:eastAsia="黑体"/>
          <w:sz w:val="30"/>
          <w:szCs w:val="30"/>
        </w:rPr>
      </w:pPr>
      <w:r>
        <w:rPr>
          <w:rFonts w:ascii="Times New Roman" w:hAnsi="Times New Roman" w:eastAsia="黑体"/>
          <w:sz w:val="30"/>
          <w:szCs w:val="30"/>
        </w:rPr>
        <w:t>基本流程图</w:t>
      </w:r>
    </w:p>
    <w:p>
      <w:pPr>
        <w:ind w:left="567" w:right="300" w:hanging="567" w:hangingChars="189"/>
        <w:jc w:val="center"/>
        <w:rPr>
          <w:rFonts w:hint="eastAsia" w:ascii="Times New Roman" w:hAnsi="Times New Roman" w:eastAsia="黑体"/>
          <w:sz w:val="30"/>
          <w:szCs w:val="30"/>
        </w:rPr>
      </w:pPr>
    </w:p>
    <w:p>
      <w:pPr>
        <w:ind w:left="567" w:right="300" w:hanging="567" w:hangingChars="189"/>
        <w:jc w:val="center"/>
        <w:rPr>
          <w:rFonts w:ascii="Times New Roman" w:hAnsi="Times New Roman" w:eastAsia="黑体"/>
          <w:sz w:val="30"/>
          <w:szCs w:val="30"/>
        </w:rPr>
      </w:pPr>
      <w:r>
        <w:rPr>
          <w:rFonts w:ascii="Times New Roman" w:hAnsi="Times New Roman" w:eastAsia="黑体" w:cs="Times New Roman"/>
          <w:kern w:val="2"/>
          <w:sz w:val="30"/>
          <w:szCs w:val="30"/>
          <w:lang w:val="en-US" w:eastAsia="zh-CN" w:bidi="ar-SA"/>
        </w:rPr>
        <w:pict>
          <v:shape id="_x0000_i1025" o:spt="75" type="#_x0000_t75" style="height:544.7pt;width:415.3pt;" fillcolor="#FFFFFF" filled="f" o:preferrelative="t" stroked="f" coordsize="21600,21600">
            <v:path/>
            <v:fill on="f" color2="#FFFFFF" focussize="0,0"/>
            <v:stroke on="f"/>
            <v:imagedata r:id="rId4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GB2312">
    <w:altName w:val="仿宋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479E3"/>
    <w:rsid w:val="00001712"/>
    <w:rsid w:val="00001EF3"/>
    <w:rsid w:val="00002CDC"/>
    <w:rsid w:val="00003658"/>
    <w:rsid w:val="00010AE4"/>
    <w:rsid w:val="00011883"/>
    <w:rsid w:val="00013569"/>
    <w:rsid w:val="0001694E"/>
    <w:rsid w:val="000169E9"/>
    <w:rsid w:val="00016BFB"/>
    <w:rsid w:val="000209DA"/>
    <w:rsid w:val="0002108A"/>
    <w:rsid w:val="0002135B"/>
    <w:rsid w:val="00023538"/>
    <w:rsid w:val="00024DC8"/>
    <w:rsid w:val="00027787"/>
    <w:rsid w:val="00030D78"/>
    <w:rsid w:val="00033818"/>
    <w:rsid w:val="00033ADC"/>
    <w:rsid w:val="00034506"/>
    <w:rsid w:val="00035B82"/>
    <w:rsid w:val="00036919"/>
    <w:rsid w:val="00040BFC"/>
    <w:rsid w:val="00040C81"/>
    <w:rsid w:val="000456A7"/>
    <w:rsid w:val="00045CD3"/>
    <w:rsid w:val="00046A60"/>
    <w:rsid w:val="00046B16"/>
    <w:rsid w:val="00052700"/>
    <w:rsid w:val="0005543D"/>
    <w:rsid w:val="00056F8B"/>
    <w:rsid w:val="00065BEA"/>
    <w:rsid w:val="00066C4D"/>
    <w:rsid w:val="00067AD5"/>
    <w:rsid w:val="0007132C"/>
    <w:rsid w:val="0007489C"/>
    <w:rsid w:val="00075560"/>
    <w:rsid w:val="00076C53"/>
    <w:rsid w:val="00081725"/>
    <w:rsid w:val="00082479"/>
    <w:rsid w:val="00082B5D"/>
    <w:rsid w:val="00083644"/>
    <w:rsid w:val="00083FBF"/>
    <w:rsid w:val="00083FD4"/>
    <w:rsid w:val="0008433C"/>
    <w:rsid w:val="0008502A"/>
    <w:rsid w:val="000853C8"/>
    <w:rsid w:val="0008592C"/>
    <w:rsid w:val="00085EEB"/>
    <w:rsid w:val="00087CFD"/>
    <w:rsid w:val="00091805"/>
    <w:rsid w:val="00092D51"/>
    <w:rsid w:val="000930F9"/>
    <w:rsid w:val="000937AA"/>
    <w:rsid w:val="00094AE3"/>
    <w:rsid w:val="000A4255"/>
    <w:rsid w:val="000B1DFD"/>
    <w:rsid w:val="000C1784"/>
    <w:rsid w:val="000C1826"/>
    <w:rsid w:val="000C2C63"/>
    <w:rsid w:val="000C40A1"/>
    <w:rsid w:val="000C4BDB"/>
    <w:rsid w:val="000C5185"/>
    <w:rsid w:val="000C5238"/>
    <w:rsid w:val="000C6196"/>
    <w:rsid w:val="000C6D1E"/>
    <w:rsid w:val="000C745D"/>
    <w:rsid w:val="000D0B57"/>
    <w:rsid w:val="000D2200"/>
    <w:rsid w:val="000D485C"/>
    <w:rsid w:val="000D4DBB"/>
    <w:rsid w:val="000D788E"/>
    <w:rsid w:val="000E1C44"/>
    <w:rsid w:val="000E3134"/>
    <w:rsid w:val="000E4FB4"/>
    <w:rsid w:val="000E5806"/>
    <w:rsid w:val="000E7CEF"/>
    <w:rsid w:val="000F1CA7"/>
    <w:rsid w:val="000F6746"/>
    <w:rsid w:val="00100342"/>
    <w:rsid w:val="0010082B"/>
    <w:rsid w:val="00102626"/>
    <w:rsid w:val="00102DAA"/>
    <w:rsid w:val="00106EC7"/>
    <w:rsid w:val="001076E8"/>
    <w:rsid w:val="00114B87"/>
    <w:rsid w:val="00120226"/>
    <w:rsid w:val="00121DBD"/>
    <w:rsid w:val="00122B3D"/>
    <w:rsid w:val="00124AA2"/>
    <w:rsid w:val="00125732"/>
    <w:rsid w:val="00130FDC"/>
    <w:rsid w:val="00132371"/>
    <w:rsid w:val="00142D89"/>
    <w:rsid w:val="00145A34"/>
    <w:rsid w:val="0014702A"/>
    <w:rsid w:val="001475D2"/>
    <w:rsid w:val="00151B22"/>
    <w:rsid w:val="0015289C"/>
    <w:rsid w:val="00153280"/>
    <w:rsid w:val="001566A5"/>
    <w:rsid w:val="00156C0F"/>
    <w:rsid w:val="00160F80"/>
    <w:rsid w:val="001615A9"/>
    <w:rsid w:val="0016419C"/>
    <w:rsid w:val="001746D8"/>
    <w:rsid w:val="001814AE"/>
    <w:rsid w:val="001834DC"/>
    <w:rsid w:val="00183982"/>
    <w:rsid w:val="0019029C"/>
    <w:rsid w:val="0019042C"/>
    <w:rsid w:val="00194C73"/>
    <w:rsid w:val="001953E7"/>
    <w:rsid w:val="001A17E7"/>
    <w:rsid w:val="001A2BE0"/>
    <w:rsid w:val="001A486D"/>
    <w:rsid w:val="001A5DDB"/>
    <w:rsid w:val="001A5F89"/>
    <w:rsid w:val="001B311C"/>
    <w:rsid w:val="001B3ECF"/>
    <w:rsid w:val="001B4769"/>
    <w:rsid w:val="001B4889"/>
    <w:rsid w:val="001C24D9"/>
    <w:rsid w:val="001C43AF"/>
    <w:rsid w:val="001C7355"/>
    <w:rsid w:val="001D346C"/>
    <w:rsid w:val="001D4515"/>
    <w:rsid w:val="001D610A"/>
    <w:rsid w:val="001D7EC5"/>
    <w:rsid w:val="001E043A"/>
    <w:rsid w:val="001E0B5F"/>
    <w:rsid w:val="001E1ADC"/>
    <w:rsid w:val="001E25E4"/>
    <w:rsid w:val="001E2BF6"/>
    <w:rsid w:val="001E3134"/>
    <w:rsid w:val="001E37A3"/>
    <w:rsid w:val="001E4924"/>
    <w:rsid w:val="001E55DA"/>
    <w:rsid w:val="001F09AB"/>
    <w:rsid w:val="001F389A"/>
    <w:rsid w:val="001F55ED"/>
    <w:rsid w:val="001F73EA"/>
    <w:rsid w:val="00200F00"/>
    <w:rsid w:val="00201F00"/>
    <w:rsid w:val="00202E8F"/>
    <w:rsid w:val="00203D56"/>
    <w:rsid w:val="0020487F"/>
    <w:rsid w:val="00214E77"/>
    <w:rsid w:val="00215254"/>
    <w:rsid w:val="002153DF"/>
    <w:rsid w:val="00217EA2"/>
    <w:rsid w:val="00222AC8"/>
    <w:rsid w:val="002238C2"/>
    <w:rsid w:val="002249C9"/>
    <w:rsid w:val="00225965"/>
    <w:rsid w:val="00225CD4"/>
    <w:rsid w:val="0022682E"/>
    <w:rsid w:val="002271E2"/>
    <w:rsid w:val="002314E3"/>
    <w:rsid w:val="00232610"/>
    <w:rsid w:val="00232816"/>
    <w:rsid w:val="00234137"/>
    <w:rsid w:val="002371E0"/>
    <w:rsid w:val="00237AB2"/>
    <w:rsid w:val="00237E93"/>
    <w:rsid w:val="002405D3"/>
    <w:rsid w:val="00241870"/>
    <w:rsid w:val="00241A21"/>
    <w:rsid w:val="002465D5"/>
    <w:rsid w:val="00252D37"/>
    <w:rsid w:val="002542D1"/>
    <w:rsid w:val="0025437B"/>
    <w:rsid w:val="002546E6"/>
    <w:rsid w:val="002552A6"/>
    <w:rsid w:val="00260703"/>
    <w:rsid w:val="002633D5"/>
    <w:rsid w:val="00263BFB"/>
    <w:rsid w:val="00263FF1"/>
    <w:rsid w:val="00264025"/>
    <w:rsid w:val="00264487"/>
    <w:rsid w:val="00267308"/>
    <w:rsid w:val="00270691"/>
    <w:rsid w:val="002719A4"/>
    <w:rsid w:val="00272766"/>
    <w:rsid w:val="00274F2D"/>
    <w:rsid w:val="00276039"/>
    <w:rsid w:val="0027604F"/>
    <w:rsid w:val="002808EC"/>
    <w:rsid w:val="002810D2"/>
    <w:rsid w:val="00283123"/>
    <w:rsid w:val="002847E4"/>
    <w:rsid w:val="0029055F"/>
    <w:rsid w:val="002914CB"/>
    <w:rsid w:val="00292688"/>
    <w:rsid w:val="00294EBD"/>
    <w:rsid w:val="002959FF"/>
    <w:rsid w:val="00296A6D"/>
    <w:rsid w:val="0029743C"/>
    <w:rsid w:val="00297A28"/>
    <w:rsid w:val="002A0271"/>
    <w:rsid w:val="002A1D4F"/>
    <w:rsid w:val="002A62EE"/>
    <w:rsid w:val="002B22AD"/>
    <w:rsid w:val="002B4C8A"/>
    <w:rsid w:val="002B6283"/>
    <w:rsid w:val="002B6CF3"/>
    <w:rsid w:val="002C0CC4"/>
    <w:rsid w:val="002C2AF0"/>
    <w:rsid w:val="002C4352"/>
    <w:rsid w:val="002C45C6"/>
    <w:rsid w:val="002C5A48"/>
    <w:rsid w:val="002C7827"/>
    <w:rsid w:val="002D159F"/>
    <w:rsid w:val="002D6BC3"/>
    <w:rsid w:val="002E1256"/>
    <w:rsid w:val="002E510F"/>
    <w:rsid w:val="002E5D95"/>
    <w:rsid w:val="002E692A"/>
    <w:rsid w:val="002F0C45"/>
    <w:rsid w:val="002F346B"/>
    <w:rsid w:val="002F6686"/>
    <w:rsid w:val="002F722E"/>
    <w:rsid w:val="002F753C"/>
    <w:rsid w:val="00300695"/>
    <w:rsid w:val="003045A6"/>
    <w:rsid w:val="003055C5"/>
    <w:rsid w:val="00306314"/>
    <w:rsid w:val="00306E83"/>
    <w:rsid w:val="00310E7D"/>
    <w:rsid w:val="00312800"/>
    <w:rsid w:val="00312C2F"/>
    <w:rsid w:val="00315E55"/>
    <w:rsid w:val="00320048"/>
    <w:rsid w:val="003215AC"/>
    <w:rsid w:val="00322A7A"/>
    <w:rsid w:val="00323430"/>
    <w:rsid w:val="00325021"/>
    <w:rsid w:val="00330D4A"/>
    <w:rsid w:val="0033190A"/>
    <w:rsid w:val="00336963"/>
    <w:rsid w:val="00340C85"/>
    <w:rsid w:val="00341F95"/>
    <w:rsid w:val="00342C3E"/>
    <w:rsid w:val="003449A0"/>
    <w:rsid w:val="00347C55"/>
    <w:rsid w:val="00350159"/>
    <w:rsid w:val="00350435"/>
    <w:rsid w:val="003512D5"/>
    <w:rsid w:val="003568A2"/>
    <w:rsid w:val="00357D3E"/>
    <w:rsid w:val="0036090A"/>
    <w:rsid w:val="00363BCC"/>
    <w:rsid w:val="00364CBE"/>
    <w:rsid w:val="0036745B"/>
    <w:rsid w:val="00371F1E"/>
    <w:rsid w:val="00373628"/>
    <w:rsid w:val="00381941"/>
    <w:rsid w:val="003829D6"/>
    <w:rsid w:val="00383AA1"/>
    <w:rsid w:val="00384763"/>
    <w:rsid w:val="00385E1F"/>
    <w:rsid w:val="00390830"/>
    <w:rsid w:val="0039749F"/>
    <w:rsid w:val="003A1006"/>
    <w:rsid w:val="003A2701"/>
    <w:rsid w:val="003A66F6"/>
    <w:rsid w:val="003A7B93"/>
    <w:rsid w:val="003B1922"/>
    <w:rsid w:val="003B1D15"/>
    <w:rsid w:val="003B2B1B"/>
    <w:rsid w:val="003B3C7F"/>
    <w:rsid w:val="003B5175"/>
    <w:rsid w:val="003B5AB5"/>
    <w:rsid w:val="003B6EDC"/>
    <w:rsid w:val="003C3641"/>
    <w:rsid w:val="003C6E06"/>
    <w:rsid w:val="003D116E"/>
    <w:rsid w:val="003D20B0"/>
    <w:rsid w:val="003D2622"/>
    <w:rsid w:val="003D7982"/>
    <w:rsid w:val="003E03CD"/>
    <w:rsid w:val="003E0BB0"/>
    <w:rsid w:val="003E2BC4"/>
    <w:rsid w:val="003E33AE"/>
    <w:rsid w:val="003E3A1B"/>
    <w:rsid w:val="003E3B57"/>
    <w:rsid w:val="003E5FFB"/>
    <w:rsid w:val="003E70A0"/>
    <w:rsid w:val="003F102A"/>
    <w:rsid w:val="003F333C"/>
    <w:rsid w:val="003F34FB"/>
    <w:rsid w:val="003F3921"/>
    <w:rsid w:val="003F3B15"/>
    <w:rsid w:val="003F447D"/>
    <w:rsid w:val="003F4D06"/>
    <w:rsid w:val="0040031C"/>
    <w:rsid w:val="0040128D"/>
    <w:rsid w:val="0040631E"/>
    <w:rsid w:val="004073C9"/>
    <w:rsid w:val="004132A3"/>
    <w:rsid w:val="00416640"/>
    <w:rsid w:val="00417594"/>
    <w:rsid w:val="00421E2D"/>
    <w:rsid w:val="00424606"/>
    <w:rsid w:val="00426812"/>
    <w:rsid w:val="00430D0D"/>
    <w:rsid w:val="004414A0"/>
    <w:rsid w:val="0044155D"/>
    <w:rsid w:val="00443A28"/>
    <w:rsid w:val="004445F5"/>
    <w:rsid w:val="00445928"/>
    <w:rsid w:val="00445EB5"/>
    <w:rsid w:val="00446343"/>
    <w:rsid w:val="004526CD"/>
    <w:rsid w:val="00455E93"/>
    <w:rsid w:val="00457B18"/>
    <w:rsid w:val="004609A7"/>
    <w:rsid w:val="00463823"/>
    <w:rsid w:val="0046467E"/>
    <w:rsid w:val="004655FA"/>
    <w:rsid w:val="00465A38"/>
    <w:rsid w:val="00466FFB"/>
    <w:rsid w:val="0046771C"/>
    <w:rsid w:val="004707B8"/>
    <w:rsid w:val="00471AD3"/>
    <w:rsid w:val="004731D9"/>
    <w:rsid w:val="004735CC"/>
    <w:rsid w:val="00475143"/>
    <w:rsid w:val="00475817"/>
    <w:rsid w:val="004801DC"/>
    <w:rsid w:val="00482A0B"/>
    <w:rsid w:val="00483146"/>
    <w:rsid w:val="00486F70"/>
    <w:rsid w:val="004872C4"/>
    <w:rsid w:val="00487AB8"/>
    <w:rsid w:val="00490AAD"/>
    <w:rsid w:val="004925C1"/>
    <w:rsid w:val="00494796"/>
    <w:rsid w:val="00497039"/>
    <w:rsid w:val="004A746B"/>
    <w:rsid w:val="004B2BC1"/>
    <w:rsid w:val="004B354B"/>
    <w:rsid w:val="004B42CE"/>
    <w:rsid w:val="004B48C8"/>
    <w:rsid w:val="004B49C5"/>
    <w:rsid w:val="004B4C21"/>
    <w:rsid w:val="004B5065"/>
    <w:rsid w:val="004B757D"/>
    <w:rsid w:val="004B7663"/>
    <w:rsid w:val="004C0571"/>
    <w:rsid w:val="004C05CC"/>
    <w:rsid w:val="004C0AF2"/>
    <w:rsid w:val="004C234B"/>
    <w:rsid w:val="004C45A7"/>
    <w:rsid w:val="004C6DF1"/>
    <w:rsid w:val="004D2FD8"/>
    <w:rsid w:val="004D6924"/>
    <w:rsid w:val="004D7905"/>
    <w:rsid w:val="004E0E9F"/>
    <w:rsid w:val="004E222D"/>
    <w:rsid w:val="004E2370"/>
    <w:rsid w:val="004E502C"/>
    <w:rsid w:val="004E636C"/>
    <w:rsid w:val="004E6B5D"/>
    <w:rsid w:val="004E778A"/>
    <w:rsid w:val="004E7CC0"/>
    <w:rsid w:val="004F1744"/>
    <w:rsid w:val="004F45B8"/>
    <w:rsid w:val="004F49A4"/>
    <w:rsid w:val="004F6AB2"/>
    <w:rsid w:val="004F6EC9"/>
    <w:rsid w:val="004F7D23"/>
    <w:rsid w:val="005003AA"/>
    <w:rsid w:val="00502357"/>
    <w:rsid w:val="005044C4"/>
    <w:rsid w:val="0050669B"/>
    <w:rsid w:val="005071D4"/>
    <w:rsid w:val="00511EAC"/>
    <w:rsid w:val="005202EF"/>
    <w:rsid w:val="0052155F"/>
    <w:rsid w:val="00523208"/>
    <w:rsid w:val="0052364F"/>
    <w:rsid w:val="00523E4A"/>
    <w:rsid w:val="0052497D"/>
    <w:rsid w:val="00525161"/>
    <w:rsid w:val="005259D9"/>
    <w:rsid w:val="00525AFA"/>
    <w:rsid w:val="00526A6B"/>
    <w:rsid w:val="00530166"/>
    <w:rsid w:val="005303E9"/>
    <w:rsid w:val="005318D0"/>
    <w:rsid w:val="00533F11"/>
    <w:rsid w:val="00534615"/>
    <w:rsid w:val="00534CDB"/>
    <w:rsid w:val="00535594"/>
    <w:rsid w:val="005362BE"/>
    <w:rsid w:val="00537C60"/>
    <w:rsid w:val="005411AF"/>
    <w:rsid w:val="00541AC2"/>
    <w:rsid w:val="00543A99"/>
    <w:rsid w:val="00546738"/>
    <w:rsid w:val="00547DF0"/>
    <w:rsid w:val="00547FDD"/>
    <w:rsid w:val="00551343"/>
    <w:rsid w:val="005542FF"/>
    <w:rsid w:val="00555018"/>
    <w:rsid w:val="00557898"/>
    <w:rsid w:val="00560CBB"/>
    <w:rsid w:val="00562533"/>
    <w:rsid w:val="00562DDE"/>
    <w:rsid w:val="005639C8"/>
    <w:rsid w:val="00564689"/>
    <w:rsid w:val="00565320"/>
    <w:rsid w:val="005706A0"/>
    <w:rsid w:val="0057093C"/>
    <w:rsid w:val="00573CFB"/>
    <w:rsid w:val="0057747C"/>
    <w:rsid w:val="0058045A"/>
    <w:rsid w:val="00580DAA"/>
    <w:rsid w:val="005814EE"/>
    <w:rsid w:val="005816F1"/>
    <w:rsid w:val="0058686A"/>
    <w:rsid w:val="0059104C"/>
    <w:rsid w:val="005947BD"/>
    <w:rsid w:val="00596F97"/>
    <w:rsid w:val="005A0589"/>
    <w:rsid w:val="005A1111"/>
    <w:rsid w:val="005A2DC3"/>
    <w:rsid w:val="005A3776"/>
    <w:rsid w:val="005A55AA"/>
    <w:rsid w:val="005B020D"/>
    <w:rsid w:val="005B0985"/>
    <w:rsid w:val="005B0CB3"/>
    <w:rsid w:val="005B28EF"/>
    <w:rsid w:val="005B343D"/>
    <w:rsid w:val="005B3728"/>
    <w:rsid w:val="005B6ACD"/>
    <w:rsid w:val="005C472C"/>
    <w:rsid w:val="005C5EC2"/>
    <w:rsid w:val="005C5FAA"/>
    <w:rsid w:val="005D07ED"/>
    <w:rsid w:val="005D1EAF"/>
    <w:rsid w:val="005D604D"/>
    <w:rsid w:val="005D728C"/>
    <w:rsid w:val="005E03DD"/>
    <w:rsid w:val="005E2357"/>
    <w:rsid w:val="005F18A8"/>
    <w:rsid w:val="00603338"/>
    <w:rsid w:val="0060335C"/>
    <w:rsid w:val="00603A82"/>
    <w:rsid w:val="00603AF4"/>
    <w:rsid w:val="006060A1"/>
    <w:rsid w:val="00607062"/>
    <w:rsid w:val="00610E39"/>
    <w:rsid w:val="00612A12"/>
    <w:rsid w:val="00614E62"/>
    <w:rsid w:val="00615C5C"/>
    <w:rsid w:val="00615C6D"/>
    <w:rsid w:val="00615C6E"/>
    <w:rsid w:val="00620748"/>
    <w:rsid w:val="006238A1"/>
    <w:rsid w:val="00623B71"/>
    <w:rsid w:val="00623BAA"/>
    <w:rsid w:val="00624904"/>
    <w:rsid w:val="0062492C"/>
    <w:rsid w:val="006264E8"/>
    <w:rsid w:val="0063099A"/>
    <w:rsid w:val="0063100C"/>
    <w:rsid w:val="00633179"/>
    <w:rsid w:val="00634472"/>
    <w:rsid w:val="00642942"/>
    <w:rsid w:val="00642A01"/>
    <w:rsid w:val="00643425"/>
    <w:rsid w:val="006505E7"/>
    <w:rsid w:val="00650CAB"/>
    <w:rsid w:val="006632A7"/>
    <w:rsid w:val="00664999"/>
    <w:rsid w:val="00664F34"/>
    <w:rsid w:val="006660A5"/>
    <w:rsid w:val="00667FF5"/>
    <w:rsid w:val="006700FF"/>
    <w:rsid w:val="00672638"/>
    <w:rsid w:val="00675288"/>
    <w:rsid w:val="0067606C"/>
    <w:rsid w:val="00676D49"/>
    <w:rsid w:val="006772F9"/>
    <w:rsid w:val="00684E8A"/>
    <w:rsid w:val="00685333"/>
    <w:rsid w:val="0069201F"/>
    <w:rsid w:val="00693F86"/>
    <w:rsid w:val="00695EDA"/>
    <w:rsid w:val="00696606"/>
    <w:rsid w:val="006A09A2"/>
    <w:rsid w:val="006A0E5B"/>
    <w:rsid w:val="006A0FA7"/>
    <w:rsid w:val="006A25F9"/>
    <w:rsid w:val="006A2D2F"/>
    <w:rsid w:val="006A32A9"/>
    <w:rsid w:val="006A4B28"/>
    <w:rsid w:val="006A5B7B"/>
    <w:rsid w:val="006A6174"/>
    <w:rsid w:val="006A7619"/>
    <w:rsid w:val="006B59F0"/>
    <w:rsid w:val="006B6B1E"/>
    <w:rsid w:val="006B7CF8"/>
    <w:rsid w:val="006B7E72"/>
    <w:rsid w:val="006C2503"/>
    <w:rsid w:val="006C263A"/>
    <w:rsid w:val="006C3A8E"/>
    <w:rsid w:val="006C4B5B"/>
    <w:rsid w:val="006C669F"/>
    <w:rsid w:val="006D00CA"/>
    <w:rsid w:val="006D02EC"/>
    <w:rsid w:val="006D05B6"/>
    <w:rsid w:val="006D17C5"/>
    <w:rsid w:val="006D1D5B"/>
    <w:rsid w:val="006D4501"/>
    <w:rsid w:val="006D60A7"/>
    <w:rsid w:val="006E1B9E"/>
    <w:rsid w:val="006E3B1D"/>
    <w:rsid w:val="006E3E93"/>
    <w:rsid w:val="006E5E7D"/>
    <w:rsid w:val="006E6837"/>
    <w:rsid w:val="006E7D90"/>
    <w:rsid w:val="006F1917"/>
    <w:rsid w:val="006F1EEF"/>
    <w:rsid w:val="00700D1A"/>
    <w:rsid w:val="00701D11"/>
    <w:rsid w:val="00702410"/>
    <w:rsid w:val="007047C6"/>
    <w:rsid w:val="00707D4F"/>
    <w:rsid w:val="00711DA5"/>
    <w:rsid w:val="00712C83"/>
    <w:rsid w:val="00722D46"/>
    <w:rsid w:val="00725E33"/>
    <w:rsid w:val="007307F2"/>
    <w:rsid w:val="007308A9"/>
    <w:rsid w:val="00732392"/>
    <w:rsid w:val="007333A9"/>
    <w:rsid w:val="007428C7"/>
    <w:rsid w:val="00750B10"/>
    <w:rsid w:val="00750E46"/>
    <w:rsid w:val="00752B64"/>
    <w:rsid w:val="00755CA7"/>
    <w:rsid w:val="00763126"/>
    <w:rsid w:val="00764C4F"/>
    <w:rsid w:val="0076532D"/>
    <w:rsid w:val="0076779F"/>
    <w:rsid w:val="00770FBB"/>
    <w:rsid w:val="00772D72"/>
    <w:rsid w:val="00773E88"/>
    <w:rsid w:val="00774614"/>
    <w:rsid w:val="0077493B"/>
    <w:rsid w:val="00780662"/>
    <w:rsid w:val="007810B3"/>
    <w:rsid w:val="007836A7"/>
    <w:rsid w:val="007850BD"/>
    <w:rsid w:val="00785181"/>
    <w:rsid w:val="007922CE"/>
    <w:rsid w:val="00792995"/>
    <w:rsid w:val="00792B61"/>
    <w:rsid w:val="00793DFC"/>
    <w:rsid w:val="00794ACB"/>
    <w:rsid w:val="00795F2F"/>
    <w:rsid w:val="007968ED"/>
    <w:rsid w:val="00797299"/>
    <w:rsid w:val="007A0E68"/>
    <w:rsid w:val="007A203E"/>
    <w:rsid w:val="007A357F"/>
    <w:rsid w:val="007A4C42"/>
    <w:rsid w:val="007B0C05"/>
    <w:rsid w:val="007B1DC5"/>
    <w:rsid w:val="007B4FE9"/>
    <w:rsid w:val="007B6F22"/>
    <w:rsid w:val="007B7694"/>
    <w:rsid w:val="007B7F84"/>
    <w:rsid w:val="007C08A5"/>
    <w:rsid w:val="007C1955"/>
    <w:rsid w:val="007C367A"/>
    <w:rsid w:val="007C71DA"/>
    <w:rsid w:val="007D0957"/>
    <w:rsid w:val="007D1AEF"/>
    <w:rsid w:val="007D4D65"/>
    <w:rsid w:val="007D77F0"/>
    <w:rsid w:val="007D7916"/>
    <w:rsid w:val="007E176A"/>
    <w:rsid w:val="007E4539"/>
    <w:rsid w:val="007E4590"/>
    <w:rsid w:val="007E53CF"/>
    <w:rsid w:val="007E56E7"/>
    <w:rsid w:val="007E64FC"/>
    <w:rsid w:val="007F03DC"/>
    <w:rsid w:val="007F0507"/>
    <w:rsid w:val="007F2650"/>
    <w:rsid w:val="007F379B"/>
    <w:rsid w:val="008000C5"/>
    <w:rsid w:val="00800906"/>
    <w:rsid w:val="00800A1B"/>
    <w:rsid w:val="008022F5"/>
    <w:rsid w:val="00804F56"/>
    <w:rsid w:val="008059B4"/>
    <w:rsid w:val="00807A81"/>
    <w:rsid w:val="0081072C"/>
    <w:rsid w:val="00812D89"/>
    <w:rsid w:val="00815C3E"/>
    <w:rsid w:val="00817B16"/>
    <w:rsid w:val="00821F2C"/>
    <w:rsid w:val="008224B7"/>
    <w:rsid w:val="008243D2"/>
    <w:rsid w:val="00824C89"/>
    <w:rsid w:val="00824EAD"/>
    <w:rsid w:val="0082792D"/>
    <w:rsid w:val="00831AEF"/>
    <w:rsid w:val="00831C62"/>
    <w:rsid w:val="00833767"/>
    <w:rsid w:val="0083399A"/>
    <w:rsid w:val="0083640F"/>
    <w:rsid w:val="008374CE"/>
    <w:rsid w:val="00840831"/>
    <w:rsid w:val="00840888"/>
    <w:rsid w:val="008433D2"/>
    <w:rsid w:val="00845979"/>
    <w:rsid w:val="00845EE1"/>
    <w:rsid w:val="00846ACF"/>
    <w:rsid w:val="008473D8"/>
    <w:rsid w:val="00847924"/>
    <w:rsid w:val="00847C3A"/>
    <w:rsid w:val="0085475E"/>
    <w:rsid w:val="0085523F"/>
    <w:rsid w:val="0086014E"/>
    <w:rsid w:val="008606D0"/>
    <w:rsid w:val="00861C36"/>
    <w:rsid w:val="00862F0A"/>
    <w:rsid w:val="00867100"/>
    <w:rsid w:val="00867E01"/>
    <w:rsid w:val="00870E9E"/>
    <w:rsid w:val="0087378C"/>
    <w:rsid w:val="00875A7B"/>
    <w:rsid w:val="00875F34"/>
    <w:rsid w:val="0088170D"/>
    <w:rsid w:val="00881E32"/>
    <w:rsid w:val="0088236E"/>
    <w:rsid w:val="00882772"/>
    <w:rsid w:val="008836DC"/>
    <w:rsid w:val="00884022"/>
    <w:rsid w:val="008901A8"/>
    <w:rsid w:val="008948B5"/>
    <w:rsid w:val="00895083"/>
    <w:rsid w:val="008958FC"/>
    <w:rsid w:val="008971FF"/>
    <w:rsid w:val="00897CA3"/>
    <w:rsid w:val="008A4178"/>
    <w:rsid w:val="008A4D5A"/>
    <w:rsid w:val="008A4DE7"/>
    <w:rsid w:val="008B0444"/>
    <w:rsid w:val="008B1B67"/>
    <w:rsid w:val="008B3068"/>
    <w:rsid w:val="008B71B3"/>
    <w:rsid w:val="008B7771"/>
    <w:rsid w:val="008C2035"/>
    <w:rsid w:val="008C2B6C"/>
    <w:rsid w:val="008C336A"/>
    <w:rsid w:val="008C523D"/>
    <w:rsid w:val="008C529F"/>
    <w:rsid w:val="008D299F"/>
    <w:rsid w:val="008D2C97"/>
    <w:rsid w:val="008D3753"/>
    <w:rsid w:val="008D4FCF"/>
    <w:rsid w:val="008D53FE"/>
    <w:rsid w:val="008D5914"/>
    <w:rsid w:val="008D6376"/>
    <w:rsid w:val="008E3C55"/>
    <w:rsid w:val="008E40BC"/>
    <w:rsid w:val="008E5BC0"/>
    <w:rsid w:val="008E6F21"/>
    <w:rsid w:val="008E7402"/>
    <w:rsid w:val="008F1964"/>
    <w:rsid w:val="008F246C"/>
    <w:rsid w:val="008F3812"/>
    <w:rsid w:val="008F4827"/>
    <w:rsid w:val="008F4919"/>
    <w:rsid w:val="008F572D"/>
    <w:rsid w:val="008F59E7"/>
    <w:rsid w:val="00900DB2"/>
    <w:rsid w:val="00902397"/>
    <w:rsid w:val="00904915"/>
    <w:rsid w:val="00905C50"/>
    <w:rsid w:val="00912B43"/>
    <w:rsid w:val="00912B4F"/>
    <w:rsid w:val="00913925"/>
    <w:rsid w:val="009156EC"/>
    <w:rsid w:val="00917066"/>
    <w:rsid w:val="00920436"/>
    <w:rsid w:val="009223AC"/>
    <w:rsid w:val="009258BB"/>
    <w:rsid w:val="00926455"/>
    <w:rsid w:val="00933888"/>
    <w:rsid w:val="00933D10"/>
    <w:rsid w:val="00934AD9"/>
    <w:rsid w:val="00935FB3"/>
    <w:rsid w:val="00936799"/>
    <w:rsid w:val="00936F5A"/>
    <w:rsid w:val="009374DC"/>
    <w:rsid w:val="00940678"/>
    <w:rsid w:val="00941F70"/>
    <w:rsid w:val="0094321E"/>
    <w:rsid w:val="0094610A"/>
    <w:rsid w:val="00947534"/>
    <w:rsid w:val="009502A7"/>
    <w:rsid w:val="00950358"/>
    <w:rsid w:val="00952285"/>
    <w:rsid w:val="009525ED"/>
    <w:rsid w:val="00952F68"/>
    <w:rsid w:val="00956391"/>
    <w:rsid w:val="00956E76"/>
    <w:rsid w:val="009608CC"/>
    <w:rsid w:val="00962905"/>
    <w:rsid w:val="009630FB"/>
    <w:rsid w:val="00964484"/>
    <w:rsid w:val="00965A83"/>
    <w:rsid w:val="009712C9"/>
    <w:rsid w:val="00973AF5"/>
    <w:rsid w:val="00976FB3"/>
    <w:rsid w:val="00977F89"/>
    <w:rsid w:val="00980BB3"/>
    <w:rsid w:val="009821DF"/>
    <w:rsid w:val="00984B79"/>
    <w:rsid w:val="009852DA"/>
    <w:rsid w:val="0098715A"/>
    <w:rsid w:val="00987521"/>
    <w:rsid w:val="00990B26"/>
    <w:rsid w:val="00990B43"/>
    <w:rsid w:val="00991509"/>
    <w:rsid w:val="009929B1"/>
    <w:rsid w:val="00993A3D"/>
    <w:rsid w:val="009960E1"/>
    <w:rsid w:val="009A06F5"/>
    <w:rsid w:val="009A448C"/>
    <w:rsid w:val="009A50FE"/>
    <w:rsid w:val="009A588A"/>
    <w:rsid w:val="009A7B7C"/>
    <w:rsid w:val="009B0642"/>
    <w:rsid w:val="009B1B37"/>
    <w:rsid w:val="009B24F2"/>
    <w:rsid w:val="009B463D"/>
    <w:rsid w:val="009B57D9"/>
    <w:rsid w:val="009B59C1"/>
    <w:rsid w:val="009C0E2B"/>
    <w:rsid w:val="009C77D8"/>
    <w:rsid w:val="009C7FD6"/>
    <w:rsid w:val="009D0755"/>
    <w:rsid w:val="009D1DDB"/>
    <w:rsid w:val="009D2062"/>
    <w:rsid w:val="009D2505"/>
    <w:rsid w:val="009D39EC"/>
    <w:rsid w:val="009D4459"/>
    <w:rsid w:val="009D4B49"/>
    <w:rsid w:val="009D645A"/>
    <w:rsid w:val="009D7273"/>
    <w:rsid w:val="009E05E1"/>
    <w:rsid w:val="009E168F"/>
    <w:rsid w:val="009E63A7"/>
    <w:rsid w:val="009F0A17"/>
    <w:rsid w:val="009F301F"/>
    <w:rsid w:val="009F4140"/>
    <w:rsid w:val="009F7C81"/>
    <w:rsid w:val="00A105BC"/>
    <w:rsid w:val="00A113F5"/>
    <w:rsid w:val="00A126D2"/>
    <w:rsid w:val="00A15D3D"/>
    <w:rsid w:val="00A205CD"/>
    <w:rsid w:val="00A22728"/>
    <w:rsid w:val="00A2476B"/>
    <w:rsid w:val="00A24A28"/>
    <w:rsid w:val="00A25749"/>
    <w:rsid w:val="00A2644A"/>
    <w:rsid w:val="00A267F5"/>
    <w:rsid w:val="00A32C8E"/>
    <w:rsid w:val="00A355AE"/>
    <w:rsid w:val="00A36453"/>
    <w:rsid w:val="00A37960"/>
    <w:rsid w:val="00A37B19"/>
    <w:rsid w:val="00A4017E"/>
    <w:rsid w:val="00A4097F"/>
    <w:rsid w:val="00A43A5A"/>
    <w:rsid w:val="00A43C53"/>
    <w:rsid w:val="00A4443D"/>
    <w:rsid w:val="00A455DE"/>
    <w:rsid w:val="00A47BA0"/>
    <w:rsid w:val="00A50AF2"/>
    <w:rsid w:val="00A546F9"/>
    <w:rsid w:val="00A579B8"/>
    <w:rsid w:val="00A610B7"/>
    <w:rsid w:val="00A72304"/>
    <w:rsid w:val="00A72CF1"/>
    <w:rsid w:val="00A74A26"/>
    <w:rsid w:val="00A7512F"/>
    <w:rsid w:val="00A80A34"/>
    <w:rsid w:val="00A84B26"/>
    <w:rsid w:val="00A87C9D"/>
    <w:rsid w:val="00A92EF5"/>
    <w:rsid w:val="00A96264"/>
    <w:rsid w:val="00A9714B"/>
    <w:rsid w:val="00AA073A"/>
    <w:rsid w:val="00AA0947"/>
    <w:rsid w:val="00AA31EB"/>
    <w:rsid w:val="00AA3E81"/>
    <w:rsid w:val="00AA52C8"/>
    <w:rsid w:val="00AA5AC8"/>
    <w:rsid w:val="00AA64A4"/>
    <w:rsid w:val="00AA76B7"/>
    <w:rsid w:val="00AB0C59"/>
    <w:rsid w:val="00AB14B7"/>
    <w:rsid w:val="00AB2CF9"/>
    <w:rsid w:val="00AB3A44"/>
    <w:rsid w:val="00AB3B13"/>
    <w:rsid w:val="00AB5161"/>
    <w:rsid w:val="00AC038F"/>
    <w:rsid w:val="00AC41CD"/>
    <w:rsid w:val="00AC42D6"/>
    <w:rsid w:val="00AC5E81"/>
    <w:rsid w:val="00AC62DD"/>
    <w:rsid w:val="00AC70B6"/>
    <w:rsid w:val="00AD0CD7"/>
    <w:rsid w:val="00AD223F"/>
    <w:rsid w:val="00AD2B32"/>
    <w:rsid w:val="00AD31D5"/>
    <w:rsid w:val="00AD34EC"/>
    <w:rsid w:val="00AE09CE"/>
    <w:rsid w:val="00AE33CF"/>
    <w:rsid w:val="00AE6EF7"/>
    <w:rsid w:val="00AF0DF4"/>
    <w:rsid w:val="00AF18D6"/>
    <w:rsid w:val="00AF70F0"/>
    <w:rsid w:val="00B02462"/>
    <w:rsid w:val="00B02B1A"/>
    <w:rsid w:val="00B032BF"/>
    <w:rsid w:val="00B038BB"/>
    <w:rsid w:val="00B05B88"/>
    <w:rsid w:val="00B06127"/>
    <w:rsid w:val="00B118E4"/>
    <w:rsid w:val="00B1398F"/>
    <w:rsid w:val="00B13D62"/>
    <w:rsid w:val="00B21287"/>
    <w:rsid w:val="00B22C9C"/>
    <w:rsid w:val="00B27604"/>
    <w:rsid w:val="00B303D1"/>
    <w:rsid w:val="00B41F80"/>
    <w:rsid w:val="00B421CC"/>
    <w:rsid w:val="00B42340"/>
    <w:rsid w:val="00B4258F"/>
    <w:rsid w:val="00B42964"/>
    <w:rsid w:val="00B42BAA"/>
    <w:rsid w:val="00B43A24"/>
    <w:rsid w:val="00B44A52"/>
    <w:rsid w:val="00B45E9B"/>
    <w:rsid w:val="00B460F7"/>
    <w:rsid w:val="00B47A85"/>
    <w:rsid w:val="00B55B09"/>
    <w:rsid w:val="00B560BC"/>
    <w:rsid w:val="00B602D2"/>
    <w:rsid w:val="00B637F3"/>
    <w:rsid w:val="00B65B38"/>
    <w:rsid w:val="00B66ACD"/>
    <w:rsid w:val="00B749EB"/>
    <w:rsid w:val="00B765BF"/>
    <w:rsid w:val="00B81ED5"/>
    <w:rsid w:val="00B82ACC"/>
    <w:rsid w:val="00B85D24"/>
    <w:rsid w:val="00B86280"/>
    <w:rsid w:val="00B86738"/>
    <w:rsid w:val="00B86CD8"/>
    <w:rsid w:val="00B87C8B"/>
    <w:rsid w:val="00B87F6A"/>
    <w:rsid w:val="00B9019E"/>
    <w:rsid w:val="00B91CBD"/>
    <w:rsid w:val="00B92E02"/>
    <w:rsid w:val="00B93657"/>
    <w:rsid w:val="00B945EB"/>
    <w:rsid w:val="00B95669"/>
    <w:rsid w:val="00B97696"/>
    <w:rsid w:val="00BA2FA9"/>
    <w:rsid w:val="00BA345E"/>
    <w:rsid w:val="00BA350B"/>
    <w:rsid w:val="00BA5244"/>
    <w:rsid w:val="00BA7535"/>
    <w:rsid w:val="00BB17A2"/>
    <w:rsid w:val="00BB56E8"/>
    <w:rsid w:val="00BB58C7"/>
    <w:rsid w:val="00BB5F3B"/>
    <w:rsid w:val="00BC1E1A"/>
    <w:rsid w:val="00BC3F35"/>
    <w:rsid w:val="00BC60A1"/>
    <w:rsid w:val="00BC63A3"/>
    <w:rsid w:val="00BC6CC0"/>
    <w:rsid w:val="00BC76EF"/>
    <w:rsid w:val="00BC7FC4"/>
    <w:rsid w:val="00BD1AF7"/>
    <w:rsid w:val="00BD2165"/>
    <w:rsid w:val="00BD306F"/>
    <w:rsid w:val="00BD566D"/>
    <w:rsid w:val="00BD66C9"/>
    <w:rsid w:val="00BD6B5F"/>
    <w:rsid w:val="00BE172E"/>
    <w:rsid w:val="00BE1F6A"/>
    <w:rsid w:val="00BE2BAF"/>
    <w:rsid w:val="00BE3E41"/>
    <w:rsid w:val="00BF55C6"/>
    <w:rsid w:val="00BF5BF0"/>
    <w:rsid w:val="00C00D27"/>
    <w:rsid w:val="00C03570"/>
    <w:rsid w:val="00C038C8"/>
    <w:rsid w:val="00C03F5D"/>
    <w:rsid w:val="00C04292"/>
    <w:rsid w:val="00C053EA"/>
    <w:rsid w:val="00C05467"/>
    <w:rsid w:val="00C070DB"/>
    <w:rsid w:val="00C1033B"/>
    <w:rsid w:val="00C10D72"/>
    <w:rsid w:val="00C1666F"/>
    <w:rsid w:val="00C17EA2"/>
    <w:rsid w:val="00C21EB1"/>
    <w:rsid w:val="00C243C5"/>
    <w:rsid w:val="00C304C8"/>
    <w:rsid w:val="00C3387B"/>
    <w:rsid w:val="00C35021"/>
    <w:rsid w:val="00C35094"/>
    <w:rsid w:val="00C3638A"/>
    <w:rsid w:val="00C42007"/>
    <w:rsid w:val="00C42D53"/>
    <w:rsid w:val="00C50593"/>
    <w:rsid w:val="00C508BE"/>
    <w:rsid w:val="00C51034"/>
    <w:rsid w:val="00C53345"/>
    <w:rsid w:val="00C545C4"/>
    <w:rsid w:val="00C554EF"/>
    <w:rsid w:val="00C56F28"/>
    <w:rsid w:val="00C60BC2"/>
    <w:rsid w:val="00C61D79"/>
    <w:rsid w:val="00C61F00"/>
    <w:rsid w:val="00C6257E"/>
    <w:rsid w:val="00C63324"/>
    <w:rsid w:val="00C633F8"/>
    <w:rsid w:val="00C63D3E"/>
    <w:rsid w:val="00C63EFC"/>
    <w:rsid w:val="00C63F63"/>
    <w:rsid w:val="00C75FBD"/>
    <w:rsid w:val="00C80F7D"/>
    <w:rsid w:val="00C83E17"/>
    <w:rsid w:val="00C87980"/>
    <w:rsid w:val="00C919B0"/>
    <w:rsid w:val="00C91AB9"/>
    <w:rsid w:val="00C92C7F"/>
    <w:rsid w:val="00C93787"/>
    <w:rsid w:val="00C9452D"/>
    <w:rsid w:val="00CA21CE"/>
    <w:rsid w:val="00CA284E"/>
    <w:rsid w:val="00CA4C80"/>
    <w:rsid w:val="00CA6626"/>
    <w:rsid w:val="00CB0D71"/>
    <w:rsid w:val="00CB187D"/>
    <w:rsid w:val="00CB3638"/>
    <w:rsid w:val="00CB3681"/>
    <w:rsid w:val="00CB469F"/>
    <w:rsid w:val="00CB7134"/>
    <w:rsid w:val="00CB7E73"/>
    <w:rsid w:val="00CB7FEC"/>
    <w:rsid w:val="00CC0346"/>
    <w:rsid w:val="00CC2AFD"/>
    <w:rsid w:val="00CC3799"/>
    <w:rsid w:val="00CC4244"/>
    <w:rsid w:val="00CC4358"/>
    <w:rsid w:val="00CC59C0"/>
    <w:rsid w:val="00CC5EED"/>
    <w:rsid w:val="00CC6D7C"/>
    <w:rsid w:val="00CD202E"/>
    <w:rsid w:val="00CD341E"/>
    <w:rsid w:val="00CD4615"/>
    <w:rsid w:val="00CD4B7D"/>
    <w:rsid w:val="00CD6045"/>
    <w:rsid w:val="00CD652D"/>
    <w:rsid w:val="00CD7358"/>
    <w:rsid w:val="00CD7A4E"/>
    <w:rsid w:val="00CE0D52"/>
    <w:rsid w:val="00CE1C9B"/>
    <w:rsid w:val="00CE2E5B"/>
    <w:rsid w:val="00CF0B9A"/>
    <w:rsid w:val="00CF141A"/>
    <w:rsid w:val="00CF1A1F"/>
    <w:rsid w:val="00CF2AF6"/>
    <w:rsid w:val="00CF369A"/>
    <w:rsid w:val="00CF3A88"/>
    <w:rsid w:val="00CF3E6E"/>
    <w:rsid w:val="00CF6894"/>
    <w:rsid w:val="00CF6F83"/>
    <w:rsid w:val="00D028FC"/>
    <w:rsid w:val="00D02E41"/>
    <w:rsid w:val="00D03C15"/>
    <w:rsid w:val="00D05583"/>
    <w:rsid w:val="00D06758"/>
    <w:rsid w:val="00D1164A"/>
    <w:rsid w:val="00D11795"/>
    <w:rsid w:val="00D14B9C"/>
    <w:rsid w:val="00D202BC"/>
    <w:rsid w:val="00D2281F"/>
    <w:rsid w:val="00D24790"/>
    <w:rsid w:val="00D268D0"/>
    <w:rsid w:val="00D27028"/>
    <w:rsid w:val="00D27BC5"/>
    <w:rsid w:val="00D303F5"/>
    <w:rsid w:val="00D3056F"/>
    <w:rsid w:val="00D428EE"/>
    <w:rsid w:val="00D469AC"/>
    <w:rsid w:val="00D479E3"/>
    <w:rsid w:val="00D47ABB"/>
    <w:rsid w:val="00D47C25"/>
    <w:rsid w:val="00D47DCA"/>
    <w:rsid w:val="00D50908"/>
    <w:rsid w:val="00D51DB7"/>
    <w:rsid w:val="00D55450"/>
    <w:rsid w:val="00D57606"/>
    <w:rsid w:val="00D6176D"/>
    <w:rsid w:val="00D61CDD"/>
    <w:rsid w:val="00D61EE9"/>
    <w:rsid w:val="00D63664"/>
    <w:rsid w:val="00D64CB3"/>
    <w:rsid w:val="00D66BEF"/>
    <w:rsid w:val="00D74A4C"/>
    <w:rsid w:val="00D74D90"/>
    <w:rsid w:val="00D74FB9"/>
    <w:rsid w:val="00D75309"/>
    <w:rsid w:val="00D76182"/>
    <w:rsid w:val="00D8115A"/>
    <w:rsid w:val="00D819A1"/>
    <w:rsid w:val="00D83E07"/>
    <w:rsid w:val="00D84BD6"/>
    <w:rsid w:val="00D8507F"/>
    <w:rsid w:val="00D85194"/>
    <w:rsid w:val="00D853B4"/>
    <w:rsid w:val="00D85BAB"/>
    <w:rsid w:val="00D90453"/>
    <w:rsid w:val="00D90CC6"/>
    <w:rsid w:val="00D917A2"/>
    <w:rsid w:val="00D931A2"/>
    <w:rsid w:val="00D9358A"/>
    <w:rsid w:val="00DA42B7"/>
    <w:rsid w:val="00DA50BB"/>
    <w:rsid w:val="00DB0DE4"/>
    <w:rsid w:val="00DB39B0"/>
    <w:rsid w:val="00DB3A44"/>
    <w:rsid w:val="00DB5E9F"/>
    <w:rsid w:val="00DB7E6C"/>
    <w:rsid w:val="00DC3F61"/>
    <w:rsid w:val="00DD0B35"/>
    <w:rsid w:val="00DD474C"/>
    <w:rsid w:val="00DD4952"/>
    <w:rsid w:val="00DD7ED9"/>
    <w:rsid w:val="00DE3D9C"/>
    <w:rsid w:val="00DE5DE7"/>
    <w:rsid w:val="00DF0468"/>
    <w:rsid w:val="00DF17F6"/>
    <w:rsid w:val="00DF461D"/>
    <w:rsid w:val="00DF4865"/>
    <w:rsid w:val="00DF4D75"/>
    <w:rsid w:val="00DF6921"/>
    <w:rsid w:val="00E0383B"/>
    <w:rsid w:val="00E03E44"/>
    <w:rsid w:val="00E05BD3"/>
    <w:rsid w:val="00E06C36"/>
    <w:rsid w:val="00E06FA4"/>
    <w:rsid w:val="00E07AC3"/>
    <w:rsid w:val="00E123F8"/>
    <w:rsid w:val="00E14E17"/>
    <w:rsid w:val="00E1636E"/>
    <w:rsid w:val="00E22FF9"/>
    <w:rsid w:val="00E23891"/>
    <w:rsid w:val="00E24C8F"/>
    <w:rsid w:val="00E31CD1"/>
    <w:rsid w:val="00E31D63"/>
    <w:rsid w:val="00E3333C"/>
    <w:rsid w:val="00E34152"/>
    <w:rsid w:val="00E34A32"/>
    <w:rsid w:val="00E35934"/>
    <w:rsid w:val="00E37318"/>
    <w:rsid w:val="00E415E4"/>
    <w:rsid w:val="00E4793A"/>
    <w:rsid w:val="00E53B2A"/>
    <w:rsid w:val="00E558BA"/>
    <w:rsid w:val="00E608FC"/>
    <w:rsid w:val="00E623C4"/>
    <w:rsid w:val="00E64BC9"/>
    <w:rsid w:val="00E6758E"/>
    <w:rsid w:val="00E70A7B"/>
    <w:rsid w:val="00E70C89"/>
    <w:rsid w:val="00E71ADF"/>
    <w:rsid w:val="00E739B8"/>
    <w:rsid w:val="00E74079"/>
    <w:rsid w:val="00E773A3"/>
    <w:rsid w:val="00E80705"/>
    <w:rsid w:val="00E80ED6"/>
    <w:rsid w:val="00E8384E"/>
    <w:rsid w:val="00E850DE"/>
    <w:rsid w:val="00E86494"/>
    <w:rsid w:val="00E91DAC"/>
    <w:rsid w:val="00E94EF7"/>
    <w:rsid w:val="00E95AE0"/>
    <w:rsid w:val="00E96A2A"/>
    <w:rsid w:val="00EA33B8"/>
    <w:rsid w:val="00EA5217"/>
    <w:rsid w:val="00EB260B"/>
    <w:rsid w:val="00EB4579"/>
    <w:rsid w:val="00EB6E97"/>
    <w:rsid w:val="00EB7845"/>
    <w:rsid w:val="00EC0F8A"/>
    <w:rsid w:val="00EC1E15"/>
    <w:rsid w:val="00EC20BA"/>
    <w:rsid w:val="00EC212F"/>
    <w:rsid w:val="00EC39DE"/>
    <w:rsid w:val="00EC48A7"/>
    <w:rsid w:val="00EC77F5"/>
    <w:rsid w:val="00ED094D"/>
    <w:rsid w:val="00ED101E"/>
    <w:rsid w:val="00ED152A"/>
    <w:rsid w:val="00ED1A09"/>
    <w:rsid w:val="00ED2077"/>
    <w:rsid w:val="00ED5C73"/>
    <w:rsid w:val="00ED7C34"/>
    <w:rsid w:val="00EE0A6C"/>
    <w:rsid w:val="00EE2D04"/>
    <w:rsid w:val="00EE2D87"/>
    <w:rsid w:val="00EE3B70"/>
    <w:rsid w:val="00EF0248"/>
    <w:rsid w:val="00EF27C4"/>
    <w:rsid w:val="00EF3256"/>
    <w:rsid w:val="00EF4DA6"/>
    <w:rsid w:val="00EF54F5"/>
    <w:rsid w:val="00F04940"/>
    <w:rsid w:val="00F060AA"/>
    <w:rsid w:val="00F120AB"/>
    <w:rsid w:val="00F1224C"/>
    <w:rsid w:val="00F1607E"/>
    <w:rsid w:val="00F167E8"/>
    <w:rsid w:val="00F21BD3"/>
    <w:rsid w:val="00F22E06"/>
    <w:rsid w:val="00F24749"/>
    <w:rsid w:val="00F251E6"/>
    <w:rsid w:val="00F26B5D"/>
    <w:rsid w:val="00F32368"/>
    <w:rsid w:val="00F340D4"/>
    <w:rsid w:val="00F34E48"/>
    <w:rsid w:val="00F34EF1"/>
    <w:rsid w:val="00F35EE4"/>
    <w:rsid w:val="00F370D3"/>
    <w:rsid w:val="00F4152D"/>
    <w:rsid w:val="00F438A9"/>
    <w:rsid w:val="00F453A0"/>
    <w:rsid w:val="00F45B1A"/>
    <w:rsid w:val="00F54DA9"/>
    <w:rsid w:val="00F60F2F"/>
    <w:rsid w:val="00F66BE3"/>
    <w:rsid w:val="00F6798E"/>
    <w:rsid w:val="00F67C95"/>
    <w:rsid w:val="00F73B46"/>
    <w:rsid w:val="00F7446E"/>
    <w:rsid w:val="00F759D3"/>
    <w:rsid w:val="00F771F9"/>
    <w:rsid w:val="00F80B31"/>
    <w:rsid w:val="00F80D7B"/>
    <w:rsid w:val="00F8500A"/>
    <w:rsid w:val="00F854E5"/>
    <w:rsid w:val="00F8654E"/>
    <w:rsid w:val="00F87AE1"/>
    <w:rsid w:val="00F93BAE"/>
    <w:rsid w:val="00F9635D"/>
    <w:rsid w:val="00F96400"/>
    <w:rsid w:val="00F96F78"/>
    <w:rsid w:val="00F97519"/>
    <w:rsid w:val="00F97F5C"/>
    <w:rsid w:val="00FA3998"/>
    <w:rsid w:val="00FB0BE4"/>
    <w:rsid w:val="00FB24EA"/>
    <w:rsid w:val="00FB4200"/>
    <w:rsid w:val="00FC2B71"/>
    <w:rsid w:val="00FC2C60"/>
    <w:rsid w:val="00FC2D84"/>
    <w:rsid w:val="00FC412C"/>
    <w:rsid w:val="00FC4EE0"/>
    <w:rsid w:val="00FC674F"/>
    <w:rsid w:val="00FC68A0"/>
    <w:rsid w:val="00FD031C"/>
    <w:rsid w:val="00FD2A2E"/>
    <w:rsid w:val="00FD3EE1"/>
    <w:rsid w:val="00FE4E4A"/>
    <w:rsid w:val="00FF36E0"/>
    <w:rsid w:val="00FF5A1B"/>
    <w:rsid w:val="0FBA10DE"/>
    <w:rsid w:val="12A0561E"/>
    <w:rsid w:val="21ED00E3"/>
    <w:rsid w:val="463446BC"/>
    <w:rsid w:val="551213A1"/>
    <w:rsid w:val="584A0413"/>
    <w:rsid w:val="79DD22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669</Words>
  <Characters>3814</Characters>
  <Lines>31</Lines>
  <Paragraphs>8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2023-09-28T09:08:00Z</dcterms:created>
  <dc:creator>kylin</dc:creator>
  <cp:lastModifiedBy>竹银莉</cp:lastModifiedBy>
  <dcterms:modified xsi:type="dcterms:W3CDTF">2025-09-30T06:52:38Z</dcterms:modified>
  <dc:title>非银行金融机构（不含保险机构）资本金（营运资金）本外币转换核准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