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省级分局和计划单列市分局办理的非银行金融机构（不含保险机构）经营结售汇业务以外的外汇业务审批</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【000171113002】</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非银行金融机构经营、终止结售汇业务以外的外汇业务审批【00017111300Y】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省级分局和计划单列市分局办理的非银行金融机构（不含保险机构）经营结售汇业务以外的外汇业务审批【000171113002】</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省级分局和计划单列市分局办理的非银行金融机构（不含保险机构）经营结售汇业务以外的外汇业务审批(00017111300201)</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设定依据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《中华人民共和国外汇管理条例》（国务院令第532号）</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实施依据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b w:val="0"/>
          <w:bCs w:val="0"/>
          <w:strike w:val="0"/>
          <w:dstrike w:val="0"/>
          <w:color w:val="auto"/>
          <w:sz w:val="28"/>
          <w:szCs w:val="28"/>
          <w:lang w:val="en-US" w:eastAsia="zh-CN"/>
        </w:rPr>
        <w:t>《资本项目外汇业务指引（2024版）》（汇发〔2024〕12号文印发）</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《国家外汇管理局行政许可实施办法》（国家外汇管理局公告2021年第1号）</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《中华人民共和国外汇管理条例》</w:t>
      </w:r>
      <w:r>
        <w:rPr>
          <w:rFonts w:hint="eastAsia" w:ascii="方正仿宋_GBK" w:hAnsi="方正仿宋_GBK" w:eastAsia="方正仿宋_GBK" w:cs="方正仿宋_GBK"/>
          <w:sz w:val="28"/>
          <w:szCs w:val="28"/>
        </w:rPr>
        <w:t>（国务院令第532号）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国家外汇</w:t>
      </w:r>
      <w:r>
        <w:rPr>
          <w:rFonts w:hint="eastAsia" w:ascii="方正仿宋_GBK" w:hAnsi="方正仿宋_GBK" w:eastAsia="方正仿宋_GBK" w:cs="方正仿宋_GBK"/>
          <w:sz w:val="28"/>
          <w:szCs w:val="28"/>
          <w:lang w:eastAsia="zh-CN"/>
        </w:rPr>
        <w:t>管理</w:t>
      </w:r>
      <w:r>
        <w:rPr>
          <w:rFonts w:ascii="方正仿宋_GBK" w:hAnsi="方正仿宋_GBK" w:eastAsia="方正仿宋_GBK" w:cs="方正仿宋_GBK"/>
          <w:sz w:val="28"/>
          <w:szCs w:val="28"/>
        </w:rPr>
        <w:t>局省级分局和计划单列市分局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国家级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（九）</w:t>
      </w:r>
      <w:r>
        <w:rPr>
          <w:rFonts w:hint="eastAsia" w:ascii="Times New Roman" w:hAnsi="Times New Roman" w:eastAsia="仿宋GB2312"/>
          <w:b/>
          <w:bCs/>
          <w:sz w:val="28"/>
          <w:szCs w:val="28"/>
        </w:rPr>
        <w:t>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省级/直属</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（十一）</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省级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（十二）</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lang w:eastAsia="zh-CN"/>
        </w:rPr>
        <w:t>（十三）</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（十四）</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非银行金融机构（不含保险公司）外汇业务备案管理</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（十五）</w:t>
      </w:r>
      <w:r>
        <w:rPr>
          <w:rFonts w:hint="eastAsia" w:ascii="Times New Roman" w:hAnsi="Times New Roman" w:eastAsia="仿宋GB2312"/>
          <w:b/>
          <w:bCs/>
          <w:sz w:val="28"/>
          <w:szCs w:val="28"/>
        </w:rPr>
        <w:t>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三、行政许可条件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准予行政许可的条件</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非银行金融机构经监管机构或其授权的行业管理组织许可或同意或认定相关资质的，应在开展相关外汇业务前30日内到所在地省级分局申请办理外汇业务备案</w:t>
      </w:r>
      <w:r>
        <w:rPr>
          <w:rFonts w:hint="eastAsia" w:ascii="方正仿宋_GBK" w:hAnsi="方正仿宋_GBK" w:eastAsia="方正仿宋_GBK" w:cs="方正仿宋_GBK"/>
          <w:sz w:val="28"/>
          <w:szCs w:val="28"/>
          <w:lang w:eastAsia="zh-CN"/>
        </w:rPr>
        <w:t>。</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auto"/>
          <w:sz w:val="28"/>
          <w:szCs w:val="28"/>
          <w:lang w:val="en-US" w:eastAsia="zh-CN"/>
        </w:rPr>
        <w:t>《资本项目外汇业务指引（2024版）》（汇发〔2024〕12号文印发）</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改革方式：</w:t>
      </w:r>
      <w:r>
        <w:rPr>
          <w:rFonts w:ascii="方正仿宋_GBK" w:hAnsi="方正仿宋_GBK" w:eastAsia="方正仿宋_GBK" w:cs="方正仿宋_GBK"/>
          <w:sz w:val="28"/>
          <w:szCs w:val="28"/>
        </w:rPr>
        <w:t>无</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具体改革举措</w:t>
      </w:r>
      <w:r>
        <w:rPr>
          <w:rFonts w:hint="eastAsia" w:ascii="Times New Roman" w:hAnsi="Times New Roman" w:eastAsia="仿宋GB2312"/>
          <w:b/>
          <w:bCs/>
          <w:sz w:val="28"/>
          <w:szCs w:val="28"/>
          <w:lang w:eastAsia="zh-CN"/>
        </w:rPr>
        <w:t>：</w:t>
      </w:r>
      <w:r>
        <w:rPr>
          <w:rFonts w:ascii="方正仿宋_GBK" w:hAnsi="方正仿宋_GBK" w:eastAsia="方正仿宋_GBK" w:cs="方正仿宋_GBK"/>
          <w:sz w:val="28"/>
          <w:szCs w:val="28"/>
        </w:rPr>
        <w:t>无</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加强事中事后监管措施</w:t>
      </w:r>
      <w:r>
        <w:rPr>
          <w:rFonts w:hint="eastAsia" w:ascii="Times New Roman" w:hAnsi="Times New Roman" w:eastAsia="仿宋GB2312"/>
          <w:b/>
          <w:bCs/>
          <w:sz w:val="28"/>
          <w:szCs w:val="28"/>
          <w:lang w:eastAsia="zh-CN"/>
        </w:rPr>
        <w:t>：</w:t>
      </w:r>
      <w:r>
        <w:rPr>
          <w:rFonts w:ascii="方正仿宋_GBK" w:hAnsi="方正仿宋_GBK" w:eastAsia="方正仿宋_GBK" w:cs="方正仿宋_GBK"/>
          <w:sz w:val="28"/>
          <w:szCs w:val="28"/>
        </w:rPr>
        <w:t>1.开展“双随机、一公开”监管，依法查处违规行为，适时公开相关案例。2.依法及时处理投诉举报。3.开展数据统计与监测，掌握外汇业务情况。</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五、申请材料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申请材料名称</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营业执照（统一社会信用代码证）原件或加盖公章的复印件1份</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加盖公章的书面申请原件1份,并附《境内非银行金融机构外汇业务备案表》</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监管机构或其授权的行业管理组织许可或同意其开展相关业务的文件原件及加盖公章的复印件各1份</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监管机构或其授权的行业管理组织对其开展相关业务的无异议材料或出具的相关资质证明原件及加盖公章的复印件各1份</w:t>
      </w:r>
      <w:r>
        <w:rPr>
          <w:rFonts w:hint="eastAsia" w:ascii="方正仿宋_GBK" w:hAnsi="方正仿宋_GBK" w:eastAsia="方正仿宋_GBK" w:cs="方正仿宋_GBK"/>
          <w:sz w:val="28"/>
          <w:szCs w:val="28"/>
          <w:lang w:eastAsia="zh-CN"/>
        </w:rPr>
        <w:t>。</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规定申请材料的依据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auto"/>
          <w:sz w:val="28"/>
          <w:szCs w:val="28"/>
          <w:lang w:val="en-US" w:eastAsia="zh-CN"/>
        </w:rPr>
        <w:t>《资本项目外汇业务指引（2024版）》（汇发〔2024〕12号文印发）</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设定中介服务事项的依据</w:t>
      </w:r>
      <w:r>
        <w:rPr>
          <w:rFonts w:hint="eastAsia" w:ascii="Times New Roman" w:hAnsi="Times New Roman" w:eastAsia="仿宋GB2312"/>
          <w:b/>
          <w:bCs/>
          <w:sz w:val="28"/>
          <w:szCs w:val="28"/>
          <w:lang w:eastAsia="zh-CN"/>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七、审批程序</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办理行政许可的程序环节</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申请人申请；</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审批机构受理/不予受理；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审批机构审查；</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决定作出许可决定书/不予许可决定书</w:t>
      </w:r>
      <w:r>
        <w:rPr>
          <w:rFonts w:hint="eastAsia" w:ascii="方正仿宋_GBK" w:hAnsi="方正仿宋_GBK" w:eastAsia="方正仿宋_GBK" w:cs="方正仿宋_GBK"/>
          <w:sz w:val="28"/>
          <w:szCs w:val="28"/>
          <w:lang w:eastAsia="zh-CN"/>
        </w:rPr>
        <w:t>。</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《国家外汇管理局行政许可实施办法》（国家外汇管理局公告2021年第1号）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（六）</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（九）</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（十一）</w:t>
      </w:r>
      <w:r>
        <w:rPr>
          <w:rFonts w:hint="eastAsia" w:ascii="Times New Roman" w:hAnsi="Times New Roman" w:eastAsia="仿宋GB2312"/>
          <w:b/>
          <w:bCs/>
          <w:sz w:val="28"/>
          <w:szCs w:val="28"/>
        </w:rPr>
        <w:t>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《国家外汇管理局行政许可实施办法》（国家外汇管理局公告2021年第1号）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承诺审批时限：</w:t>
      </w:r>
      <w:r>
        <w:rPr>
          <w:rFonts w:ascii="方正仿宋_GBK" w:hAnsi="方正仿宋_GBK" w:eastAsia="方正仿宋_GBK" w:cs="方正仿宋_GBK"/>
          <w:sz w:val="28"/>
          <w:szCs w:val="28"/>
        </w:rPr>
        <w:t>20个工作日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收费项目的名称、收费项目的标准、设定收费项目的依据、规定收费标准的依据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审批结果类型：</w:t>
      </w:r>
      <w:r>
        <w:rPr>
          <w:rFonts w:ascii="方正仿宋_GBK" w:hAnsi="方正仿宋_GBK" w:eastAsia="方正仿宋_GBK" w:cs="方正仿宋_GBK"/>
          <w:sz w:val="28"/>
          <w:szCs w:val="28"/>
        </w:rPr>
        <w:t>批文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审批结果名称：</w:t>
      </w:r>
      <w:r>
        <w:rPr>
          <w:rFonts w:hint="eastAsia" w:ascii="方正仿宋_GBK" w:hAnsi="方正仿宋_GBK" w:eastAsia="方正仿宋_GBK" w:cs="方正仿宋_GBK"/>
          <w:sz w:val="28"/>
          <w:szCs w:val="28"/>
        </w:rPr>
        <w:t>行政许可决定书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审批结果的有效期限：</w:t>
      </w:r>
      <w:r>
        <w:rPr>
          <w:rFonts w:hint="eastAsia" w:ascii="方正仿宋_GBK" w:hAnsi="方正仿宋_GBK" w:eastAsia="方正仿宋_GBK" w:cs="方正仿宋_GBK"/>
          <w:sz w:val="28"/>
          <w:szCs w:val="28"/>
        </w:rPr>
        <w:t>当次</w:t>
      </w:r>
    </w:p>
    <w:p>
      <w:pPr>
        <w:spacing w:line="600" w:lineRule="exact"/>
        <w:ind w:firstLine="562" w:firstLineChars="200"/>
        <w:rPr>
          <w:rFonts w:ascii="Times New Roman" w:hAnsi="Times New Roman" w:eastAsia="仿宋GB2312"/>
          <w:sz w:val="32"/>
          <w:szCs w:val="32"/>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规定审批结果有效期限的依据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办理审批结果变更手续的要求</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lang w:eastAsia="zh-CN"/>
        </w:rPr>
        <w:t>（八）</w:t>
      </w:r>
      <w:r>
        <w:rPr>
          <w:rFonts w:hint="eastAsia" w:ascii="Times New Roman" w:hAnsi="Times New Roman" w:eastAsia="仿宋GB2312"/>
          <w:b/>
          <w:bCs/>
          <w:sz w:val="28"/>
          <w:szCs w:val="28"/>
        </w:rPr>
        <w:t>办理审批结果延续手续的要求</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（九）</w:t>
      </w:r>
      <w:r>
        <w:rPr>
          <w:rFonts w:hint="eastAsia" w:ascii="Times New Roman" w:hAnsi="Times New Roman" w:eastAsia="仿宋GB2312"/>
          <w:b/>
          <w:bCs/>
          <w:sz w:val="28"/>
          <w:szCs w:val="28"/>
        </w:rPr>
        <w:t>审批结果的有效地域范围</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全国</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w:t>
      </w:r>
      <w:r>
        <w:rPr>
          <w:rFonts w:hint="eastAsia" w:ascii="Times New Roman" w:hAnsi="Times New Roman" w:eastAsia="仿宋GB2312"/>
          <w:b/>
          <w:bCs/>
          <w:sz w:val="28"/>
          <w:szCs w:val="28"/>
        </w:rPr>
        <w:t>规定审批结果有效地域范围的依据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规定在数量限制条件下实施行政许可方式的依据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设定年检要求的依据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年检收费项目的名称、年检收费项目的标准、设定年检收费项目的依据、规定年检项目收费标准的依据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hint="eastAsia" w:ascii="Times New Roman" w:hAnsi="Times New Roman" w:eastAsia="仿宋GB2312"/>
          <w:b/>
          <w:bCs/>
          <w:sz w:val="28"/>
          <w:szCs w:val="28"/>
        </w:rPr>
        <w:t>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十四、监管主体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w:t>
      </w:r>
      <w:r>
        <w:rPr>
          <w:rFonts w:hint="eastAsia" w:ascii="方正仿宋_GBK" w:hAnsi="方正仿宋_GBK" w:eastAsia="方正仿宋_GBK" w:cs="方正仿宋_GBK"/>
          <w:sz w:val="28"/>
          <w:szCs w:val="28"/>
          <w:lang w:eastAsia="zh-CN"/>
        </w:rPr>
        <w:t>管理</w:t>
      </w:r>
      <w:r>
        <w:rPr>
          <w:rFonts w:hint="eastAsia" w:ascii="方正仿宋_GBK" w:hAnsi="方正仿宋_GBK" w:eastAsia="方正仿宋_GBK" w:cs="方正仿宋_GBK"/>
          <w:sz w:val="28"/>
          <w:szCs w:val="28"/>
        </w:rPr>
        <w:t>局及其分局</w:t>
      </w:r>
    </w:p>
    <w:p>
      <w:pPr>
        <w:rPr>
          <w:rFonts w:hint="eastAsia" w:eastAsia="黑体"/>
          <w:sz w:val="28"/>
          <w:szCs w:val="28"/>
        </w:rPr>
      </w:pPr>
      <w:r>
        <w:rPr>
          <w:rFonts w:hint="eastAsia" w:eastAsia="黑体"/>
          <w:sz w:val="28"/>
          <w:szCs w:val="28"/>
          <w:lang w:val="en-US" w:eastAsia="zh-CN"/>
        </w:rPr>
        <w:t xml:space="preserve">    </w:t>
      </w:r>
      <w:r>
        <w:rPr>
          <w:rFonts w:hint="eastAsia" w:eastAsia="黑体"/>
          <w:sz w:val="28"/>
          <w:szCs w:val="28"/>
        </w:rPr>
        <w:t>十五、办理地址</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国家外汇管理局宁波市分局：浙江省宁波市江东北路138号金融大厦23楼2314室（资本项目处）</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：浙江省宁波市北仑区明州西路185号二楼服务大厅（外汇管理科）</w:t>
      </w:r>
    </w:p>
    <w:p>
      <w:pPr>
        <w:rPr>
          <w:rFonts w:hint="eastAsia" w:eastAsia="黑体"/>
          <w:sz w:val="28"/>
          <w:szCs w:val="28"/>
        </w:rPr>
      </w:pPr>
      <w:r>
        <w:rPr>
          <w:rFonts w:hint="eastAsia" w:eastAsia="黑体"/>
          <w:sz w:val="28"/>
          <w:szCs w:val="28"/>
          <w:lang w:val="en-US" w:eastAsia="zh-CN"/>
        </w:rPr>
        <w:t xml:space="preserve">    </w:t>
      </w:r>
      <w:r>
        <w:rPr>
          <w:rFonts w:hint="eastAsia" w:eastAsia="黑体"/>
          <w:sz w:val="28"/>
          <w:szCs w:val="28"/>
        </w:rPr>
        <w:t>十六、办公时间</w:t>
      </w:r>
    </w:p>
    <w:p>
      <w:pPr>
        <w:ind w:firstLine="560" w:firstLineChars="200"/>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法定工作日：5月-9月：上午8:30-11:30；下午14:00-17:30</w:t>
      </w:r>
    </w:p>
    <w:p>
      <w:pPr>
        <w:keepNext w:val="0"/>
        <w:keepLines w:val="0"/>
        <w:pageBreakBefore w:val="0"/>
        <w:widowControl w:val="0"/>
        <w:kinsoku/>
        <w:wordWrap/>
        <w:overflowPunct/>
        <w:topLinePunct w:val="0"/>
        <w:autoSpaceDE/>
        <w:autoSpaceDN/>
        <w:bidi w:val="0"/>
        <w:adjustRightInd/>
        <w:snapToGrid/>
        <w:ind w:firstLine="1400" w:firstLineChars="500"/>
        <w:jc w:val="left"/>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10月-次年</w:t>
      </w:r>
      <w:r>
        <w:rPr>
          <w:rFonts w:hint="eastAsia" w:ascii="方正仿宋_GBK" w:hAnsi="方正仿宋_GBK" w:eastAsia="方正仿宋_GBK" w:cs="方正仿宋_GBK"/>
          <w:sz w:val="28"/>
          <w:szCs w:val="28"/>
          <w:highlight w:val="none"/>
          <w:lang w:val="en-US" w:eastAsia="zh-CN"/>
        </w:rPr>
        <w:t>4</w:t>
      </w:r>
      <w:r>
        <w:rPr>
          <w:rFonts w:hint="eastAsia" w:ascii="方正仿宋_GBK" w:hAnsi="方正仿宋_GBK" w:eastAsia="方正仿宋_GBK" w:cs="方正仿宋_GBK"/>
          <w:sz w:val="28"/>
          <w:szCs w:val="28"/>
          <w:highlight w:val="none"/>
        </w:rPr>
        <w:t>月：上午8:30-11:30；</w:t>
      </w:r>
      <w:r>
        <w:rPr>
          <w:rFonts w:hint="eastAsia" w:ascii="方正仿宋_GBK" w:hAnsi="方正仿宋_GBK" w:eastAsia="方正仿宋_GBK" w:cs="方正仿宋_GBK"/>
          <w:sz w:val="28"/>
          <w:szCs w:val="28"/>
          <w:highlight w:val="none"/>
          <w:lang w:eastAsia="zh-CN"/>
        </w:rPr>
        <w:t>下午</w:t>
      </w:r>
      <w:r>
        <w:rPr>
          <w:rFonts w:hint="eastAsia" w:ascii="方正仿宋_GBK" w:hAnsi="方正仿宋_GBK" w:eastAsia="方正仿宋_GBK" w:cs="方正仿宋_GBK"/>
          <w:sz w:val="28"/>
          <w:szCs w:val="28"/>
          <w:highlight w:val="none"/>
        </w:rPr>
        <w:t>13:30-17:00</w:t>
      </w:r>
    </w:p>
    <w:p>
      <w:pPr>
        <w:rPr>
          <w:rFonts w:hint="eastAsia" w:eastAsia="黑体"/>
          <w:sz w:val="28"/>
          <w:szCs w:val="28"/>
        </w:rPr>
      </w:pPr>
      <w:bookmarkStart w:id="0" w:name="_GoBack"/>
      <w:bookmarkEnd w:id="0"/>
      <w:r>
        <w:rPr>
          <w:rFonts w:hint="eastAsia" w:eastAsia="黑体"/>
          <w:sz w:val="28"/>
          <w:szCs w:val="28"/>
          <w:lang w:val="en-US" w:eastAsia="zh-CN"/>
        </w:rPr>
        <w:t xml:space="preserve">    </w:t>
      </w:r>
      <w:r>
        <w:rPr>
          <w:rFonts w:hint="eastAsia" w:eastAsia="黑体"/>
          <w:sz w:val="28"/>
          <w:szCs w:val="28"/>
        </w:rPr>
        <w:t>十七、咨询途径</w:t>
      </w:r>
    </w:p>
    <w:p>
      <w:pPr>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国家外汇管理局</w:t>
      </w:r>
      <w:r>
        <w:rPr>
          <w:rFonts w:hint="eastAsia" w:ascii="方正仿宋_GBK" w:hAnsi="方正仿宋_GBK" w:eastAsia="方正仿宋_GBK" w:cs="方正仿宋_GBK"/>
          <w:sz w:val="28"/>
          <w:szCs w:val="28"/>
        </w:rPr>
        <w:t>宁波市分局资本项目处，咨询</w:t>
      </w:r>
      <w:r>
        <w:rPr>
          <w:rFonts w:ascii="方正仿宋_GBK" w:hAnsi="方正仿宋_GBK" w:eastAsia="方正仿宋_GBK" w:cs="方正仿宋_GBK"/>
          <w:sz w:val="28"/>
          <w:szCs w:val="28"/>
        </w:rPr>
        <w:t>电话</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（0</w:t>
      </w:r>
      <w:r>
        <w:rPr>
          <w:rFonts w:hint="eastAsia" w:ascii="方正仿宋_GBK" w:hAnsi="方正仿宋_GBK" w:eastAsia="方正仿宋_GBK" w:cs="方正仿宋_GBK"/>
          <w:sz w:val="28"/>
          <w:szCs w:val="28"/>
        </w:rPr>
        <w:t>574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87058258、87058286</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外汇管理科，咨询电话：（0574）86221936、86221822</w:t>
      </w:r>
    </w:p>
    <w:p>
      <w:pPr>
        <w:rPr>
          <w:rFonts w:hint="eastAsia" w:eastAsia="黑体"/>
          <w:sz w:val="28"/>
          <w:szCs w:val="28"/>
        </w:rPr>
      </w:pPr>
      <w:r>
        <w:rPr>
          <w:rFonts w:hint="eastAsia" w:eastAsia="黑体"/>
          <w:sz w:val="28"/>
          <w:szCs w:val="28"/>
          <w:lang w:val="en-US" w:eastAsia="zh-CN"/>
        </w:rPr>
        <w:t xml:space="preserve">    </w:t>
      </w:r>
      <w:r>
        <w:rPr>
          <w:rFonts w:hint="eastAsia" w:eastAsia="黑体"/>
          <w:sz w:val="28"/>
          <w:szCs w:val="28"/>
        </w:rPr>
        <w:t>十八、监督投诉渠道</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中国人民银行宁波市分行：（0574）87</w:t>
      </w:r>
      <w:r>
        <w:rPr>
          <w:rFonts w:hint="eastAsia" w:ascii="方正仿宋_GBK" w:hAnsi="方正仿宋_GBK" w:eastAsia="方正仿宋_GBK" w:cs="方正仿宋_GBK"/>
          <w:sz w:val="28"/>
          <w:szCs w:val="28"/>
          <w:lang w:val="en-US" w:eastAsia="zh-CN"/>
        </w:rPr>
        <w:t>337569</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中国人民银行</w:t>
      </w:r>
      <w:r>
        <w:rPr>
          <w:rFonts w:hint="eastAsia" w:ascii="方正仿宋_GBK" w:hAnsi="方正仿宋_GBK" w:eastAsia="方正仿宋_GBK" w:cs="方正仿宋_GBK"/>
          <w:sz w:val="28"/>
          <w:szCs w:val="28"/>
          <w:lang w:eastAsia="zh-CN"/>
        </w:rPr>
        <w:t>宁波市分行</w:t>
      </w:r>
      <w:r>
        <w:rPr>
          <w:rFonts w:hint="eastAsia" w:ascii="方正仿宋_GBK" w:hAnsi="方正仿宋_GBK" w:eastAsia="方正仿宋_GBK" w:cs="方正仿宋_GBK"/>
          <w:sz w:val="28"/>
          <w:szCs w:val="28"/>
        </w:rPr>
        <w:t>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：（0574）86221807</w:t>
      </w:r>
    </w:p>
    <w:p>
      <w:pPr>
        <w:spacing w:line="540" w:lineRule="exact"/>
        <w:outlineLvl w:val="1"/>
      </w:pPr>
    </w:p>
    <w:p>
      <w:pPr>
        <w:widowControl/>
        <w:jc w:val="left"/>
      </w:pPr>
      <w:r>
        <w:br w:type="page"/>
      </w:r>
    </w:p>
    <w:p>
      <w:pPr>
        <w:ind w:left="567" w:right="300" w:hanging="567" w:hangingChars="189"/>
        <w:jc w:val="center"/>
        <w:rPr>
          <w:rFonts w:hint="eastAsia" w:ascii="Times New Roman" w:hAnsi="Times New Roman" w:eastAsia="黑体"/>
          <w:sz w:val="30"/>
          <w:szCs w:val="30"/>
        </w:rPr>
      </w:pPr>
      <w:r>
        <w:rPr>
          <w:rFonts w:ascii="Times New Roman" w:hAnsi="Times New Roman" w:eastAsia="黑体"/>
          <w:sz w:val="30"/>
          <w:szCs w:val="30"/>
        </w:rPr>
        <w:t>基本流程图</w:t>
      </w:r>
    </w:p>
    <w:p>
      <w:pPr>
        <w:ind w:left="567" w:right="300" w:hanging="567" w:hangingChars="189"/>
        <w:jc w:val="center"/>
        <w:rPr>
          <w:rFonts w:hint="eastAsia" w:ascii="Times New Roman" w:hAnsi="Times New Roman" w:eastAsia="黑体"/>
          <w:sz w:val="30"/>
          <w:szCs w:val="30"/>
        </w:rPr>
      </w:pPr>
    </w:p>
    <w:p>
      <w:pPr>
        <w:ind w:left="567" w:right="300" w:hanging="567" w:hangingChars="189"/>
        <w:jc w:val="center"/>
        <w:rPr>
          <w:rFonts w:ascii="Times New Roman" w:hAnsi="Times New Roman" w:eastAsia="黑体"/>
          <w:sz w:val="30"/>
          <w:szCs w:val="30"/>
        </w:rPr>
      </w:pPr>
      <w:r>
        <w:rPr>
          <w:rFonts w:ascii="Times New Roman" w:hAnsi="Times New Roman" w:eastAsia="黑体" w:cs="Times New Roman"/>
          <w:kern w:val="2"/>
          <w:sz w:val="30"/>
          <w:szCs w:val="30"/>
          <w:lang w:val="en-US" w:eastAsia="zh-CN" w:bidi="ar-SA"/>
        </w:rPr>
        <w:pict>
          <v:shape id="_x0000_i1025" o:spt="75" type="#_x0000_t75" style="height:544.7pt;width:415.3pt;" fillcolor="#FFFFFF" filled="f" o:preferrelative="t" stroked="f" coordsize="21600,21600">
            <v:path/>
            <v:fill on="f" color2="#FFFFFF" focussize="0,0"/>
            <v:stroke on="f"/>
            <v:imagedata r:id="rId4" gain="65536f" blacklevel="0f" gamma="0" o:title=""/>
            <o:lock v:ext="edit" position="f" selection="f" grouping="f" rotation="f" cropping="f" text="f" aspectratio="t"/>
            <w10:wrap type="none"/>
            <w10:anchorlock/>
          </v:shape>
        </w:pic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仿宋GB2312">
    <w:altName w:val="仿宋"/>
    <w:panose1 w:val="00000000000000000000"/>
    <w:charset w:val="86"/>
    <w:family w:val="auto"/>
    <w:pitch w:val="default"/>
    <w:sig w:usb0="00000000" w:usb1="00000000" w:usb2="00000000"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172A27"/>
    <w:rsid w:val="00001712"/>
    <w:rsid w:val="00001EF3"/>
    <w:rsid w:val="00002CDC"/>
    <w:rsid w:val="00003658"/>
    <w:rsid w:val="00010AE4"/>
    <w:rsid w:val="00011883"/>
    <w:rsid w:val="00013569"/>
    <w:rsid w:val="0001694E"/>
    <w:rsid w:val="000169E9"/>
    <w:rsid w:val="00016BFB"/>
    <w:rsid w:val="000209DA"/>
    <w:rsid w:val="0002108A"/>
    <w:rsid w:val="0002135B"/>
    <w:rsid w:val="00023538"/>
    <w:rsid w:val="00024DC8"/>
    <w:rsid w:val="00027787"/>
    <w:rsid w:val="00030D78"/>
    <w:rsid w:val="00033818"/>
    <w:rsid w:val="00033ADC"/>
    <w:rsid w:val="00034506"/>
    <w:rsid w:val="00035B82"/>
    <w:rsid w:val="00036919"/>
    <w:rsid w:val="00040BFC"/>
    <w:rsid w:val="00040C81"/>
    <w:rsid w:val="000456A7"/>
    <w:rsid w:val="00045CD3"/>
    <w:rsid w:val="00046A60"/>
    <w:rsid w:val="00046B16"/>
    <w:rsid w:val="00050E91"/>
    <w:rsid w:val="00052700"/>
    <w:rsid w:val="0005543D"/>
    <w:rsid w:val="00056F8B"/>
    <w:rsid w:val="00065BEA"/>
    <w:rsid w:val="00066C4D"/>
    <w:rsid w:val="00067AD5"/>
    <w:rsid w:val="0007132C"/>
    <w:rsid w:val="0007489C"/>
    <w:rsid w:val="00075560"/>
    <w:rsid w:val="00076C53"/>
    <w:rsid w:val="00081725"/>
    <w:rsid w:val="00082479"/>
    <w:rsid w:val="00082B5D"/>
    <w:rsid w:val="00083644"/>
    <w:rsid w:val="00083FBF"/>
    <w:rsid w:val="00083FD4"/>
    <w:rsid w:val="0008433C"/>
    <w:rsid w:val="0008502A"/>
    <w:rsid w:val="000853C8"/>
    <w:rsid w:val="0008592C"/>
    <w:rsid w:val="00085EEB"/>
    <w:rsid w:val="00087CFD"/>
    <w:rsid w:val="00091805"/>
    <w:rsid w:val="00092D51"/>
    <w:rsid w:val="000930F9"/>
    <w:rsid w:val="000937AA"/>
    <w:rsid w:val="00094AE3"/>
    <w:rsid w:val="000A117B"/>
    <w:rsid w:val="000A4255"/>
    <w:rsid w:val="000B1DFD"/>
    <w:rsid w:val="000C1784"/>
    <w:rsid w:val="000C1826"/>
    <w:rsid w:val="000C2C63"/>
    <w:rsid w:val="000C40A1"/>
    <w:rsid w:val="000C4BDB"/>
    <w:rsid w:val="000C5185"/>
    <w:rsid w:val="000C5238"/>
    <w:rsid w:val="000C6196"/>
    <w:rsid w:val="000C6D1E"/>
    <w:rsid w:val="000C745D"/>
    <w:rsid w:val="000D0B57"/>
    <w:rsid w:val="000D2200"/>
    <w:rsid w:val="000D485C"/>
    <w:rsid w:val="000D4DBB"/>
    <w:rsid w:val="000D788E"/>
    <w:rsid w:val="000E1C44"/>
    <w:rsid w:val="000E3134"/>
    <w:rsid w:val="000E4FB4"/>
    <w:rsid w:val="000E5806"/>
    <w:rsid w:val="000E7CEF"/>
    <w:rsid w:val="000F1CA7"/>
    <w:rsid w:val="000F6746"/>
    <w:rsid w:val="00100342"/>
    <w:rsid w:val="0010082B"/>
    <w:rsid w:val="00102626"/>
    <w:rsid w:val="00102DAA"/>
    <w:rsid w:val="00106EC7"/>
    <w:rsid w:val="001076E8"/>
    <w:rsid w:val="00114B87"/>
    <w:rsid w:val="00120226"/>
    <w:rsid w:val="00121DBD"/>
    <w:rsid w:val="00122B3D"/>
    <w:rsid w:val="00124AA2"/>
    <w:rsid w:val="00125732"/>
    <w:rsid w:val="00130FDC"/>
    <w:rsid w:val="00132371"/>
    <w:rsid w:val="00142D89"/>
    <w:rsid w:val="00145A34"/>
    <w:rsid w:val="0014702A"/>
    <w:rsid w:val="001475D2"/>
    <w:rsid w:val="00151B22"/>
    <w:rsid w:val="0015289C"/>
    <w:rsid w:val="00153280"/>
    <w:rsid w:val="001566A5"/>
    <w:rsid w:val="00156C0F"/>
    <w:rsid w:val="00160F80"/>
    <w:rsid w:val="001615A9"/>
    <w:rsid w:val="0016419C"/>
    <w:rsid w:val="001746D8"/>
    <w:rsid w:val="001814AE"/>
    <w:rsid w:val="001834DC"/>
    <w:rsid w:val="00183982"/>
    <w:rsid w:val="0019029C"/>
    <w:rsid w:val="0019042C"/>
    <w:rsid w:val="00194C73"/>
    <w:rsid w:val="001953E7"/>
    <w:rsid w:val="001A17E7"/>
    <w:rsid w:val="001A2BE0"/>
    <w:rsid w:val="001A486D"/>
    <w:rsid w:val="001A5DDB"/>
    <w:rsid w:val="001A5F89"/>
    <w:rsid w:val="001B311C"/>
    <w:rsid w:val="001B3ECF"/>
    <w:rsid w:val="001B4769"/>
    <w:rsid w:val="001B4889"/>
    <w:rsid w:val="001C24D9"/>
    <w:rsid w:val="001C43AF"/>
    <w:rsid w:val="001C7355"/>
    <w:rsid w:val="001D346C"/>
    <w:rsid w:val="001D4515"/>
    <w:rsid w:val="001D610A"/>
    <w:rsid w:val="001D7EC5"/>
    <w:rsid w:val="001E043A"/>
    <w:rsid w:val="001E0B5F"/>
    <w:rsid w:val="001E1ADC"/>
    <w:rsid w:val="001E25E4"/>
    <w:rsid w:val="001E2BF6"/>
    <w:rsid w:val="001E3134"/>
    <w:rsid w:val="001E37A3"/>
    <w:rsid w:val="001E4924"/>
    <w:rsid w:val="001E55DA"/>
    <w:rsid w:val="001F09AB"/>
    <w:rsid w:val="001F389A"/>
    <w:rsid w:val="001F55ED"/>
    <w:rsid w:val="001F73EA"/>
    <w:rsid w:val="00200F00"/>
    <w:rsid w:val="00201F00"/>
    <w:rsid w:val="00202E8F"/>
    <w:rsid w:val="00203D56"/>
    <w:rsid w:val="0020487F"/>
    <w:rsid w:val="00214E77"/>
    <w:rsid w:val="00215254"/>
    <w:rsid w:val="002153DF"/>
    <w:rsid w:val="00217EA2"/>
    <w:rsid w:val="00222AC8"/>
    <w:rsid w:val="002238C2"/>
    <w:rsid w:val="002249C9"/>
    <w:rsid w:val="00225965"/>
    <w:rsid w:val="00225CD4"/>
    <w:rsid w:val="0022682E"/>
    <w:rsid w:val="002271E2"/>
    <w:rsid w:val="002314E3"/>
    <w:rsid w:val="00232610"/>
    <w:rsid w:val="00232816"/>
    <w:rsid w:val="00234137"/>
    <w:rsid w:val="002371E0"/>
    <w:rsid w:val="00237AB2"/>
    <w:rsid w:val="00237E93"/>
    <w:rsid w:val="002405D3"/>
    <w:rsid w:val="00241870"/>
    <w:rsid w:val="00241A21"/>
    <w:rsid w:val="002465D5"/>
    <w:rsid w:val="00252D37"/>
    <w:rsid w:val="002542D1"/>
    <w:rsid w:val="0025437B"/>
    <w:rsid w:val="002546E6"/>
    <w:rsid w:val="002552A6"/>
    <w:rsid w:val="00260703"/>
    <w:rsid w:val="002633D5"/>
    <w:rsid w:val="00263BFB"/>
    <w:rsid w:val="00263FF1"/>
    <w:rsid w:val="00264025"/>
    <w:rsid w:val="00264487"/>
    <w:rsid w:val="00267308"/>
    <w:rsid w:val="00270691"/>
    <w:rsid w:val="002719A4"/>
    <w:rsid w:val="00272766"/>
    <w:rsid w:val="00274F2D"/>
    <w:rsid w:val="00276039"/>
    <w:rsid w:val="0027604F"/>
    <w:rsid w:val="002808EC"/>
    <w:rsid w:val="002810D2"/>
    <w:rsid w:val="00283123"/>
    <w:rsid w:val="002847E4"/>
    <w:rsid w:val="0029055F"/>
    <w:rsid w:val="002914CB"/>
    <w:rsid w:val="00292688"/>
    <w:rsid w:val="00294EBD"/>
    <w:rsid w:val="002959FF"/>
    <w:rsid w:val="00296A6D"/>
    <w:rsid w:val="0029743C"/>
    <w:rsid w:val="00297A28"/>
    <w:rsid w:val="002A0271"/>
    <w:rsid w:val="002A1D4F"/>
    <w:rsid w:val="002A62EE"/>
    <w:rsid w:val="002B22AD"/>
    <w:rsid w:val="002B4C8A"/>
    <w:rsid w:val="002B6283"/>
    <w:rsid w:val="002B6CF3"/>
    <w:rsid w:val="002C0CC4"/>
    <w:rsid w:val="002C2AF0"/>
    <w:rsid w:val="002C4352"/>
    <w:rsid w:val="002C45C6"/>
    <w:rsid w:val="002C5A48"/>
    <w:rsid w:val="002C6C4B"/>
    <w:rsid w:val="002C7827"/>
    <w:rsid w:val="002D159F"/>
    <w:rsid w:val="002D6BC3"/>
    <w:rsid w:val="002E1256"/>
    <w:rsid w:val="002E510F"/>
    <w:rsid w:val="002E5D95"/>
    <w:rsid w:val="002E692A"/>
    <w:rsid w:val="002F0C45"/>
    <w:rsid w:val="002F346B"/>
    <w:rsid w:val="002F6686"/>
    <w:rsid w:val="002F722E"/>
    <w:rsid w:val="002F753C"/>
    <w:rsid w:val="00300695"/>
    <w:rsid w:val="003045A6"/>
    <w:rsid w:val="003055C5"/>
    <w:rsid w:val="00306314"/>
    <w:rsid w:val="00306E83"/>
    <w:rsid w:val="00310E7D"/>
    <w:rsid w:val="00312800"/>
    <w:rsid w:val="00312C2F"/>
    <w:rsid w:val="00315E55"/>
    <w:rsid w:val="00320048"/>
    <w:rsid w:val="003215AC"/>
    <w:rsid w:val="00322A7A"/>
    <w:rsid w:val="00323430"/>
    <w:rsid w:val="00325021"/>
    <w:rsid w:val="00330D4A"/>
    <w:rsid w:val="0033190A"/>
    <w:rsid w:val="00336963"/>
    <w:rsid w:val="00340C85"/>
    <w:rsid w:val="00341F95"/>
    <w:rsid w:val="00342C3E"/>
    <w:rsid w:val="003449A0"/>
    <w:rsid w:val="00347C55"/>
    <w:rsid w:val="00350159"/>
    <w:rsid w:val="00350435"/>
    <w:rsid w:val="003512D5"/>
    <w:rsid w:val="003568A2"/>
    <w:rsid w:val="00357D3E"/>
    <w:rsid w:val="0036090A"/>
    <w:rsid w:val="00363BCC"/>
    <w:rsid w:val="00364CBE"/>
    <w:rsid w:val="0036745B"/>
    <w:rsid w:val="00371F1E"/>
    <w:rsid w:val="00373628"/>
    <w:rsid w:val="00381941"/>
    <w:rsid w:val="003829D6"/>
    <w:rsid w:val="00383AA1"/>
    <w:rsid w:val="00384763"/>
    <w:rsid w:val="00385E1F"/>
    <w:rsid w:val="00390830"/>
    <w:rsid w:val="0039749F"/>
    <w:rsid w:val="003A1006"/>
    <w:rsid w:val="003A2701"/>
    <w:rsid w:val="003A66F6"/>
    <w:rsid w:val="003A7B93"/>
    <w:rsid w:val="003B1922"/>
    <w:rsid w:val="003B1D15"/>
    <w:rsid w:val="003B2B1B"/>
    <w:rsid w:val="003B3C7F"/>
    <w:rsid w:val="003B5175"/>
    <w:rsid w:val="003B5AB5"/>
    <w:rsid w:val="003B6EDC"/>
    <w:rsid w:val="003C3641"/>
    <w:rsid w:val="003C6E06"/>
    <w:rsid w:val="003D116E"/>
    <w:rsid w:val="003D20B0"/>
    <w:rsid w:val="003D2622"/>
    <w:rsid w:val="003D7982"/>
    <w:rsid w:val="003E03CD"/>
    <w:rsid w:val="003E0BB0"/>
    <w:rsid w:val="003E2BC4"/>
    <w:rsid w:val="003E33AE"/>
    <w:rsid w:val="003E3A1B"/>
    <w:rsid w:val="003E3B57"/>
    <w:rsid w:val="003E5FFB"/>
    <w:rsid w:val="003E70A0"/>
    <w:rsid w:val="003F102A"/>
    <w:rsid w:val="003F333C"/>
    <w:rsid w:val="003F34FB"/>
    <w:rsid w:val="003F3921"/>
    <w:rsid w:val="003F3B15"/>
    <w:rsid w:val="003F447D"/>
    <w:rsid w:val="003F4D06"/>
    <w:rsid w:val="0040031C"/>
    <w:rsid w:val="0040128D"/>
    <w:rsid w:val="0040631E"/>
    <w:rsid w:val="004073C9"/>
    <w:rsid w:val="004132A3"/>
    <w:rsid w:val="00416640"/>
    <w:rsid w:val="00417594"/>
    <w:rsid w:val="00421E2D"/>
    <w:rsid w:val="00424606"/>
    <w:rsid w:val="00426812"/>
    <w:rsid w:val="00430D0D"/>
    <w:rsid w:val="004414A0"/>
    <w:rsid w:val="0044155D"/>
    <w:rsid w:val="00443A28"/>
    <w:rsid w:val="004445F5"/>
    <w:rsid w:val="00445928"/>
    <w:rsid w:val="00445EB5"/>
    <w:rsid w:val="00446343"/>
    <w:rsid w:val="004526CD"/>
    <w:rsid w:val="00455E93"/>
    <w:rsid w:val="00457B18"/>
    <w:rsid w:val="004609A7"/>
    <w:rsid w:val="00463823"/>
    <w:rsid w:val="0046467E"/>
    <w:rsid w:val="004655FA"/>
    <w:rsid w:val="00465A38"/>
    <w:rsid w:val="00466FFB"/>
    <w:rsid w:val="0046771C"/>
    <w:rsid w:val="004707B8"/>
    <w:rsid w:val="00471AD3"/>
    <w:rsid w:val="004731D9"/>
    <w:rsid w:val="004735CC"/>
    <w:rsid w:val="00475143"/>
    <w:rsid w:val="00475817"/>
    <w:rsid w:val="004801DC"/>
    <w:rsid w:val="00482A0B"/>
    <w:rsid w:val="00483146"/>
    <w:rsid w:val="00486F70"/>
    <w:rsid w:val="004872C4"/>
    <w:rsid w:val="00487AB8"/>
    <w:rsid w:val="00490AAD"/>
    <w:rsid w:val="004925C1"/>
    <w:rsid w:val="00494796"/>
    <w:rsid w:val="004955B8"/>
    <w:rsid w:val="00497039"/>
    <w:rsid w:val="004A746B"/>
    <w:rsid w:val="004B2BC1"/>
    <w:rsid w:val="004B354B"/>
    <w:rsid w:val="004B42CE"/>
    <w:rsid w:val="004B48C8"/>
    <w:rsid w:val="004B49C5"/>
    <w:rsid w:val="004B4C21"/>
    <w:rsid w:val="004B5065"/>
    <w:rsid w:val="004B757D"/>
    <w:rsid w:val="004B7663"/>
    <w:rsid w:val="004C0571"/>
    <w:rsid w:val="004C05CC"/>
    <w:rsid w:val="004C0AF2"/>
    <w:rsid w:val="004C234B"/>
    <w:rsid w:val="004C45A7"/>
    <w:rsid w:val="004C6DF1"/>
    <w:rsid w:val="004D2FD8"/>
    <w:rsid w:val="004D6924"/>
    <w:rsid w:val="004D7905"/>
    <w:rsid w:val="004E0E9F"/>
    <w:rsid w:val="004E222D"/>
    <w:rsid w:val="004E2370"/>
    <w:rsid w:val="004E502C"/>
    <w:rsid w:val="004E636C"/>
    <w:rsid w:val="004E6B5D"/>
    <w:rsid w:val="004E778A"/>
    <w:rsid w:val="004E7CC0"/>
    <w:rsid w:val="004F1744"/>
    <w:rsid w:val="004F45B8"/>
    <w:rsid w:val="004F49A4"/>
    <w:rsid w:val="004F6AB2"/>
    <w:rsid w:val="004F6EC9"/>
    <w:rsid w:val="004F7D23"/>
    <w:rsid w:val="005003AA"/>
    <w:rsid w:val="00502357"/>
    <w:rsid w:val="0050669B"/>
    <w:rsid w:val="005071D4"/>
    <w:rsid w:val="00511EAC"/>
    <w:rsid w:val="005202EF"/>
    <w:rsid w:val="0052155F"/>
    <w:rsid w:val="00523208"/>
    <w:rsid w:val="0052364F"/>
    <w:rsid w:val="00523E4A"/>
    <w:rsid w:val="0052497D"/>
    <w:rsid w:val="00525161"/>
    <w:rsid w:val="005259D9"/>
    <w:rsid w:val="00525AFA"/>
    <w:rsid w:val="00526A6B"/>
    <w:rsid w:val="00530166"/>
    <w:rsid w:val="005303E9"/>
    <w:rsid w:val="005318D0"/>
    <w:rsid w:val="00533F11"/>
    <w:rsid w:val="00534615"/>
    <w:rsid w:val="00534CDB"/>
    <w:rsid w:val="00535594"/>
    <w:rsid w:val="005362BE"/>
    <w:rsid w:val="00537C60"/>
    <w:rsid w:val="005411AF"/>
    <w:rsid w:val="00541AC2"/>
    <w:rsid w:val="00543A99"/>
    <w:rsid w:val="00546738"/>
    <w:rsid w:val="00547DF0"/>
    <w:rsid w:val="00547FDD"/>
    <w:rsid w:val="00551343"/>
    <w:rsid w:val="005542FF"/>
    <w:rsid w:val="00555018"/>
    <w:rsid w:val="00557898"/>
    <w:rsid w:val="00560CBB"/>
    <w:rsid w:val="00562533"/>
    <w:rsid w:val="00562DDE"/>
    <w:rsid w:val="005639C8"/>
    <w:rsid w:val="00564689"/>
    <w:rsid w:val="005706A0"/>
    <w:rsid w:val="0057093C"/>
    <w:rsid w:val="00573CFB"/>
    <w:rsid w:val="0057747C"/>
    <w:rsid w:val="0058045A"/>
    <w:rsid w:val="00580DAA"/>
    <w:rsid w:val="005814EE"/>
    <w:rsid w:val="005816F1"/>
    <w:rsid w:val="0058686A"/>
    <w:rsid w:val="0059104C"/>
    <w:rsid w:val="005947BD"/>
    <w:rsid w:val="00596F97"/>
    <w:rsid w:val="005A0589"/>
    <w:rsid w:val="005A1111"/>
    <w:rsid w:val="005A2DC3"/>
    <w:rsid w:val="005A3776"/>
    <w:rsid w:val="005A55AA"/>
    <w:rsid w:val="005B020D"/>
    <w:rsid w:val="005B0985"/>
    <w:rsid w:val="005B0CB3"/>
    <w:rsid w:val="005B28EF"/>
    <w:rsid w:val="005B343D"/>
    <w:rsid w:val="005B3728"/>
    <w:rsid w:val="005B6ACD"/>
    <w:rsid w:val="005C472C"/>
    <w:rsid w:val="005C5EC2"/>
    <w:rsid w:val="005C5FAA"/>
    <w:rsid w:val="005D07ED"/>
    <w:rsid w:val="005D1EAF"/>
    <w:rsid w:val="005D604D"/>
    <w:rsid w:val="005D728C"/>
    <w:rsid w:val="005E03DD"/>
    <w:rsid w:val="005E2357"/>
    <w:rsid w:val="005F18A8"/>
    <w:rsid w:val="00603338"/>
    <w:rsid w:val="0060335C"/>
    <w:rsid w:val="00603A82"/>
    <w:rsid w:val="00603AF4"/>
    <w:rsid w:val="006060A1"/>
    <w:rsid w:val="00607062"/>
    <w:rsid w:val="00610E39"/>
    <w:rsid w:val="00612A12"/>
    <w:rsid w:val="00614E62"/>
    <w:rsid w:val="00615C5C"/>
    <w:rsid w:val="00615C6D"/>
    <w:rsid w:val="00615C6E"/>
    <w:rsid w:val="00620748"/>
    <w:rsid w:val="006238A1"/>
    <w:rsid w:val="00623B71"/>
    <w:rsid w:val="00623BAA"/>
    <w:rsid w:val="00624904"/>
    <w:rsid w:val="0062492C"/>
    <w:rsid w:val="006264E8"/>
    <w:rsid w:val="0063099A"/>
    <w:rsid w:val="0063100C"/>
    <w:rsid w:val="00633179"/>
    <w:rsid w:val="00634472"/>
    <w:rsid w:val="00642942"/>
    <w:rsid w:val="00642A01"/>
    <w:rsid w:val="00643425"/>
    <w:rsid w:val="006505E7"/>
    <w:rsid w:val="00650CAB"/>
    <w:rsid w:val="006632A7"/>
    <w:rsid w:val="00664999"/>
    <w:rsid w:val="00664F34"/>
    <w:rsid w:val="006660A5"/>
    <w:rsid w:val="00667FF5"/>
    <w:rsid w:val="006700FF"/>
    <w:rsid w:val="00672638"/>
    <w:rsid w:val="00675288"/>
    <w:rsid w:val="0067606C"/>
    <w:rsid w:val="00676D49"/>
    <w:rsid w:val="006772F9"/>
    <w:rsid w:val="00684E8A"/>
    <w:rsid w:val="00685333"/>
    <w:rsid w:val="0069201F"/>
    <w:rsid w:val="00693F86"/>
    <w:rsid w:val="00695EDA"/>
    <w:rsid w:val="00696606"/>
    <w:rsid w:val="006A09A2"/>
    <w:rsid w:val="006A0E5B"/>
    <w:rsid w:val="006A0FA7"/>
    <w:rsid w:val="006A25F9"/>
    <w:rsid w:val="006A2D2F"/>
    <w:rsid w:val="006A32A9"/>
    <w:rsid w:val="006A4B28"/>
    <w:rsid w:val="006A5B7B"/>
    <w:rsid w:val="006A6174"/>
    <w:rsid w:val="006A7619"/>
    <w:rsid w:val="006B0C88"/>
    <w:rsid w:val="006B59F0"/>
    <w:rsid w:val="006B6B1E"/>
    <w:rsid w:val="006B7CF8"/>
    <w:rsid w:val="006B7E72"/>
    <w:rsid w:val="006C2503"/>
    <w:rsid w:val="006C263A"/>
    <w:rsid w:val="006C3A8E"/>
    <w:rsid w:val="006C4B5B"/>
    <w:rsid w:val="006C669F"/>
    <w:rsid w:val="006D00CA"/>
    <w:rsid w:val="006D02EC"/>
    <w:rsid w:val="006D05B6"/>
    <w:rsid w:val="006D17C5"/>
    <w:rsid w:val="006D1D5B"/>
    <w:rsid w:val="006D4501"/>
    <w:rsid w:val="006D60A7"/>
    <w:rsid w:val="006E1B9E"/>
    <w:rsid w:val="006E3B1D"/>
    <w:rsid w:val="006E3E93"/>
    <w:rsid w:val="006E5E7D"/>
    <w:rsid w:val="006E6837"/>
    <w:rsid w:val="006E7D90"/>
    <w:rsid w:val="006F1917"/>
    <w:rsid w:val="006F1EEF"/>
    <w:rsid w:val="00700D1A"/>
    <w:rsid w:val="00701D11"/>
    <w:rsid w:val="00702410"/>
    <w:rsid w:val="007047C6"/>
    <w:rsid w:val="00707D4F"/>
    <w:rsid w:val="00711DA5"/>
    <w:rsid w:val="00712C83"/>
    <w:rsid w:val="00722D46"/>
    <w:rsid w:val="00725E33"/>
    <w:rsid w:val="007307F2"/>
    <w:rsid w:val="007308A9"/>
    <w:rsid w:val="00732392"/>
    <w:rsid w:val="007333A9"/>
    <w:rsid w:val="007428C7"/>
    <w:rsid w:val="00750B10"/>
    <w:rsid w:val="00750E46"/>
    <w:rsid w:val="00752B64"/>
    <w:rsid w:val="00755CA7"/>
    <w:rsid w:val="00763126"/>
    <w:rsid w:val="00764C4F"/>
    <w:rsid w:val="0076532D"/>
    <w:rsid w:val="0076779F"/>
    <w:rsid w:val="00770FBB"/>
    <w:rsid w:val="00772D72"/>
    <w:rsid w:val="00773E88"/>
    <w:rsid w:val="00774614"/>
    <w:rsid w:val="0077493B"/>
    <w:rsid w:val="00780662"/>
    <w:rsid w:val="007810B3"/>
    <w:rsid w:val="007836A7"/>
    <w:rsid w:val="007850BD"/>
    <w:rsid w:val="00785181"/>
    <w:rsid w:val="007922CE"/>
    <w:rsid w:val="00792995"/>
    <w:rsid w:val="00792B61"/>
    <w:rsid w:val="00793DFC"/>
    <w:rsid w:val="00794ACB"/>
    <w:rsid w:val="00795F2F"/>
    <w:rsid w:val="007968ED"/>
    <w:rsid w:val="00797299"/>
    <w:rsid w:val="007A0E68"/>
    <w:rsid w:val="007A203E"/>
    <w:rsid w:val="007A357F"/>
    <w:rsid w:val="007A4C42"/>
    <w:rsid w:val="007B0C05"/>
    <w:rsid w:val="007B1DC5"/>
    <w:rsid w:val="007B4FE9"/>
    <w:rsid w:val="007B6F22"/>
    <w:rsid w:val="007B7694"/>
    <w:rsid w:val="007B7F84"/>
    <w:rsid w:val="007C08A5"/>
    <w:rsid w:val="007C1955"/>
    <w:rsid w:val="007C367A"/>
    <w:rsid w:val="007C71DA"/>
    <w:rsid w:val="007D0957"/>
    <w:rsid w:val="007D1AEF"/>
    <w:rsid w:val="007D4D65"/>
    <w:rsid w:val="007D77F0"/>
    <w:rsid w:val="007D7916"/>
    <w:rsid w:val="007E176A"/>
    <w:rsid w:val="007E4539"/>
    <w:rsid w:val="007E4590"/>
    <w:rsid w:val="007E53CF"/>
    <w:rsid w:val="007E56E7"/>
    <w:rsid w:val="007E64FC"/>
    <w:rsid w:val="007F03DC"/>
    <w:rsid w:val="007F0507"/>
    <w:rsid w:val="007F2650"/>
    <w:rsid w:val="007F379B"/>
    <w:rsid w:val="008000C5"/>
    <w:rsid w:val="00800906"/>
    <w:rsid w:val="00800A1B"/>
    <w:rsid w:val="00804F56"/>
    <w:rsid w:val="008059B4"/>
    <w:rsid w:val="00807A81"/>
    <w:rsid w:val="0081072C"/>
    <w:rsid w:val="00812D89"/>
    <w:rsid w:val="00815C3E"/>
    <w:rsid w:val="00817B16"/>
    <w:rsid w:val="00821F2C"/>
    <w:rsid w:val="008224B7"/>
    <w:rsid w:val="00824C89"/>
    <w:rsid w:val="00824EAD"/>
    <w:rsid w:val="0082792D"/>
    <w:rsid w:val="00831AEF"/>
    <w:rsid w:val="00831C62"/>
    <w:rsid w:val="00833767"/>
    <w:rsid w:val="0083399A"/>
    <w:rsid w:val="0083640F"/>
    <w:rsid w:val="008374CE"/>
    <w:rsid w:val="00840831"/>
    <w:rsid w:val="00840888"/>
    <w:rsid w:val="008433D2"/>
    <w:rsid w:val="00845979"/>
    <w:rsid w:val="00845EE1"/>
    <w:rsid w:val="00846ACF"/>
    <w:rsid w:val="008473D8"/>
    <w:rsid w:val="00847924"/>
    <w:rsid w:val="00847C3A"/>
    <w:rsid w:val="0085475E"/>
    <w:rsid w:val="0085523F"/>
    <w:rsid w:val="0086014E"/>
    <w:rsid w:val="008606D0"/>
    <w:rsid w:val="00861C36"/>
    <w:rsid w:val="00862F0A"/>
    <w:rsid w:val="00867100"/>
    <w:rsid w:val="00867E01"/>
    <w:rsid w:val="00870E9E"/>
    <w:rsid w:val="0087378C"/>
    <w:rsid w:val="00875A7B"/>
    <w:rsid w:val="00875F34"/>
    <w:rsid w:val="0088170D"/>
    <w:rsid w:val="00881E32"/>
    <w:rsid w:val="0088236E"/>
    <w:rsid w:val="00882772"/>
    <w:rsid w:val="008836DC"/>
    <w:rsid w:val="00884022"/>
    <w:rsid w:val="008901A8"/>
    <w:rsid w:val="008948B5"/>
    <w:rsid w:val="00895083"/>
    <w:rsid w:val="008958FC"/>
    <w:rsid w:val="008971FF"/>
    <w:rsid w:val="00897CA3"/>
    <w:rsid w:val="008A4178"/>
    <w:rsid w:val="008A4D5A"/>
    <w:rsid w:val="008A4DE7"/>
    <w:rsid w:val="008B0444"/>
    <w:rsid w:val="008B1B67"/>
    <w:rsid w:val="008B3068"/>
    <w:rsid w:val="008B71B3"/>
    <w:rsid w:val="008B7771"/>
    <w:rsid w:val="008C2035"/>
    <w:rsid w:val="008C2B6C"/>
    <w:rsid w:val="008C336A"/>
    <w:rsid w:val="008C523D"/>
    <w:rsid w:val="008C529F"/>
    <w:rsid w:val="008D299F"/>
    <w:rsid w:val="008D2C97"/>
    <w:rsid w:val="008D3753"/>
    <w:rsid w:val="008D4FCF"/>
    <w:rsid w:val="008D53FE"/>
    <w:rsid w:val="008D5914"/>
    <w:rsid w:val="008D6376"/>
    <w:rsid w:val="008E3C55"/>
    <w:rsid w:val="008E40BC"/>
    <w:rsid w:val="008E5BC0"/>
    <w:rsid w:val="008E6F21"/>
    <w:rsid w:val="008E7402"/>
    <w:rsid w:val="008F1964"/>
    <w:rsid w:val="008F246C"/>
    <w:rsid w:val="008F3812"/>
    <w:rsid w:val="008F4827"/>
    <w:rsid w:val="008F4919"/>
    <w:rsid w:val="008F572D"/>
    <w:rsid w:val="008F59E7"/>
    <w:rsid w:val="00900DB2"/>
    <w:rsid w:val="00902397"/>
    <w:rsid w:val="00904915"/>
    <w:rsid w:val="00905C50"/>
    <w:rsid w:val="00912B43"/>
    <w:rsid w:val="00912B4F"/>
    <w:rsid w:val="00913925"/>
    <w:rsid w:val="009156EC"/>
    <w:rsid w:val="00917066"/>
    <w:rsid w:val="00920436"/>
    <w:rsid w:val="009223AC"/>
    <w:rsid w:val="009258BB"/>
    <w:rsid w:val="00926455"/>
    <w:rsid w:val="00933888"/>
    <w:rsid w:val="00933D10"/>
    <w:rsid w:val="00934AD9"/>
    <w:rsid w:val="00935FB3"/>
    <w:rsid w:val="00936799"/>
    <w:rsid w:val="00936F5A"/>
    <w:rsid w:val="009374DC"/>
    <w:rsid w:val="00940678"/>
    <w:rsid w:val="00941F70"/>
    <w:rsid w:val="0094321E"/>
    <w:rsid w:val="0094610A"/>
    <w:rsid w:val="00947534"/>
    <w:rsid w:val="009502A7"/>
    <w:rsid w:val="00950358"/>
    <w:rsid w:val="00952285"/>
    <w:rsid w:val="009525ED"/>
    <w:rsid w:val="00952F68"/>
    <w:rsid w:val="00956391"/>
    <w:rsid w:val="00956E76"/>
    <w:rsid w:val="009608CC"/>
    <w:rsid w:val="00962905"/>
    <w:rsid w:val="009630FB"/>
    <w:rsid w:val="00964484"/>
    <w:rsid w:val="00965A83"/>
    <w:rsid w:val="009712C9"/>
    <w:rsid w:val="00973AF5"/>
    <w:rsid w:val="00976FB3"/>
    <w:rsid w:val="00977F89"/>
    <w:rsid w:val="00980BB3"/>
    <w:rsid w:val="009821DF"/>
    <w:rsid w:val="00984B79"/>
    <w:rsid w:val="009852DA"/>
    <w:rsid w:val="0098715A"/>
    <w:rsid w:val="00987521"/>
    <w:rsid w:val="00990B26"/>
    <w:rsid w:val="00990B43"/>
    <w:rsid w:val="00991509"/>
    <w:rsid w:val="009929B1"/>
    <w:rsid w:val="00993A3D"/>
    <w:rsid w:val="009960E1"/>
    <w:rsid w:val="009A06F5"/>
    <w:rsid w:val="009A448C"/>
    <w:rsid w:val="009A50FE"/>
    <w:rsid w:val="009A588A"/>
    <w:rsid w:val="009A7B7C"/>
    <w:rsid w:val="009B0642"/>
    <w:rsid w:val="009B1B37"/>
    <w:rsid w:val="009B24F2"/>
    <w:rsid w:val="009B463D"/>
    <w:rsid w:val="009B57D9"/>
    <w:rsid w:val="009B59C1"/>
    <w:rsid w:val="009C0E2B"/>
    <w:rsid w:val="009C77D8"/>
    <w:rsid w:val="009C7FD6"/>
    <w:rsid w:val="009D0755"/>
    <w:rsid w:val="009D1DDB"/>
    <w:rsid w:val="009D2062"/>
    <w:rsid w:val="009D2505"/>
    <w:rsid w:val="009D39EC"/>
    <w:rsid w:val="009D4459"/>
    <w:rsid w:val="009D4B49"/>
    <w:rsid w:val="009D645A"/>
    <w:rsid w:val="009D7273"/>
    <w:rsid w:val="009E05E1"/>
    <w:rsid w:val="009E168F"/>
    <w:rsid w:val="009E63A7"/>
    <w:rsid w:val="009F0A17"/>
    <w:rsid w:val="009F301F"/>
    <w:rsid w:val="009F4140"/>
    <w:rsid w:val="009F7C81"/>
    <w:rsid w:val="00A105BC"/>
    <w:rsid w:val="00A113F5"/>
    <w:rsid w:val="00A126D2"/>
    <w:rsid w:val="00A15D3D"/>
    <w:rsid w:val="00A205CD"/>
    <w:rsid w:val="00A22728"/>
    <w:rsid w:val="00A2476B"/>
    <w:rsid w:val="00A24A28"/>
    <w:rsid w:val="00A25749"/>
    <w:rsid w:val="00A2644A"/>
    <w:rsid w:val="00A267F5"/>
    <w:rsid w:val="00A32C8E"/>
    <w:rsid w:val="00A355AE"/>
    <w:rsid w:val="00A36453"/>
    <w:rsid w:val="00A37960"/>
    <w:rsid w:val="00A37B19"/>
    <w:rsid w:val="00A4017E"/>
    <w:rsid w:val="00A4097F"/>
    <w:rsid w:val="00A43A5A"/>
    <w:rsid w:val="00A43C53"/>
    <w:rsid w:val="00A4443D"/>
    <w:rsid w:val="00A455DE"/>
    <w:rsid w:val="00A47BA0"/>
    <w:rsid w:val="00A50AF2"/>
    <w:rsid w:val="00A546F9"/>
    <w:rsid w:val="00A579B8"/>
    <w:rsid w:val="00A610B7"/>
    <w:rsid w:val="00A72304"/>
    <w:rsid w:val="00A72CF1"/>
    <w:rsid w:val="00A74A26"/>
    <w:rsid w:val="00A7512F"/>
    <w:rsid w:val="00A80A34"/>
    <w:rsid w:val="00A84B26"/>
    <w:rsid w:val="00A87C9D"/>
    <w:rsid w:val="00A92EF5"/>
    <w:rsid w:val="00A96264"/>
    <w:rsid w:val="00A9714B"/>
    <w:rsid w:val="00AA073A"/>
    <w:rsid w:val="00AA0947"/>
    <w:rsid w:val="00AA31EB"/>
    <w:rsid w:val="00AA3E81"/>
    <w:rsid w:val="00AA52C8"/>
    <w:rsid w:val="00AA5AC8"/>
    <w:rsid w:val="00AA64A4"/>
    <w:rsid w:val="00AA76B7"/>
    <w:rsid w:val="00AB0C59"/>
    <w:rsid w:val="00AB14B7"/>
    <w:rsid w:val="00AB2CF9"/>
    <w:rsid w:val="00AB3A44"/>
    <w:rsid w:val="00AB3B13"/>
    <w:rsid w:val="00AB5161"/>
    <w:rsid w:val="00AC038F"/>
    <w:rsid w:val="00AC41CD"/>
    <w:rsid w:val="00AC42D6"/>
    <w:rsid w:val="00AC5E81"/>
    <w:rsid w:val="00AC62DD"/>
    <w:rsid w:val="00AC70B6"/>
    <w:rsid w:val="00AD0CD7"/>
    <w:rsid w:val="00AD223F"/>
    <w:rsid w:val="00AD2B32"/>
    <w:rsid w:val="00AD31D5"/>
    <w:rsid w:val="00AD34EC"/>
    <w:rsid w:val="00AE09CE"/>
    <w:rsid w:val="00AE33CF"/>
    <w:rsid w:val="00AE6EF7"/>
    <w:rsid w:val="00AF0DF4"/>
    <w:rsid w:val="00AF18D6"/>
    <w:rsid w:val="00AF70F0"/>
    <w:rsid w:val="00B02462"/>
    <w:rsid w:val="00B02B1A"/>
    <w:rsid w:val="00B032BF"/>
    <w:rsid w:val="00B038BB"/>
    <w:rsid w:val="00B05B88"/>
    <w:rsid w:val="00B06127"/>
    <w:rsid w:val="00B118E4"/>
    <w:rsid w:val="00B1398F"/>
    <w:rsid w:val="00B13D62"/>
    <w:rsid w:val="00B21287"/>
    <w:rsid w:val="00B22C9C"/>
    <w:rsid w:val="00B27604"/>
    <w:rsid w:val="00B303D1"/>
    <w:rsid w:val="00B41F80"/>
    <w:rsid w:val="00B421CC"/>
    <w:rsid w:val="00B42340"/>
    <w:rsid w:val="00B4258F"/>
    <w:rsid w:val="00B42964"/>
    <w:rsid w:val="00B42BAA"/>
    <w:rsid w:val="00B43A24"/>
    <w:rsid w:val="00B44A52"/>
    <w:rsid w:val="00B45E9B"/>
    <w:rsid w:val="00B460F7"/>
    <w:rsid w:val="00B47A85"/>
    <w:rsid w:val="00B55B09"/>
    <w:rsid w:val="00B560BC"/>
    <w:rsid w:val="00B602D2"/>
    <w:rsid w:val="00B637F3"/>
    <w:rsid w:val="00B65B38"/>
    <w:rsid w:val="00B66ACD"/>
    <w:rsid w:val="00B749EB"/>
    <w:rsid w:val="00B765BF"/>
    <w:rsid w:val="00B81ED5"/>
    <w:rsid w:val="00B82ACC"/>
    <w:rsid w:val="00B85D24"/>
    <w:rsid w:val="00B86280"/>
    <w:rsid w:val="00B86738"/>
    <w:rsid w:val="00B86CD8"/>
    <w:rsid w:val="00B87C8B"/>
    <w:rsid w:val="00B87F6A"/>
    <w:rsid w:val="00B9019E"/>
    <w:rsid w:val="00B91CBD"/>
    <w:rsid w:val="00B92E02"/>
    <w:rsid w:val="00B93657"/>
    <w:rsid w:val="00B945EB"/>
    <w:rsid w:val="00B95669"/>
    <w:rsid w:val="00B97696"/>
    <w:rsid w:val="00BA2FA9"/>
    <w:rsid w:val="00BA345E"/>
    <w:rsid w:val="00BA350B"/>
    <w:rsid w:val="00BA5244"/>
    <w:rsid w:val="00BA7535"/>
    <w:rsid w:val="00BB17A2"/>
    <w:rsid w:val="00BB56E8"/>
    <w:rsid w:val="00BB58C7"/>
    <w:rsid w:val="00BB5F3B"/>
    <w:rsid w:val="00BC1E1A"/>
    <w:rsid w:val="00BC3F35"/>
    <w:rsid w:val="00BC60A1"/>
    <w:rsid w:val="00BC63A3"/>
    <w:rsid w:val="00BC6CC0"/>
    <w:rsid w:val="00BC76EF"/>
    <w:rsid w:val="00BC7FC4"/>
    <w:rsid w:val="00BD1AF7"/>
    <w:rsid w:val="00BD2165"/>
    <w:rsid w:val="00BD306F"/>
    <w:rsid w:val="00BD566D"/>
    <w:rsid w:val="00BD66C9"/>
    <w:rsid w:val="00BD6B5F"/>
    <w:rsid w:val="00BE172E"/>
    <w:rsid w:val="00BE1F6A"/>
    <w:rsid w:val="00BE2BAF"/>
    <w:rsid w:val="00BE3E41"/>
    <w:rsid w:val="00BF55C6"/>
    <w:rsid w:val="00BF5BF0"/>
    <w:rsid w:val="00C00D27"/>
    <w:rsid w:val="00C03570"/>
    <w:rsid w:val="00C038C8"/>
    <w:rsid w:val="00C03F5D"/>
    <w:rsid w:val="00C04292"/>
    <w:rsid w:val="00C053EA"/>
    <w:rsid w:val="00C05467"/>
    <w:rsid w:val="00C070DB"/>
    <w:rsid w:val="00C1033B"/>
    <w:rsid w:val="00C10D72"/>
    <w:rsid w:val="00C1666F"/>
    <w:rsid w:val="00C17EA2"/>
    <w:rsid w:val="00C21EB1"/>
    <w:rsid w:val="00C243C5"/>
    <w:rsid w:val="00C304C8"/>
    <w:rsid w:val="00C3387B"/>
    <w:rsid w:val="00C35021"/>
    <w:rsid w:val="00C35094"/>
    <w:rsid w:val="00C3638A"/>
    <w:rsid w:val="00C42007"/>
    <w:rsid w:val="00C42D53"/>
    <w:rsid w:val="00C50593"/>
    <w:rsid w:val="00C508BE"/>
    <w:rsid w:val="00C51034"/>
    <w:rsid w:val="00C53345"/>
    <w:rsid w:val="00C545C4"/>
    <w:rsid w:val="00C554EF"/>
    <w:rsid w:val="00C56F28"/>
    <w:rsid w:val="00C60BC2"/>
    <w:rsid w:val="00C61D79"/>
    <w:rsid w:val="00C61F00"/>
    <w:rsid w:val="00C6257E"/>
    <w:rsid w:val="00C63324"/>
    <w:rsid w:val="00C633F8"/>
    <w:rsid w:val="00C63D3E"/>
    <w:rsid w:val="00C63EFC"/>
    <w:rsid w:val="00C63F63"/>
    <w:rsid w:val="00C75FBD"/>
    <w:rsid w:val="00C80F7D"/>
    <w:rsid w:val="00C83E17"/>
    <w:rsid w:val="00C87980"/>
    <w:rsid w:val="00C919B0"/>
    <w:rsid w:val="00C91AB9"/>
    <w:rsid w:val="00C92C7F"/>
    <w:rsid w:val="00C93787"/>
    <w:rsid w:val="00C9452D"/>
    <w:rsid w:val="00CA21CE"/>
    <w:rsid w:val="00CA284E"/>
    <w:rsid w:val="00CA4C80"/>
    <w:rsid w:val="00CA6626"/>
    <w:rsid w:val="00CB0D71"/>
    <w:rsid w:val="00CB187D"/>
    <w:rsid w:val="00CB3638"/>
    <w:rsid w:val="00CB3681"/>
    <w:rsid w:val="00CB469F"/>
    <w:rsid w:val="00CB7134"/>
    <w:rsid w:val="00CB7E73"/>
    <w:rsid w:val="00CB7FEC"/>
    <w:rsid w:val="00CC0346"/>
    <w:rsid w:val="00CC2AFD"/>
    <w:rsid w:val="00CC3799"/>
    <w:rsid w:val="00CC4244"/>
    <w:rsid w:val="00CC4358"/>
    <w:rsid w:val="00CC59C0"/>
    <w:rsid w:val="00CC5EED"/>
    <w:rsid w:val="00CC6D7C"/>
    <w:rsid w:val="00CD202E"/>
    <w:rsid w:val="00CD341E"/>
    <w:rsid w:val="00CD4615"/>
    <w:rsid w:val="00CD4B7D"/>
    <w:rsid w:val="00CD6045"/>
    <w:rsid w:val="00CD652D"/>
    <w:rsid w:val="00CD7358"/>
    <w:rsid w:val="00CD7A4E"/>
    <w:rsid w:val="00CE0D52"/>
    <w:rsid w:val="00CE1C9B"/>
    <w:rsid w:val="00CE2E5B"/>
    <w:rsid w:val="00CF0B9A"/>
    <w:rsid w:val="00CF141A"/>
    <w:rsid w:val="00CF1A1F"/>
    <w:rsid w:val="00CF2AF6"/>
    <w:rsid w:val="00CF369A"/>
    <w:rsid w:val="00CF3A88"/>
    <w:rsid w:val="00CF3E6E"/>
    <w:rsid w:val="00CF6894"/>
    <w:rsid w:val="00CF6F83"/>
    <w:rsid w:val="00D028FC"/>
    <w:rsid w:val="00D02E41"/>
    <w:rsid w:val="00D03C15"/>
    <w:rsid w:val="00D05583"/>
    <w:rsid w:val="00D06758"/>
    <w:rsid w:val="00D1164A"/>
    <w:rsid w:val="00D11795"/>
    <w:rsid w:val="00D14B9C"/>
    <w:rsid w:val="00D202BC"/>
    <w:rsid w:val="00D2281F"/>
    <w:rsid w:val="00D24790"/>
    <w:rsid w:val="00D268D0"/>
    <w:rsid w:val="00D27028"/>
    <w:rsid w:val="00D27BC5"/>
    <w:rsid w:val="00D303F5"/>
    <w:rsid w:val="00D3056F"/>
    <w:rsid w:val="00D428EE"/>
    <w:rsid w:val="00D469AC"/>
    <w:rsid w:val="00D47ABB"/>
    <w:rsid w:val="00D47C25"/>
    <w:rsid w:val="00D47DCA"/>
    <w:rsid w:val="00D50908"/>
    <w:rsid w:val="00D51DB7"/>
    <w:rsid w:val="00D55450"/>
    <w:rsid w:val="00D57606"/>
    <w:rsid w:val="00D6176D"/>
    <w:rsid w:val="00D61CDD"/>
    <w:rsid w:val="00D61EE9"/>
    <w:rsid w:val="00D63664"/>
    <w:rsid w:val="00D64CB3"/>
    <w:rsid w:val="00D66BEF"/>
    <w:rsid w:val="00D74A4C"/>
    <w:rsid w:val="00D74D90"/>
    <w:rsid w:val="00D74FB9"/>
    <w:rsid w:val="00D75309"/>
    <w:rsid w:val="00D76182"/>
    <w:rsid w:val="00D8115A"/>
    <w:rsid w:val="00D819A1"/>
    <w:rsid w:val="00D83E07"/>
    <w:rsid w:val="00D84BD6"/>
    <w:rsid w:val="00D8507F"/>
    <w:rsid w:val="00D85194"/>
    <w:rsid w:val="00D853B4"/>
    <w:rsid w:val="00D85BAB"/>
    <w:rsid w:val="00D90453"/>
    <w:rsid w:val="00D90CC6"/>
    <w:rsid w:val="00D917A2"/>
    <w:rsid w:val="00D931A2"/>
    <w:rsid w:val="00D9358A"/>
    <w:rsid w:val="00DA42B7"/>
    <w:rsid w:val="00DA50BB"/>
    <w:rsid w:val="00DB0DE4"/>
    <w:rsid w:val="00DB39B0"/>
    <w:rsid w:val="00DB3A44"/>
    <w:rsid w:val="00DB5E9F"/>
    <w:rsid w:val="00DB7E6C"/>
    <w:rsid w:val="00DC3F61"/>
    <w:rsid w:val="00DD0B35"/>
    <w:rsid w:val="00DD474C"/>
    <w:rsid w:val="00DD4952"/>
    <w:rsid w:val="00DD7ED9"/>
    <w:rsid w:val="00DE5DE7"/>
    <w:rsid w:val="00DF0468"/>
    <w:rsid w:val="00DF17F6"/>
    <w:rsid w:val="00DF461D"/>
    <w:rsid w:val="00DF4865"/>
    <w:rsid w:val="00DF4D75"/>
    <w:rsid w:val="00DF6921"/>
    <w:rsid w:val="00E0383B"/>
    <w:rsid w:val="00E03E44"/>
    <w:rsid w:val="00E05BD3"/>
    <w:rsid w:val="00E06C36"/>
    <w:rsid w:val="00E06FA4"/>
    <w:rsid w:val="00E07AC3"/>
    <w:rsid w:val="00E123F8"/>
    <w:rsid w:val="00E14E17"/>
    <w:rsid w:val="00E1636E"/>
    <w:rsid w:val="00E23891"/>
    <w:rsid w:val="00E24C8F"/>
    <w:rsid w:val="00E31CD1"/>
    <w:rsid w:val="00E31D63"/>
    <w:rsid w:val="00E3333C"/>
    <w:rsid w:val="00E34152"/>
    <w:rsid w:val="00E34A32"/>
    <w:rsid w:val="00E35934"/>
    <w:rsid w:val="00E37318"/>
    <w:rsid w:val="00E415E4"/>
    <w:rsid w:val="00E4793A"/>
    <w:rsid w:val="00E53B2A"/>
    <w:rsid w:val="00E558BA"/>
    <w:rsid w:val="00E608FC"/>
    <w:rsid w:val="00E623C4"/>
    <w:rsid w:val="00E64BC9"/>
    <w:rsid w:val="00E6758E"/>
    <w:rsid w:val="00E70A7B"/>
    <w:rsid w:val="00E70C89"/>
    <w:rsid w:val="00E71ADF"/>
    <w:rsid w:val="00E739B8"/>
    <w:rsid w:val="00E74079"/>
    <w:rsid w:val="00E773A3"/>
    <w:rsid w:val="00E80705"/>
    <w:rsid w:val="00E80ED6"/>
    <w:rsid w:val="00E8384E"/>
    <w:rsid w:val="00E850DE"/>
    <w:rsid w:val="00E86494"/>
    <w:rsid w:val="00E91DAC"/>
    <w:rsid w:val="00E94EF7"/>
    <w:rsid w:val="00E95AE0"/>
    <w:rsid w:val="00E96A2A"/>
    <w:rsid w:val="00EA33B8"/>
    <w:rsid w:val="00EA5217"/>
    <w:rsid w:val="00EB1060"/>
    <w:rsid w:val="00EB260B"/>
    <w:rsid w:val="00EB4579"/>
    <w:rsid w:val="00EB6E97"/>
    <w:rsid w:val="00EB7845"/>
    <w:rsid w:val="00EC1E15"/>
    <w:rsid w:val="00EC20BA"/>
    <w:rsid w:val="00EC212F"/>
    <w:rsid w:val="00EC39DE"/>
    <w:rsid w:val="00EC48A7"/>
    <w:rsid w:val="00EC77F5"/>
    <w:rsid w:val="00ED094D"/>
    <w:rsid w:val="00ED101E"/>
    <w:rsid w:val="00ED152A"/>
    <w:rsid w:val="00ED1A09"/>
    <w:rsid w:val="00ED2077"/>
    <w:rsid w:val="00ED5C73"/>
    <w:rsid w:val="00ED7C34"/>
    <w:rsid w:val="00EE0A6C"/>
    <w:rsid w:val="00EE2D04"/>
    <w:rsid w:val="00EE2D87"/>
    <w:rsid w:val="00EE3B70"/>
    <w:rsid w:val="00EF0248"/>
    <w:rsid w:val="00EF27C4"/>
    <w:rsid w:val="00EF3256"/>
    <w:rsid w:val="00EF4DA6"/>
    <w:rsid w:val="00EF54F5"/>
    <w:rsid w:val="00F04940"/>
    <w:rsid w:val="00F060AA"/>
    <w:rsid w:val="00F120AB"/>
    <w:rsid w:val="00F1224C"/>
    <w:rsid w:val="00F1607E"/>
    <w:rsid w:val="00F167E8"/>
    <w:rsid w:val="00F21BD3"/>
    <w:rsid w:val="00F22E06"/>
    <w:rsid w:val="00F24749"/>
    <w:rsid w:val="00F251E6"/>
    <w:rsid w:val="00F26B5D"/>
    <w:rsid w:val="00F32368"/>
    <w:rsid w:val="00F340D4"/>
    <w:rsid w:val="00F34E48"/>
    <w:rsid w:val="00F34EF1"/>
    <w:rsid w:val="00F35EE4"/>
    <w:rsid w:val="00F370D3"/>
    <w:rsid w:val="00F4152D"/>
    <w:rsid w:val="00F438A9"/>
    <w:rsid w:val="00F453A0"/>
    <w:rsid w:val="00F45B1A"/>
    <w:rsid w:val="00F54DA9"/>
    <w:rsid w:val="00F60F2F"/>
    <w:rsid w:val="00F66BE3"/>
    <w:rsid w:val="00F6798E"/>
    <w:rsid w:val="00F67C95"/>
    <w:rsid w:val="00F73B46"/>
    <w:rsid w:val="00F7446E"/>
    <w:rsid w:val="00F759D3"/>
    <w:rsid w:val="00F771F9"/>
    <w:rsid w:val="00F80B31"/>
    <w:rsid w:val="00F80D7B"/>
    <w:rsid w:val="00F8500A"/>
    <w:rsid w:val="00F854E5"/>
    <w:rsid w:val="00F8654E"/>
    <w:rsid w:val="00F87AE1"/>
    <w:rsid w:val="00F93BAE"/>
    <w:rsid w:val="00F9635D"/>
    <w:rsid w:val="00F96400"/>
    <w:rsid w:val="00F96F78"/>
    <w:rsid w:val="00F97519"/>
    <w:rsid w:val="00F97F5C"/>
    <w:rsid w:val="00FA3998"/>
    <w:rsid w:val="00FB0BE4"/>
    <w:rsid w:val="00FB24EA"/>
    <w:rsid w:val="00FB4200"/>
    <w:rsid w:val="00FC2B71"/>
    <w:rsid w:val="00FC2C60"/>
    <w:rsid w:val="00FC2D84"/>
    <w:rsid w:val="00FC412C"/>
    <w:rsid w:val="00FC4EE0"/>
    <w:rsid w:val="00FC674F"/>
    <w:rsid w:val="00FC68A0"/>
    <w:rsid w:val="00FD031C"/>
    <w:rsid w:val="00FD2A2E"/>
    <w:rsid w:val="00FD3EE1"/>
    <w:rsid w:val="00FE4E4A"/>
    <w:rsid w:val="00FF36E0"/>
    <w:rsid w:val="00FF5A1B"/>
    <w:rsid w:val="165E073C"/>
    <w:rsid w:val="178F4360"/>
    <w:rsid w:val="5488154E"/>
    <w:rsid w:val="5D9632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rFonts w:ascii="Calibri" w:hAnsi="Calibri" w:eastAsia="宋体" w:cs="Times New Roman"/>
      <w:sz w:val="18"/>
      <w:szCs w:val="18"/>
    </w:rPr>
  </w:style>
  <w:style w:type="character" w:customStyle="1" w:styleId="8">
    <w:name w:val="页脚 Char"/>
    <w:basedOn w:val="6"/>
    <w:link w:val="3"/>
    <w:semiHidden/>
    <w:qFormat/>
    <w:uiPriority w:val="99"/>
    <w:rPr>
      <w:rFonts w:ascii="Calibri" w:hAnsi="Calibri" w:eastAsia="宋体" w:cs="Times New Roman"/>
      <w:sz w:val="18"/>
      <w:szCs w:val="18"/>
    </w:rPr>
  </w:style>
  <w:style w:type="character" w:customStyle="1" w:styleId="9">
    <w:name w:val="批注框文本 Char"/>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685</Words>
  <Characters>3910</Characters>
  <Lines>32</Lines>
  <Paragraphs>9</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2023-09-28T09:21:00Z</dcterms:created>
  <dc:creator>kylin</dc:creator>
  <cp:lastModifiedBy>竹银莉</cp:lastModifiedBy>
  <dcterms:modified xsi:type="dcterms:W3CDTF">2025-09-30T06:52:30Z</dcterms:modified>
  <dc:title>省级分局和计划单列市分局办理的非银行金融机构（不含保险机构）经营结售汇业务以外的外汇业务审批</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