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省级分局和计划单列市分局办理的非银行金融机构（不含保险机构）经营或终止结售汇业务审批</w:t>
      </w:r>
    </w:p>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【000171112014】</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一、基本要素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（一）</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经营或者终止结售汇业务审批【00017111200Y】</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（二）</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省级分局和计划单列市分局办理的非银行金融机构（不含保险机构）经营或终止结售汇业务审批【000171112014】</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（三）</w:t>
      </w:r>
      <w:r>
        <w:rPr>
          <w:rFonts w:hint="eastAsia" w:ascii="Times New Roman" w:hAnsi="Times New Roman" w:eastAsia="仿宋GB2312"/>
          <w:b/>
          <w:bCs/>
          <w:sz w:val="28"/>
          <w:szCs w:val="28"/>
        </w:rPr>
        <w:t>行政许可事项业务办理项名称及编码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省级分局和计划单列市分局办理的非银行金融机构（不含保险机构）经营或终止结售汇业务审批(00017111201401)</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（四）</w:t>
      </w:r>
      <w:r>
        <w:rPr>
          <w:rFonts w:hint="eastAsia" w:ascii="Times New Roman" w:hAnsi="Times New Roman" w:eastAsia="仿宋GB2312"/>
          <w:b/>
          <w:bCs/>
          <w:sz w:val="28"/>
          <w:szCs w:val="28"/>
        </w:rPr>
        <w:t>设定依据</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《中华人民共和国外汇管理条例》（国务院令第532号）</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（五）</w:t>
      </w:r>
      <w:r>
        <w:rPr>
          <w:rFonts w:hint="eastAsia" w:ascii="Times New Roman" w:hAnsi="Times New Roman" w:eastAsia="仿宋GB2312"/>
          <w:b/>
          <w:bCs/>
          <w:sz w:val="28"/>
          <w:szCs w:val="28"/>
        </w:rPr>
        <w:t>实施依据</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1.</w:t>
      </w:r>
      <w:r>
        <w:rPr>
          <w:rFonts w:ascii="方正仿宋_GBK" w:hAnsi="方正仿宋_GBK" w:eastAsia="方正仿宋_GBK" w:cs="方正仿宋_GBK"/>
          <w:sz w:val="28"/>
          <w:szCs w:val="28"/>
        </w:rPr>
        <w:t>《国家外汇管理局行政许可实施办法》（国家外汇管理局公告2021年第1号）</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2.</w:t>
      </w:r>
      <w:r>
        <w:rPr>
          <w:rFonts w:ascii="方正仿宋_GBK" w:hAnsi="方正仿宋_GBK" w:eastAsia="方正仿宋_GBK" w:cs="方正仿宋_GBK"/>
          <w:sz w:val="28"/>
          <w:szCs w:val="28"/>
        </w:rPr>
        <w:t>《银行办理结售汇业务管理办法》（中国人民银行令〔2009〕第2号）</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3.</w:t>
      </w:r>
      <w:r>
        <w:rPr>
          <w:rFonts w:ascii="方正仿宋_GBK" w:hAnsi="方正仿宋_GBK" w:eastAsia="方正仿宋_GBK" w:cs="方正仿宋_GBK"/>
          <w:sz w:val="28"/>
          <w:szCs w:val="28"/>
        </w:rPr>
        <w:t>《银行办理结售汇业务管理办法实施细则》（汇发〔2014〕53号文印发）</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（六）</w:t>
      </w:r>
      <w:r>
        <w:rPr>
          <w:rFonts w:hint="eastAsia" w:ascii="Times New Roman" w:hAnsi="Times New Roman" w:eastAsia="仿宋GB2312"/>
          <w:b/>
          <w:bCs/>
          <w:sz w:val="28"/>
          <w:szCs w:val="28"/>
        </w:rPr>
        <w:t>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《中华人民共和国外汇管理条例》</w:t>
      </w:r>
      <w:r>
        <w:rPr>
          <w:rFonts w:hint="eastAsia" w:ascii="方正仿宋_GBK" w:hAnsi="方正仿宋_GBK" w:eastAsia="方正仿宋_GBK" w:cs="方正仿宋_GBK"/>
          <w:sz w:val="28"/>
          <w:szCs w:val="28"/>
        </w:rPr>
        <w:t>（国务院令第532号）</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（七）</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国家外汇</w:t>
      </w:r>
      <w:r>
        <w:rPr>
          <w:rFonts w:hint="eastAsia" w:ascii="方正仿宋_GBK" w:hAnsi="方正仿宋_GBK" w:eastAsia="方正仿宋_GBK" w:cs="方正仿宋_GBK"/>
          <w:sz w:val="28"/>
          <w:szCs w:val="28"/>
          <w:lang w:eastAsia="zh-CN"/>
        </w:rPr>
        <w:t>管理</w:t>
      </w:r>
      <w:r>
        <w:rPr>
          <w:rFonts w:ascii="方正仿宋_GBK" w:hAnsi="方正仿宋_GBK" w:eastAsia="方正仿宋_GBK" w:cs="方正仿宋_GBK"/>
          <w:sz w:val="28"/>
          <w:szCs w:val="28"/>
        </w:rPr>
        <w:t>局省级分局和计划单列市分局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（八）</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国家级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（九）</w:t>
      </w:r>
      <w:r>
        <w:rPr>
          <w:rFonts w:hint="eastAsia" w:ascii="Times New Roman" w:hAnsi="Times New Roman" w:eastAsia="仿宋GB2312"/>
          <w:b/>
          <w:bCs/>
          <w:sz w:val="28"/>
          <w:szCs w:val="28"/>
        </w:rPr>
        <w:t>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省级/直属</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（十）</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（十一）</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省级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（十二）</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lang w:eastAsia="zh-CN"/>
        </w:rPr>
        <w:t>（十三）</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lang w:eastAsia="zh-CN"/>
        </w:rPr>
        <w:t>（十四）</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非银行金融机构（不含保险公司）结售汇业务资格审批（含初审）</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lang w:eastAsia="zh-CN"/>
        </w:rPr>
        <w:t>（十五）</w:t>
      </w:r>
      <w:r>
        <w:rPr>
          <w:rFonts w:hint="eastAsia" w:ascii="Times New Roman" w:hAnsi="Times New Roman" w:eastAsia="仿宋GB2312"/>
          <w:b/>
          <w:bCs/>
          <w:sz w:val="28"/>
          <w:szCs w:val="28"/>
        </w:rPr>
        <w:t>要素统一情况：</w:t>
      </w:r>
      <w:r>
        <w:rPr>
          <w:rFonts w:hint="eastAsia" w:ascii="方正仿宋_GBK" w:hAnsi="方正仿宋_GBK" w:eastAsia="方正仿宋_GBK" w:cs="方正仿宋_GBK"/>
          <w:sz w:val="28"/>
          <w:szCs w:val="28"/>
        </w:rPr>
        <w:t>全部要素全国统一</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二、行政许可事项类型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三、行政许可条件</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准予行政许可的条件</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1.</w:t>
      </w:r>
      <w:r>
        <w:rPr>
          <w:rFonts w:ascii="方正仿宋_GBK" w:hAnsi="方正仿宋_GBK" w:eastAsia="方正仿宋_GBK" w:cs="方正仿宋_GBK"/>
          <w:sz w:val="28"/>
          <w:szCs w:val="28"/>
        </w:rPr>
        <w:t>在境内合法注册成立的非银行金融机构</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2.</w:t>
      </w:r>
      <w:r>
        <w:rPr>
          <w:rFonts w:ascii="方正仿宋_GBK" w:hAnsi="方正仿宋_GBK" w:eastAsia="方正仿宋_GBK" w:cs="方正仿宋_GBK"/>
          <w:sz w:val="28"/>
          <w:szCs w:val="28"/>
        </w:rPr>
        <w:t>具有开展金融业务资格</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3.</w:t>
      </w:r>
      <w:r>
        <w:rPr>
          <w:rFonts w:ascii="方正仿宋_GBK" w:hAnsi="方正仿宋_GBK" w:eastAsia="方正仿宋_GBK" w:cs="方正仿宋_GBK"/>
          <w:sz w:val="28"/>
          <w:szCs w:val="28"/>
        </w:rPr>
        <w:t>具备完善的业务管理制度</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4.</w:t>
      </w:r>
      <w:r>
        <w:rPr>
          <w:rFonts w:ascii="方正仿宋_GBK" w:hAnsi="方正仿宋_GBK" w:eastAsia="方正仿宋_GBK" w:cs="方正仿宋_GBK"/>
          <w:sz w:val="28"/>
          <w:szCs w:val="28"/>
        </w:rPr>
        <w:t>具备办理业务所必需的场所和其他软硬件设施</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5.</w:t>
      </w:r>
      <w:r>
        <w:rPr>
          <w:rFonts w:ascii="方正仿宋_GBK" w:hAnsi="方正仿宋_GBK" w:eastAsia="方正仿宋_GBK" w:cs="方正仿宋_GBK"/>
          <w:sz w:val="28"/>
          <w:szCs w:val="28"/>
        </w:rPr>
        <w:t>拥有具备相应业务工作经验的高级管理人员和业务人员。</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（二）</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《银行办理结售汇业务管理办法实施细则》（汇发〔2014〕53号文印发）</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四、</w:t>
      </w: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服务对象类型：</w:t>
      </w:r>
      <w:r>
        <w:rPr>
          <w:rFonts w:ascii="方正仿宋_GBK" w:hAnsi="方正仿宋_GBK" w:eastAsia="方正仿宋_GBK" w:cs="方正仿宋_GBK"/>
          <w:sz w:val="28"/>
          <w:szCs w:val="28"/>
        </w:rPr>
        <w:t>企业法人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（二）</w:t>
      </w:r>
      <w:r>
        <w:rPr>
          <w:rFonts w:hint="eastAsia" w:ascii="Times New Roman" w:hAnsi="Times New Roman" w:eastAsia="仿宋GB2312"/>
          <w:b/>
          <w:bCs/>
          <w:sz w:val="28"/>
          <w:szCs w:val="28"/>
        </w:rPr>
        <w:t>是否为涉企许可事项：</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（三）</w:t>
      </w:r>
      <w:r>
        <w:rPr>
          <w:rFonts w:hint="eastAsia" w:ascii="Times New Roman" w:hAnsi="Times New Roman" w:eastAsia="仿宋GB2312"/>
          <w:b/>
          <w:bCs/>
          <w:sz w:val="28"/>
          <w:szCs w:val="28"/>
        </w:rPr>
        <w:t>涉企经营许可事项名称：</w:t>
      </w:r>
      <w:r>
        <w:rPr>
          <w:rFonts w:ascii="方正仿宋_GBK" w:hAnsi="方正仿宋_GBK" w:eastAsia="方正仿宋_GBK" w:cs="方正仿宋_GBK"/>
          <w:sz w:val="28"/>
          <w:szCs w:val="28"/>
        </w:rPr>
        <w:t>银行、农村信用社、兑换机构及非金融机构等结汇、售汇业务市场准入、退出审批</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（四）</w:t>
      </w:r>
      <w:r>
        <w:rPr>
          <w:rFonts w:hint="eastAsia" w:ascii="Times New Roman" w:hAnsi="Times New Roman" w:eastAsia="仿宋GB2312"/>
          <w:b/>
          <w:bCs/>
          <w:sz w:val="28"/>
          <w:szCs w:val="28"/>
        </w:rPr>
        <w:t>许可证件名称：</w:t>
      </w:r>
      <w:r>
        <w:rPr>
          <w:rFonts w:ascii="方正仿宋_GBK" w:hAnsi="方正仿宋_GBK" w:eastAsia="方正仿宋_GBK" w:cs="方正仿宋_GBK"/>
          <w:sz w:val="28"/>
          <w:szCs w:val="28"/>
        </w:rPr>
        <w:t>批准外汇业务经营资格许可文件</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（五）</w:t>
      </w:r>
      <w:r>
        <w:rPr>
          <w:rFonts w:hint="eastAsia" w:ascii="Times New Roman" w:hAnsi="Times New Roman" w:eastAsia="仿宋GB2312"/>
          <w:b/>
          <w:bCs/>
          <w:sz w:val="28"/>
          <w:szCs w:val="28"/>
        </w:rPr>
        <w:t>改革方式：</w:t>
      </w:r>
      <w:r>
        <w:rPr>
          <w:rFonts w:ascii="方正仿宋_GBK" w:hAnsi="方正仿宋_GBK" w:eastAsia="方正仿宋_GBK" w:cs="方正仿宋_GBK"/>
          <w:sz w:val="28"/>
          <w:szCs w:val="28"/>
        </w:rPr>
        <w:t>优化审批服务</w:t>
      </w:r>
    </w:p>
    <w:p>
      <w:pPr>
        <w:spacing w:line="54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lang w:eastAsia="zh-CN"/>
        </w:rPr>
        <w:t>（六）</w:t>
      </w:r>
      <w:r>
        <w:rPr>
          <w:rFonts w:hint="eastAsia" w:ascii="Times New Roman" w:hAnsi="Times New Roman" w:eastAsia="仿宋GB2312"/>
          <w:b/>
          <w:bCs/>
          <w:sz w:val="28"/>
          <w:szCs w:val="28"/>
        </w:rPr>
        <w:t>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实现预审、审批进度和结果网上查询。申请人无需提交银行业监督管理部门批准外汇业务经营资格许可文件复印件。</w:t>
      </w:r>
    </w:p>
    <w:p>
      <w:pPr>
        <w:spacing w:line="54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lang w:eastAsia="zh-CN"/>
        </w:rPr>
        <w:t>（七）</w:t>
      </w:r>
      <w:r>
        <w:rPr>
          <w:rFonts w:hint="eastAsia" w:ascii="Times New Roman" w:hAnsi="Times New Roman" w:eastAsia="仿宋GB2312"/>
          <w:b/>
          <w:bCs/>
          <w:sz w:val="28"/>
          <w:szCs w:val="28"/>
        </w:rPr>
        <w:t>加强事中事后监管措施</w:t>
      </w:r>
      <w:r>
        <w:rPr>
          <w:rFonts w:hint="eastAsia" w:ascii="Times New Roman" w:hAnsi="Times New Roman" w:eastAsia="仿宋GB2312"/>
          <w:b/>
          <w:bCs/>
          <w:sz w:val="28"/>
          <w:szCs w:val="28"/>
          <w:lang w:eastAsia="zh-CN"/>
        </w:rPr>
        <w:t>：</w:t>
      </w:r>
      <w:r>
        <w:rPr>
          <w:rFonts w:ascii="方正仿宋_GBK" w:hAnsi="方正仿宋_GBK" w:eastAsia="方正仿宋_GBK" w:cs="方正仿宋_GBK"/>
          <w:sz w:val="28"/>
          <w:szCs w:val="28"/>
        </w:rPr>
        <w:t>1.开展“双随机、一公开”监管，依法查处违规行为，适时公开相关案例。2.依法及时处理投诉举报。3.开展数据统计与监测，掌握外汇业务情况。</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五、申请材料</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申请材料名称</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营业执照（统一社会信用代码证）原件或加盖公章的复印件1份；</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加盖公章的书面申请原件1份</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rPr>
        <w:tab/>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监管机构颁发的金融业务许可文件复印各1份</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rPr>
        <w:tab/>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结售汇业务内部管理规章制度原件及加盖公章的复印件各1份</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具备办理结售汇业务所必需的软硬件设施的证明材料原件及复印件各1份</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拥有具备相应业务工作经验的高级管理人员和业务人员的说明原件1份</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主管人员和主要交易人员名单、履历说明原件1份；</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监管部门或其授权的行业管理部门许可其开展衍生产品业务的相关资格许可文件或证明文件、无异议材料等原件及加盖公章的复印件各1份。</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（二）</w:t>
      </w:r>
      <w:r>
        <w:rPr>
          <w:rFonts w:ascii="Times New Roman" w:hAnsi="Times New Roman" w:eastAsia="仿宋GB2312"/>
          <w:b/>
          <w:bCs/>
          <w:sz w:val="28"/>
          <w:szCs w:val="28"/>
        </w:rPr>
        <w:t>规定申请材料的依据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1.</w:t>
      </w:r>
      <w:r>
        <w:rPr>
          <w:rFonts w:hint="eastAsia" w:ascii="方正仿宋_GBK" w:hAnsi="方正仿宋_GBK" w:eastAsia="方正仿宋_GBK" w:cs="方正仿宋_GBK"/>
          <w:sz w:val="28"/>
          <w:szCs w:val="28"/>
        </w:rPr>
        <w:t>《银行办理结售汇业务管理办法实施细则》（汇发〔2014〕53号文印发）</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sz w:val="28"/>
          <w:szCs w:val="28"/>
        </w:rPr>
        <w:t>《国家外汇管理局行政许可实施办法》（国家外汇管理局公告2021年第1号）</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六、中介服务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lang w:eastAsia="zh-CN"/>
        </w:rPr>
        <w:t>（二）</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（三）</w:t>
      </w:r>
      <w:r>
        <w:rPr>
          <w:rFonts w:ascii="Times New Roman" w:hAnsi="Times New Roman" w:eastAsia="仿宋GB2312"/>
          <w:b/>
          <w:bCs/>
          <w:sz w:val="28"/>
          <w:szCs w:val="28"/>
        </w:rPr>
        <w:t>设定中介服务事项的依据</w:t>
      </w:r>
      <w:r>
        <w:rPr>
          <w:rFonts w:hint="eastAsia" w:ascii="Times New Roman" w:hAnsi="Times New Roman" w:eastAsia="仿宋GB2312"/>
          <w:b/>
          <w:bCs/>
          <w:sz w:val="28"/>
          <w:szCs w:val="28"/>
          <w:lang w:eastAsia="zh-CN"/>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（四）</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（五）</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七、审批程序</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办理行政许可的程序环节</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1.</w:t>
      </w:r>
      <w:r>
        <w:rPr>
          <w:rFonts w:ascii="方正仿宋_GBK" w:hAnsi="方正仿宋_GBK" w:eastAsia="方正仿宋_GBK" w:cs="方正仿宋_GBK"/>
          <w:sz w:val="28"/>
          <w:szCs w:val="28"/>
        </w:rPr>
        <w:t>申请人申请；</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2.</w:t>
      </w:r>
      <w:r>
        <w:rPr>
          <w:rFonts w:ascii="方正仿宋_GBK" w:hAnsi="方正仿宋_GBK" w:eastAsia="方正仿宋_GBK" w:cs="方正仿宋_GBK"/>
          <w:sz w:val="28"/>
          <w:szCs w:val="28"/>
        </w:rPr>
        <w:t>审批机构受理/不予受理；</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3.</w:t>
      </w:r>
      <w:r>
        <w:rPr>
          <w:rFonts w:ascii="方正仿宋_GBK" w:hAnsi="方正仿宋_GBK" w:eastAsia="方正仿宋_GBK" w:cs="方正仿宋_GBK"/>
          <w:sz w:val="28"/>
          <w:szCs w:val="28"/>
        </w:rPr>
        <w:t>审批机构审查；</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4.</w:t>
      </w:r>
      <w:r>
        <w:rPr>
          <w:rFonts w:ascii="方正仿宋_GBK" w:hAnsi="方正仿宋_GBK" w:eastAsia="方正仿宋_GBK" w:cs="方正仿宋_GBK"/>
          <w:sz w:val="28"/>
          <w:szCs w:val="28"/>
        </w:rPr>
        <w:t>决定作出许可决定书/不予许可决定书</w:t>
      </w:r>
      <w:r>
        <w:rPr>
          <w:rFonts w:hint="eastAsia" w:ascii="方正仿宋_GBK" w:hAnsi="方正仿宋_GBK" w:eastAsia="方正仿宋_GBK" w:cs="方正仿宋_GBK"/>
          <w:sz w:val="28"/>
          <w:szCs w:val="28"/>
          <w:lang w:eastAsia="zh-CN"/>
        </w:rPr>
        <w:t>。</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（二）</w:t>
      </w:r>
      <w:r>
        <w:rPr>
          <w:rFonts w:hint="eastAsia" w:ascii="Times New Roman" w:hAnsi="Times New Roman" w:eastAsia="仿宋GB2312"/>
          <w:b/>
          <w:bCs/>
          <w:sz w:val="28"/>
          <w:szCs w:val="28"/>
        </w:rPr>
        <w:t>规定行政许可程序的依据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《国家外汇管理局行政许可实施办法》（国家外汇管理局公告2021年第1号）</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（三）</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（四）</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（五）</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（六）</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（七）</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（八）</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（九）</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（十）</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lang w:eastAsia="zh-CN"/>
        </w:rPr>
        <w:t>（十一）</w:t>
      </w:r>
      <w:r>
        <w:rPr>
          <w:rFonts w:hint="eastAsia" w:ascii="Times New Roman" w:hAnsi="Times New Roman" w:eastAsia="仿宋GB2312"/>
          <w:b/>
          <w:bCs/>
          <w:sz w:val="28"/>
          <w:szCs w:val="28"/>
        </w:rPr>
        <w:t>审批机关是否委托服务机构开展技术性服务：</w:t>
      </w:r>
      <w:r>
        <w:rPr>
          <w:rFonts w:hint="eastAsia" w:ascii="方正仿宋_GBK" w:hAnsi="方正仿宋_GBK" w:eastAsia="方正仿宋_GBK" w:cs="方正仿宋_GBK"/>
          <w:sz w:val="28"/>
          <w:szCs w:val="28"/>
        </w:rPr>
        <w:t>否</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八、受理和审批时限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承诺受理时限：</w:t>
      </w:r>
      <w:r>
        <w:rPr>
          <w:rFonts w:ascii="方正仿宋_GBK" w:hAnsi="方正仿宋_GBK" w:eastAsia="方正仿宋_GBK" w:cs="方正仿宋_GBK"/>
          <w:sz w:val="28"/>
          <w:szCs w:val="28"/>
        </w:rPr>
        <w:t>5个工作日</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lang w:eastAsia="zh-CN"/>
        </w:rPr>
        <w:t>（二）</w:t>
      </w:r>
      <w:r>
        <w:rPr>
          <w:rFonts w:hint="eastAsia" w:ascii="Times New Roman" w:hAnsi="Times New Roman" w:eastAsia="仿宋GB2312"/>
          <w:b/>
          <w:bCs/>
          <w:sz w:val="28"/>
          <w:szCs w:val="28"/>
        </w:rPr>
        <w:t>法定审批时限：</w:t>
      </w:r>
      <w:r>
        <w:rPr>
          <w:rFonts w:hint="eastAsia" w:ascii="方正仿宋_GBK" w:hAnsi="方正仿宋_GBK" w:eastAsia="方正仿宋_GBK" w:cs="方正仿宋_GBK"/>
          <w:sz w:val="28"/>
          <w:szCs w:val="28"/>
        </w:rPr>
        <w:t>20个工作日</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（三）</w:t>
      </w:r>
      <w:r>
        <w:rPr>
          <w:rFonts w:hint="eastAsia" w:ascii="Times New Roman" w:hAnsi="Times New Roman" w:eastAsia="仿宋GB2312"/>
          <w:b/>
          <w:bCs/>
          <w:sz w:val="28"/>
          <w:szCs w:val="28"/>
        </w:rPr>
        <w:t>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《国家外汇管理局行政许可实施办法》（国家外汇管理局公告2021年第1号）</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（四）</w:t>
      </w:r>
      <w:r>
        <w:rPr>
          <w:rFonts w:hint="eastAsia" w:ascii="Times New Roman" w:hAnsi="Times New Roman" w:eastAsia="仿宋GB2312"/>
          <w:b/>
          <w:bCs/>
          <w:sz w:val="28"/>
          <w:szCs w:val="28"/>
        </w:rPr>
        <w:t>承诺审批时限：</w:t>
      </w:r>
      <w:r>
        <w:rPr>
          <w:rFonts w:ascii="方正仿宋_GBK" w:hAnsi="方正仿宋_GBK" w:eastAsia="方正仿宋_GBK" w:cs="方正仿宋_GBK"/>
          <w:sz w:val="28"/>
          <w:szCs w:val="28"/>
        </w:rPr>
        <w:t>20个工作日</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九、收费</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方正仿宋_GBK" w:hAnsi="方正仿宋_GBK" w:eastAsia="方正仿宋_GBK" w:cs="方正仿宋_GBK"/>
          <w:b/>
          <w:bCs/>
          <w:color w:val="FF0000"/>
          <w:sz w:val="28"/>
          <w:szCs w:val="28"/>
        </w:rPr>
      </w:pPr>
      <w:r>
        <w:rPr>
          <w:rFonts w:hint="eastAsia" w:ascii="Times New Roman" w:hAnsi="Times New Roman" w:eastAsia="仿宋GB2312"/>
          <w:b/>
          <w:bCs/>
          <w:sz w:val="28"/>
          <w:szCs w:val="28"/>
          <w:lang w:eastAsia="zh-CN"/>
        </w:rPr>
        <w:t>（二）</w:t>
      </w:r>
      <w:r>
        <w:rPr>
          <w:rFonts w:hint="eastAsia" w:ascii="Times New Roman" w:hAnsi="Times New Roman" w:eastAsia="仿宋GB2312"/>
          <w:b/>
          <w:bCs/>
          <w:sz w:val="28"/>
          <w:szCs w:val="28"/>
        </w:rPr>
        <w:t>收费项目的名称、收费项目的标准、设定收费项目的依据、规定收费标准的依据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十、行政许可证件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审批结果类型：</w:t>
      </w:r>
      <w:r>
        <w:rPr>
          <w:rFonts w:ascii="方正仿宋_GBK" w:hAnsi="方正仿宋_GBK" w:eastAsia="方正仿宋_GBK" w:cs="方正仿宋_GBK"/>
          <w:sz w:val="28"/>
          <w:szCs w:val="28"/>
        </w:rPr>
        <w:t>批文</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（二）</w:t>
      </w:r>
      <w:r>
        <w:rPr>
          <w:rFonts w:hint="eastAsia" w:ascii="Times New Roman" w:hAnsi="Times New Roman" w:eastAsia="仿宋GB2312"/>
          <w:b/>
          <w:bCs/>
          <w:sz w:val="28"/>
          <w:szCs w:val="28"/>
        </w:rPr>
        <w:t>审批结果名称：</w:t>
      </w:r>
      <w:r>
        <w:rPr>
          <w:rFonts w:hint="eastAsia" w:ascii="方正仿宋_GBK" w:hAnsi="方正仿宋_GBK" w:eastAsia="方正仿宋_GBK" w:cs="方正仿宋_GBK"/>
          <w:sz w:val="28"/>
          <w:szCs w:val="28"/>
        </w:rPr>
        <w:t>局发文形式的行政许可决定书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（三）</w:t>
      </w:r>
      <w:r>
        <w:rPr>
          <w:rFonts w:hint="eastAsia" w:ascii="Times New Roman" w:hAnsi="Times New Roman" w:eastAsia="仿宋GB2312"/>
          <w:b/>
          <w:bCs/>
          <w:sz w:val="28"/>
          <w:szCs w:val="28"/>
        </w:rPr>
        <w:t>审批结果的有效期限：</w:t>
      </w:r>
      <w:r>
        <w:rPr>
          <w:rFonts w:hint="eastAsia" w:ascii="方正仿宋_GBK" w:hAnsi="方正仿宋_GBK" w:eastAsia="方正仿宋_GBK" w:cs="方正仿宋_GBK"/>
          <w:sz w:val="28"/>
          <w:szCs w:val="28"/>
        </w:rPr>
        <w:t>当次</w:t>
      </w:r>
    </w:p>
    <w:p>
      <w:pPr>
        <w:spacing w:line="600" w:lineRule="exact"/>
        <w:ind w:firstLine="562" w:firstLineChars="200"/>
        <w:rPr>
          <w:rFonts w:ascii="Times New Roman" w:hAnsi="Times New Roman" w:eastAsia="仿宋GB2312"/>
          <w:sz w:val="32"/>
          <w:szCs w:val="32"/>
        </w:rPr>
      </w:pPr>
      <w:r>
        <w:rPr>
          <w:rFonts w:hint="eastAsia" w:ascii="Times New Roman" w:hAnsi="Times New Roman" w:eastAsia="仿宋GB2312"/>
          <w:b/>
          <w:bCs/>
          <w:sz w:val="28"/>
          <w:szCs w:val="28"/>
          <w:lang w:eastAsia="zh-CN"/>
        </w:rPr>
        <w:t>（四）</w:t>
      </w:r>
      <w:r>
        <w:rPr>
          <w:rFonts w:hint="eastAsia" w:ascii="Times New Roman" w:hAnsi="Times New Roman" w:eastAsia="仿宋GB2312"/>
          <w:b/>
          <w:bCs/>
          <w:sz w:val="28"/>
          <w:szCs w:val="28"/>
        </w:rPr>
        <w:t>规定审批结果有效期限的依据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（五）</w:t>
      </w:r>
      <w:r>
        <w:rPr>
          <w:rFonts w:hint="eastAsia" w:ascii="Times New Roman" w:hAnsi="Times New Roman" w:eastAsia="仿宋GB2312"/>
          <w:b/>
          <w:bCs/>
          <w:sz w:val="28"/>
          <w:szCs w:val="28"/>
        </w:rPr>
        <w:t>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sz w:val="32"/>
          <w:szCs w:val="32"/>
        </w:rPr>
      </w:pPr>
      <w:r>
        <w:rPr>
          <w:rFonts w:hint="eastAsia" w:ascii="Times New Roman" w:hAnsi="Times New Roman" w:eastAsia="仿宋GB2312"/>
          <w:b/>
          <w:bCs/>
          <w:sz w:val="28"/>
          <w:szCs w:val="28"/>
          <w:lang w:eastAsia="zh-CN"/>
        </w:rPr>
        <w:t>（六）</w:t>
      </w:r>
      <w:r>
        <w:rPr>
          <w:rFonts w:hint="eastAsia" w:ascii="Times New Roman" w:hAnsi="Times New Roman" w:eastAsia="仿宋GB2312"/>
          <w:b/>
          <w:bCs/>
          <w:sz w:val="28"/>
          <w:szCs w:val="28"/>
        </w:rPr>
        <w:t>办理审批结果变更手续的要求</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（七）</w:t>
      </w:r>
      <w:r>
        <w:rPr>
          <w:rFonts w:hint="eastAsia" w:ascii="Times New Roman" w:hAnsi="Times New Roman" w:eastAsia="仿宋GB2312"/>
          <w:b/>
          <w:bCs/>
          <w:sz w:val="28"/>
          <w:szCs w:val="28"/>
        </w:rPr>
        <w:t>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sz w:val="32"/>
          <w:szCs w:val="32"/>
        </w:rPr>
      </w:pPr>
      <w:r>
        <w:rPr>
          <w:rFonts w:hint="eastAsia" w:ascii="Times New Roman" w:hAnsi="Times New Roman" w:eastAsia="仿宋GB2312"/>
          <w:b/>
          <w:bCs/>
          <w:sz w:val="28"/>
          <w:szCs w:val="28"/>
          <w:lang w:eastAsia="zh-CN"/>
        </w:rPr>
        <w:t>（八）</w:t>
      </w:r>
      <w:r>
        <w:rPr>
          <w:rFonts w:hint="eastAsia" w:ascii="Times New Roman" w:hAnsi="Times New Roman" w:eastAsia="仿宋GB2312"/>
          <w:b/>
          <w:bCs/>
          <w:sz w:val="28"/>
          <w:szCs w:val="28"/>
        </w:rPr>
        <w:t>办理审批结果延续手续的要求</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lang w:eastAsia="zh-CN"/>
        </w:rPr>
        <w:t>（九）</w:t>
      </w:r>
      <w:r>
        <w:rPr>
          <w:rFonts w:hint="eastAsia" w:ascii="Times New Roman" w:hAnsi="Times New Roman" w:eastAsia="仿宋GB2312"/>
          <w:b/>
          <w:bCs/>
          <w:sz w:val="28"/>
          <w:szCs w:val="28"/>
        </w:rPr>
        <w:t>审批结果的有效地域范围</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全国</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（十）</w:t>
      </w:r>
      <w:r>
        <w:rPr>
          <w:rFonts w:hint="eastAsia" w:ascii="Times New Roman" w:hAnsi="Times New Roman" w:eastAsia="仿宋GB2312"/>
          <w:b/>
          <w:bCs/>
          <w:sz w:val="28"/>
          <w:szCs w:val="28"/>
        </w:rPr>
        <w:t>规定审批结果有效地域范围的依据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十一、行政许可数量限制</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lang w:eastAsia="zh-CN"/>
        </w:rPr>
        <w:t>（二）</w:t>
      </w:r>
      <w:r>
        <w:rPr>
          <w:rFonts w:hint="eastAsia" w:ascii="Times New Roman" w:hAnsi="Times New Roman" w:eastAsia="仿宋GB2312"/>
          <w:b/>
          <w:bCs/>
          <w:sz w:val="28"/>
          <w:szCs w:val="28"/>
        </w:rPr>
        <w:t>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lang w:eastAsia="zh-CN"/>
        </w:rPr>
        <w:t>（三）</w:t>
      </w:r>
      <w:r>
        <w:rPr>
          <w:rFonts w:hint="eastAsia" w:ascii="Times New Roman" w:hAnsi="Times New Roman" w:eastAsia="仿宋GB2312"/>
          <w:b/>
          <w:bCs/>
          <w:sz w:val="28"/>
          <w:szCs w:val="28"/>
        </w:rPr>
        <w:t>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（四）</w:t>
      </w:r>
      <w:r>
        <w:rPr>
          <w:rFonts w:hint="eastAsia" w:ascii="Times New Roman" w:hAnsi="Times New Roman" w:eastAsia="仿宋GB2312"/>
          <w:b/>
          <w:bCs/>
          <w:sz w:val="28"/>
          <w:szCs w:val="28"/>
        </w:rPr>
        <w:t>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lang w:eastAsia="zh-CN"/>
        </w:rPr>
        <w:t>（五）</w:t>
      </w:r>
      <w:r>
        <w:rPr>
          <w:rFonts w:hint="eastAsia" w:ascii="Times New Roman" w:hAnsi="Times New Roman" w:eastAsia="仿宋GB2312"/>
          <w:b/>
          <w:bCs/>
          <w:sz w:val="28"/>
          <w:szCs w:val="28"/>
        </w:rPr>
        <w:t>规定在数量限制条件下实施行政许可方式的依据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十二、行政许可后年检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lang w:eastAsia="zh-CN"/>
        </w:rPr>
        <w:t>（二）</w:t>
      </w:r>
      <w:r>
        <w:rPr>
          <w:rFonts w:hint="eastAsia" w:ascii="Times New Roman" w:hAnsi="Times New Roman" w:eastAsia="仿宋GB2312"/>
          <w:b/>
          <w:bCs/>
          <w:sz w:val="28"/>
          <w:szCs w:val="28"/>
        </w:rPr>
        <w:t>设定年检要求的依据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lang w:eastAsia="zh-CN"/>
        </w:rPr>
        <w:t>（三）</w:t>
      </w:r>
      <w:r>
        <w:rPr>
          <w:rFonts w:hint="eastAsia" w:ascii="Times New Roman" w:hAnsi="Times New Roman" w:eastAsia="仿宋GB2312"/>
          <w:b/>
          <w:bCs/>
          <w:sz w:val="28"/>
          <w:szCs w:val="28"/>
        </w:rPr>
        <w:t>年检周期：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（四）</w:t>
      </w:r>
      <w:r>
        <w:rPr>
          <w:rFonts w:hint="eastAsia" w:ascii="Times New Roman" w:hAnsi="Times New Roman" w:eastAsia="仿宋GB2312"/>
          <w:b/>
          <w:bCs/>
          <w:sz w:val="28"/>
          <w:szCs w:val="28"/>
        </w:rPr>
        <w:t>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（五）</w:t>
      </w:r>
      <w:r>
        <w:rPr>
          <w:rFonts w:hint="eastAsia" w:ascii="Times New Roman" w:hAnsi="Times New Roman" w:eastAsia="仿宋GB2312"/>
          <w:b/>
          <w:bCs/>
          <w:sz w:val="28"/>
          <w:szCs w:val="28"/>
        </w:rPr>
        <w:t>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（六）</w:t>
      </w:r>
      <w:r>
        <w:rPr>
          <w:rFonts w:hint="eastAsia" w:ascii="Times New Roman" w:hAnsi="Times New Roman" w:eastAsia="仿宋GB2312"/>
          <w:b/>
          <w:bCs/>
          <w:sz w:val="28"/>
          <w:szCs w:val="28"/>
        </w:rPr>
        <w:t>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（七）</w:t>
      </w:r>
      <w:r>
        <w:rPr>
          <w:rFonts w:hint="eastAsia" w:ascii="Times New Roman" w:hAnsi="Times New Roman" w:eastAsia="仿宋GB2312"/>
          <w:b/>
          <w:bCs/>
          <w:sz w:val="28"/>
          <w:szCs w:val="28"/>
        </w:rPr>
        <w:t>年检收费项目的名称、年检收费项目的标准、设定年检收费项目的依据、规定年检项目收费标准的依据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lang w:eastAsia="zh-CN"/>
        </w:rPr>
        <w:t>（八）</w:t>
      </w:r>
      <w:r>
        <w:rPr>
          <w:rFonts w:hint="eastAsia" w:ascii="Times New Roman" w:hAnsi="Times New Roman" w:eastAsia="仿宋GB2312"/>
          <w:b/>
          <w:bCs/>
          <w:sz w:val="28"/>
          <w:szCs w:val="28"/>
        </w:rPr>
        <w:t>通过年检的证明或者标志：</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十三、行政许可后年报</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（一）</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（二）</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lang w:eastAsia="zh-CN"/>
        </w:rPr>
        <w:t>（三）</w:t>
      </w:r>
      <w:r>
        <w:rPr>
          <w:rFonts w:ascii="Times New Roman" w:hAnsi="Times New Roman" w:eastAsia="仿宋GB2312"/>
          <w:b/>
          <w:bCs/>
          <w:sz w:val="28"/>
          <w:szCs w:val="28"/>
        </w:rPr>
        <w:t>设定年报要求的依据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（四）</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十四、监管主体</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国家外汇</w:t>
      </w:r>
      <w:r>
        <w:rPr>
          <w:rFonts w:hint="eastAsia" w:ascii="方正仿宋_GBK" w:hAnsi="方正仿宋_GBK" w:eastAsia="方正仿宋_GBK" w:cs="方正仿宋_GBK"/>
          <w:sz w:val="28"/>
          <w:szCs w:val="28"/>
          <w:lang w:eastAsia="zh-CN"/>
        </w:rPr>
        <w:t>管理</w:t>
      </w:r>
      <w:r>
        <w:rPr>
          <w:rFonts w:hint="eastAsia" w:ascii="方正仿宋_GBK" w:hAnsi="方正仿宋_GBK" w:eastAsia="方正仿宋_GBK" w:cs="方正仿宋_GBK"/>
          <w:sz w:val="28"/>
          <w:szCs w:val="28"/>
        </w:rPr>
        <w:t>局及其分局</w:t>
      </w:r>
    </w:p>
    <w:p>
      <w:pPr>
        <w:rPr>
          <w:rFonts w:eastAsia="黑体"/>
          <w:sz w:val="28"/>
          <w:szCs w:val="28"/>
        </w:rPr>
      </w:pPr>
      <w:r>
        <w:rPr>
          <w:rFonts w:hint="eastAsia" w:eastAsia="黑体"/>
          <w:sz w:val="28"/>
          <w:szCs w:val="28"/>
          <w:lang w:val="en-US" w:eastAsia="zh-CN"/>
        </w:rPr>
        <w:t xml:space="preserve">    </w:t>
      </w:r>
      <w:r>
        <w:rPr>
          <w:rFonts w:hint="eastAsia" w:eastAsia="黑体"/>
          <w:sz w:val="28"/>
          <w:szCs w:val="28"/>
        </w:rPr>
        <w:t>十五、办理地址</w:t>
      </w:r>
    </w:p>
    <w:p>
      <w:pPr>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国家外汇管理局宁波市分局：浙江省宁波市江东北路138号金融大厦23楼2314室（资本项目处）</w:t>
      </w:r>
    </w:p>
    <w:p>
      <w:pPr>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国家外汇管理局宁波市分局北仑</w:t>
      </w:r>
      <w:r>
        <w:rPr>
          <w:rFonts w:hint="eastAsia" w:ascii="方正仿宋_GBK" w:hAnsi="方正仿宋_GBK" w:eastAsia="方正仿宋_GBK" w:cs="方正仿宋_GBK"/>
          <w:sz w:val="28"/>
          <w:szCs w:val="28"/>
          <w:lang w:eastAsia="zh-CN"/>
        </w:rPr>
        <w:t>营业管理部</w:t>
      </w:r>
      <w:r>
        <w:rPr>
          <w:rFonts w:hint="eastAsia" w:ascii="方正仿宋_GBK" w:hAnsi="方正仿宋_GBK" w:eastAsia="方正仿宋_GBK" w:cs="方正仿宋_GBK"/>
          <w:sz w:val="28"/>
          <w:szCs w:val="28"/>
        </w:rPr>
        <w:t>：浙江省宁波市北仑区明州西路185号二楼服务大厅（外汇管理科）</w:t>
      </w:r>
    </w:p>
    <w:p>
      <w:pPr>
        <w:rPr>
          <w:rFonts w:eastAsia="黑体"/>
          <w:sz w:val="28"/>
          <w:szCs w:val="28"/>
        </w:rPr>
      </w:pPr>
      <w:r>
        <w:rPr>
          <w:rFonts w:hint="eastAsia" w:eastAsia="黑体"/>
          <w:sz w:val="28"/>
          <w:szCs w:val="28"/>
          <w:lang w:val="en-US" w:eastAsia="zh-CN"/>
        </w:rPr>
        <w:t xml:space="preserve">    </w:t>
      </w:r>
      <w:r>
        <w:rPr>
          <w:rFonts w:hint="eastAsia" w:eastAsia="黑体"/>
          <w:sz w:val="28"/>
          <w:szCs w:val="28"/>
        </w:rPr>
        <w:t>十六、办公时间</w:t>
      </w:r>
    </w:p>
    <w:p>
      <w:pPr>
        <w:ind w:firstLine="560" w:firstLineChars="200"/>
        <w:rPr>
          <w:rFonts w:hint="eastAsia" w:ascii="方正仿宋_GBK" w:hAnsi="方正仿宋_GBK" w:eastAsia="方正仿宋_GBK" w:cs="方正仿宋_GBK"/>
          <w:sz w:val="28"/>
          <w:szCs w:val="28"/>
          <w:highlight w:val="none"/>
        </w:rPr>
      </w:pPr>
      <w:r>
        <w:rPr>
          <w:rFonts w:hint="eastAsia" w:ascii="方正仿宋_GBK" w:hAnsi="方正仿宋_GBK" w:eastAsia="方正仿宋_GBK" w:cs="方正仿宋_GBK"/>
          <w:sz w:val="28"/>
          <w:szCs w:val="28"/>
          <w:highlight w:val="none"/>
        </w:rPr>
        <w:t>法定工作日：5月-9月：上午8:30-11:30；下午14:00-17:30</w:t>
      </w:r>
    </w:p>
    <w:p>
      <w:pPr>
        <w:keepNext w:val="0"/>
        <w:keepLines w:val="0"/>
        <w:pageBreakBefore w:val="0"/>
        <w:widowControl w:val="0"/>
        <w:kinsoku/>
        <w:wordWrap/>
        <w:overflowPunct/>
        <w:topLinePunct w:val="0"/>
        <w:autoSpaceDE/>
        <w:autoSpaceDN/>
        <w:bidi w:val="0"/>
        <w:adjustRightInd/>
        <w:snapToGrid/>
        <w:ind w:firstLine="1400" w:firstLineChars="500"/>
        <w:jc w:val="left"/>
        <w:textAlignment w:val="auto"/>
        <w:rPr>
          <w:rFonts w:hint="eastAsia" w:ascii="方正仿宋_GBK" w:hAnsi="方正仿宋_GBK" w:eastAsia="方正仿宋_GBK" w:cs="方正仿宋_GBK"/>
          <w:sz w:val="28"/>
          <w:szCs w:val="28"/>
          <w:highlight w:val="none"/>
        </w:rPr>
      </w:pPr>
      <w:r>
        <w:rPr>
          <w:rFonts w:hint="eastAsia" w:ascii="方正仿宋_GBK" w:hAnsi="方正仿宋_GBK" w:eastAsia="方正仿宋_GBK" w:cs="方正仿宋_GBK"/>
          <w:sz w:val="28"/>
          <w:szCs w:val="28"/>
          <w:highlight w:val="none"/>
        </w:rPr>
        <w:t>10月-次年</w:t>
      </w:r>
      <w:r>
        <w:rPr>
          <w:rFonts w:hint="eastAsia" w:ascii="方正仿宋_GBK" w:hAnsi="方正仿宋_GBK" w:eastAsia="方正仿宋_GBK" w:cs="方正仿宋_GBK"/>
          <w:sz w:val="28"/>
          <w:szCs w:val="28"/>
          <w:highlight w:val="none"/>
          <w:lang w:val="en-US" w:eastAsia="zh-CN"/>
        </w:rPr>
        <w:t>4</w:t>
      </w:r>
      <w:r>
        <w:rPr>
          <w:rFonts w:hint="eastAsia" w:ascii="方正仿宋_GBK" w:hAnsi="方正仿宋_GBK" w:eastAsia="方正仿宋_GBK" w:cs="方正仿宋_GBK"/>
          <w:sz w:val="28"/>
          <w:szCs w:val="28"/>
          <w:highlight w:val="none"/>
        </w:rPr>
        <w:t>月：上午8:30-11:30；</w:t>
      </w:r>
      <w:r>
        <w:rPr>
          <w:rFonts w:hint="eastAsia" w:ascii="方正仿宋_GBK" w:hAnsi="方正仿宋_GBK" w:eastAsia="方正仿宋_GBK" w:cs="方正仿宋_GBK"/>
          <w:sz w:val="28"/>
          <w:szCs w:val="28"/>
          <w:highlight w:val="none"/>
          <w:lang w:eastAsia="zh-CN"/>
        </w:rPr>
        <w:t>下午</w:t>
      </w:r>
      <w:r>
        <w:rPr>
          <w:rFonts w:hint="eastAsia" w:ascii="方正仿宋_GBK" w:hAnsi="方正仿宋_GBK" w:eastAsia="方正仿宋_GBK" w:cs="方正仿宋_GBK"/>
          <w:sz w:val="28"/>
          <w:szCs w:val="28"/>
          <w:highlight w:val="none"/>
        </w:rPr>
        <w:t>13:30-17:00</w:t>
      </w:r>
    </w:p>
    <w:p>
      <w:pPr>
        <w:rPr>
          <w:rFonts w:eastAsia="黑体"/>
          <w:sz w:val="28"/>
          <w:szCs w:val="28"/>
        </w:rPr>
      </w:pPr>
      <w:bookmarkStart w:id="8" w:name="_GoBack"/>
      <w:bookmarkEnd w:id="8"/>
      <w:r>
        <w:rPr>
          <w:rFonts w:hint="eastAsia" w:eastAsia="黑体"/>
          <w:sz w:val="28"/>
          <w:szCs w:val="28"/>
          <w:lang w:val="en-US" w:eastAsia="zh-CN"/>
        </w:rPr>
        <w:t xml:space="preserve">    </w:t>
      </w:r>
      <w:r>
        <w:rPr>
          <w:rFonts w:hint="eastAsia" w:eastAsia="黑体"/>
          <w:sz w:val="28"/>
          <w:szCs w:val="28"/>
        </w:rPr>
        <w:t>十七、咨询途径</w:t>
      </w:r>
    </w:p>
    <w:p>
      <w:pPr>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国家外汇管理局</w:t>
      </w:r>
      <w:r>
        <w:rPr>
          <w:rFonts w:hint="eastAsia" w:ascii="方正仿宋_GBK" w:hAnsi="方正仿宋_GBK" w:eastAsia="方正仿宋_GBK" w:cs="方正仿宋_GBK"/>
          <w:sz w:val="28"/>
          <w:szCs w:val="28"/>
        </w:rPr>
        <w:t>宁波市分局资本项目处，咨询</w:t>
      </w:r>
      <w:r>
        <w:rPr>
          <w:rFonts w:ascii="方正仿宋_GBK" w:hAnsi="方正仿宋_GBK" w:eastAsia="方正仿宋_GBK" w:cs="方正仿宋_GBK"/>
          <w:sz w:val="28"/>
          <w:szCs w:val="28"/>
        </w:rPr>
        <w:t>电话</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（0</w:t>
      </w:r>
      <w:r>
        <w:rPr>
          <w:rFonts w:hint="eastAsia" w:ascii="方正仿宋_GBK" w:hAnsi="方正仿宋_GBK" w:eastAsia="方正仿宋_GBK" w:cs="方正仿宋_GBK"/>
          <w:sz w:val="28"/>
          <w:szCs w:val="28"/>
        </w:rPr>
        <w:t>574</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87058258、87058286</w:t>
      </w:r>
    </w:p>
    <w:p>
      <w:pPr>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国家外汇管理局宁波市分局北仑</w:t>
      </w:r>
      <w:r>
        <w:rPr>
          <w:rFonts w:hint="eastAsia" w:ascii="方正仿宋_GBK" w:hAnsi="方正仿宋_GBK" w:eastAsia="方正仿宋_GBK" w:cs="方正仿宋_GBK"/>
          <w:sz w:val="28"/>
          <w:szCs w:val="28"/>
          <w:lang w:eastAsia="zh-CN"/>
        </w:rPr>
        <w:t>营业管理部</w:t>
      </w:r>
      <w:r>
        <w:rPr>
          <w:rFonts w:hint="eastAsia" w:ascii="方正仿宋_GBK" w:hAnsi="方正仿宋_GBK" w:eastAsia="方正仿宋_GBK" w:cs="方正仿宋_GBK"/>
          <w:sz w:val="28"/>
          <w:szCs w:val="28"/>
        </w:rPr>
        <w:t>外汇管理科，咨询电话：（0574）86221936、86221822</w:t>
      </w:r>
    </w:p>
    <w:p>
      <w:pPr>
        <w:rPr>
          <w:rFonts w:eastAsia="黑体"/>
          <w:sz w:val="28"/>
          <w:szCs w:val="28"/>
        </w:rPr>
      </w:pPr>
      <w:r>
        <w:rPr>
          <w:rFonts w:hint="eastAsia" w:eastAsia="黑体"/>
          <w:sz w:val="28"/>
          <w:szCs w:val="28"/>
          <w:lang w:val="en-US" w:eastAsia="zh-CN"/>
        </w:rPr>
        <w:t xml:space="preserve">    </w:t>
      </w:r>
      <w:r>
        <w:rPr>
          <w:rFonts w:hint="eastAsia" w:eastAsia="黑体"/>
          <w:sz w:val="28"/>
          <w:szCs w:val="28"/>
        </w:rPr>
        <w:t>十八、监督投诉渠道</w:t>
      </w:r>
    </w:p>
    <w:p>
      <w:pPr>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中国人民银行宁波市分行：（0574）87</w:t>
      </w:r>
      <w:r>
        <w:rPr>
          <w:rFonts w:hint="eastAsia" w:ascii="方正仿宋_GBK" w:hAnsi="方正仿宋_GBK" w:eastAsia="方正仿宋_GBK" w:cs="方正仿宋_GBK"/>
          <w:sz w:val="28"/>
          <w:szCs w:val="28"/>
          <w:lang w:val="en-US" w:eastAsia="zh-CN"/>
        </w:rPr>
        <w:t>337569</w:t>
      </w:r>
    </w:p>
    <w:p>
      <w:pPr>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中国人民银行</w:t>
      </w:r>
      <w:r>
        <w:rPr>
          <w:rFonts w:hint="eastAsia" w:ascii="方正仿宋_GBK" w:hAnsi="方正仿宋_GBK" w:eastAsia="方正仿宋_GBK" w:cs="方正仿宋_GBK"/>
          <w:sz w:val="28"/>
          <w:szCs w:val="28"/>
          <w:lang w:eastAsia="zh-CN"/>
        </w:rPr>
        <w:t>宁波市分行</w:t>
      </w:r>
      <w:r>
        <w:rPr>
          <w:rFonts w:hint="eastAsia" w:ascii="方正仿宋_GBK" w:hAnsi="方正仿宋_GBK" w:eastAsia="方正仿宋_GBK" w:cs="方正仿宋_GBK"/>
          <w:sz w:val="28"/>
          <w:szCs w:val="28"/>
        </w:rPr>
        <w:t>北仑</w:t>
      </w:r>
      <w:r>
        <w:rPr>
          <w:rFonts w:hint="eastAsia" w:ascii="方正仿宋_GBK" w:hAnsi="方正仿宋_GBK" w:eastAsia="方正仿宋_GBK" w:cs="方正仿宋_GBK"/>
          <w:sz w:val="28"/>
          <w:szCs w:val="28"/>
          <w:lang w:eastAsia="zh-CN"/>
        </w:rPr>
        <w:t>营业管理部</w:t>
      </w:r>
      <w:r>
        <w:rPr>
          <w:rFonts w:hint="eastAsia" w:ascii="方正仿宋_GBK" w:hAnsi="方正仿宋_GBK" w:eastAsia="方正仿宋_GBK" w:cs="方正仿宋_GBK"/>
          <w:sz w:val="28"/>
          <w:szCs w:val="28"/>
        </w:rPr>
        <w:t>：（0574）86221807</w:t>
      </w:r>
    </w:p>
    <w:p>
      <w:pPr>
        <w:spacing w:line="540" w:lineRule="exact"/>
        <w:outlineLvl w:val="1"/>
      </w:pPr>
    </w:p>
    <w:p>
      <w:pPr>
        <w:widowControl/>
        <w:jc w:val="left"/>
      </w:pPr>
      <w:r>
        <w:br w:type="page"/>
      </w:r>
    </w:p>
    <w:p>
      <w:pPr>
        <w:ind w:left="567" w:right="300" w:hanging="567" w:hangingChars="189"/>
        <w:jc w:val="center"/>
        <w:rPr>
          <w:rFonts w:ascii="Times New Roman" w:hAnsi="Times New Roman" w:eastAsia="黑体"/>
          <w:sz w:val="30"/>
          <w:szCs w:val="30"/>
        </w:rPr>
      </w:pPr>
      <w:r>
        <w:rPr>
          <w:rFonts w:ascii="Times New Roman" w:hAnsi="Times New Roman" w:eastAsia="黑体"/>
          <w:sz w:val="30"/>
          <w:szCs w:val="30"/>
        </w:rPr>
        <w:t>基本流程图</w:t>
      </w:r>
    </w:p>
    <w:p>
      <w:pPr>
        <w:ind w:left="567" w:right="300" w:hanging="567" w:hangingChars="189"/>
        <w:jc w:val="center"/>
        <w:rPr>
          <w:rFonts w:ascii="Times New Roman" w:hAnsi="Times New Roman" w:eastAsia="黑体"/>
          <w:sz w:val="30"/>
          <w:szCs w:val="30"/>
        </w:rPr>
      </w:pPr>
    </w:p>
    <w:p>
      <w:pPr>
        <w:ind w:left="567" w:right="300" w:hanging="567" w:hangingChars="189"/>
        <w:jc w:val="center"/>
        <w:rPr>
          <w:rFonts w:ascii="Times New Roman" w:hAnsi="Times New Roman" w:eastAsia="黑体"/>
          <w:sz w:val="30"/>
          <w:szCs w:val="30"/>
        </w:rPr>
      </w:pPr>
      <w:r>
        <w:rPr>
          <w:rFonts w:ascii="Times New Roman" w:hAnsi="Times New Roman" w:eastAsia="黑体" w:cs="Times New Roman"/>
          <w:kern w:val="2"/>
          <w:sz w:val="30"/>
          <w:szCs w:val="30"/>
          <w:lang w:val="en-US" w:eastAsia="zh-CN" w:bidi="ar-SA"/>
        </w:rPr>
        <w:pict>
          <v:shape id="_x0000_i1025" o:spt="75" type="#_x0000_t75" style="height:544.7pt;width:415.3pt;" fillcolor="#FFFFFF" filled="f" o:preferrelative="t" stroked="f" coordsize="21600,21600">
            <v:path/>
            <v:fill on="f" color2="#FFFFFF" focussize="0,0"/>
            <v:stroke on="f"/>
            <v:imagedata r:id="rId4" gain="65536f" blacklevel="0f" gamma="0" o:title=""/>
            <o:lock v:ext="edit" position="f" selection="f" grouping="f" rotation="f" cropping="f" text="f" aspectratio="t"/>
            <w10:wrap type="none"/>
            <w10:anchorlock/>
          </v:shape>
        </w:pict>
      </w:r>
    </w:p>
    <w:p>
      <w:pPr>
        <w:widowControl/>
        <w:jc w:val="left"/>
        <w:rPr>
          <w:rFonts w:ascii="Times New Roman" w:hAnsi="Times New Roman" w:eastAsia="黑体"/>
          <w:sz w:val="30"/>
          <w:szCs w:val="30"/>
        </w:rPr>
      </w:pPr>
      <w:r>
        <w:rPr>
          <w:rFonts w:ascii="Times New Roman" w:hAnsi="Times New Roman" w:eastAsia="黑体"/>
          <w:sz w:val="30"/>
          <w:szCs w:val="30"/>
        </w:rPr>
        <w:br w:type="page"/>
      </w:r>
    </w:p>
    <w:p>
      <w:pPr>
        <w:jc w:val="center"/>
        <w:rPr>
          <w:rFonts w:ascii="黑体" w:hAnsi="黑体" w:eastAsia="黑体"/>
          <w:sz w:val="30"/>
          <w:szCs w:val="30"/>
        </w:rPr>
      </w:pPr>
      <w:bookmarkStart w:id="0" w:name="_Toc487492190"/>
      <w:bookmarkStart w:id="1" w:name="_Toc485285487"/>
      <w:bookmarkStart w:id="2" w:name="_Toc6367"/>
      <w:bookmarkStart w:id="3" w:name="_Toc492328432"/>
      <w:bookmarkStart w:id="4" w:name="_Toc495992549"/>
      <w:bookmarkStart w:id="5" w:name="_Toc20679"/>
      <w:bookmarkStart w:id="6" w:name="_Toc420333818"/>
      <w:bookmarkStart w:id="7" w:name="_Toc428779978"/>
      <w:r>
        <w:rPr>
          <w:rFonts w:hint="eastAsia" w:ascii="黑体" w:hAnsi="黑体" w:eastAsia="黑体"/>
          <w:sz w:val="30"/>
          <w:szCs w:val="30"/>
        </w:rPr>
        <w:t>境内非银行金融机构外汇业务备案表</w:t>
      </w:r>
      <w:bookmarkEnd w:id="0"/>
      <w:bookmarkEnd w:id="1"/>
      <w:bookmarkEnd w:id="2"/>
      <w:bookmarkEnd w:id="3"/>
      <w:bookmarkEnd w:id="4"/>
    </w:p>
    <w:p>
      <w:pPr>
        <w:spacing w:line="320" w:lineRule="exact"/>
        <w:rPr>
          <w:rFonts w:ascii="宋体" w:hAnsi="宋体"/>
          <w:b/>
          <w:bCs/>
          <w:sz w:val="30"/>
          <w:szCs w:val="30"/>
        </w:rPr>
      </w:pPr>
      <w:r>
        <w:rPr>
          <w:rFonts w:hint="eastAsia" w:ascii="宋体" w:hAnsi="宋体"/>
          <w:sz w:val="24"/>
        </w:rPr>
        <w:t>备案日期：    年   月   日              编号（外汇局填写）：</w:t>
      </w:r>
    </w:p>
    <w:tbl>
      <w:tblPr>
        <w:tblStyle w:val="5"/>
        <w:tblW w:w="983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758"/>
        <w:gridCol w:w="681"/>
        <w:gridCol w:w="709"/>
        <w:gridCol w:w="1133"/>
        <w:gridCol w:w="28"/>
        <w:gridCol w:w="55"/>
        <w:gridCol w:w="892"/>
        <w:gridCol w:w="1133"/>
        <w:gridCol w:w="46"/>
        <w:gridCol w:w="142"/>
        <w:gridCol w:w="1134"/>
        <w:gridCol w:w="72"/>
        <w:gridCol w:w="212"/>
        <w:gridCol w:w="1383"/>
        <w:gridCol w:w="45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454" w:hRule="exact"/>
          <w:jc w:val="center"/>
        </w:trPr>
        <w:tc>
          <w:tcPr>
            <w:tcW w:w="9378" w:type="dxa"/>
            <w:gridSpan w:val="14"/>
            <w:tcBorders>
              <w:top w:val="single" w:color="auto" w:sz="4" w:space="0"/>
              <w:left w:val="single" w:color="auto" w:sz="4" w:space="0"/>
              <w:bottom w:val="single" w:color="auto" w:sz="4" w:space="0"/>
              <w:right w:val="single" w:color="000000" w:sz="4" w:space="0"/>
            </w:tcBorders>
            <w:vAlign w:val="center"/>
          </w:tcPr>
          <w:p>
            <w:pPr>
              <w:spacing w:line="320" w:lineRule="exact"/>
              <w:rPr>
                <w:rFonts w:ascii="宋体" w:hAnsi="宋体"/>
                <w:b/>
                <w:sz w:val="24"/>
              </w:rPr>
            </w:pPr>
            <w:r>
              <w:rPr>
                <w:rFonts w:hint="eastAsia" w:ascii="宋体" w:hAnsi="宋体"/>
                <w:b/>
                <w:sz w:val="24"/>
              </w:rPr>
              <w:t>一、机构基本信息</w:t>
            </w:r>
          </w:p>
        </w:tc>
        <w:tc>
          <w:tcPr>
            <w:tcW w:w="457" w:type="dxa"/>
            <w:vMerge w:val="restart"/>
            <w:tcBorders>
              <w:top w:val="nil"/>
              <w:left w:val="single" w:color="auto" w:sz="4" w:space="0"/>
              <w:bottom w:val="nil"/>
              <w:right w:val="nil"/>
            </w:tcBorders>
            <w:vAlign w:val="center"/>
          </w:tcPr>
          <w:p>
            <w:pPr>
              <w:spacing w:line="320" w:lineRule="exact"/>
              <w:jc w:val="center"/>
              <w:rPr>
                <w:rFonts w:ascii="宋体" w:hAnsi="宋体"/>
                <w:b/>
                <w:sz w:val="24"/>
              </w:rPr>
            </w:pPr>
            <w:r>
              <w:rPr>
                <w:rFonts w:hint="eastAsia" w:ascii="宋体" w:hAnsi="宋体"/>
                <w:b/>
                <w:sz w:val="24"/>
              </w:rPr>
              <w:t>第一联</w:t>
            </w:r>
          </w:p>
          <w:p>
            <w:pPr>
              <w:spacing w:line="320" w:lineRule="exact"/>
              <w:jc w:val="center"/>
              <w:rPr>
                <w:rFonts w:ascii="宋体" w:hAnsi="宋体"/>
                <w:b/>
                <w:sz w:val="24"/>
              </w:rPr>
            </w:pPr>
          </w:p>
          <w:p>
            <w:pPr>
              <w:spacing w:line="320" w:lineRule="exact"/>
              <w:jc w:val="center"/>
              <w:rPr>
                <w:rFonts w:ascii="宋体" w:hAnsi="宋体"/>
                <w:b/>
                <w:sz w:val="24"/>
              </w:rPr>
            </w:pPr>
            <w:r>
              <w:rPr>
                <w:rFonts w:hint="eastAsia" w:ascii="宋体" w:hAnsi="宋体"/>
                <w:b/>
                <w:sz w:val="24"/>
              </w:rPr>
              <w:t>外汇局留存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454" w:hRule="exact"/>
          <w:jc w:val="center"/>
        </w:trPr>
        <w:tc>
          <w:tcPr>
            <w:tcW w:w="1758" w:type="dxa"/>
            <w:tcBorders>
              <w:top w:val="nil"/>
              <w:left w:val="single" w:color="auto" w:sz="4" w:space="0"/>
              <w:bottom w:val="single" w:color="auto" w:sz="4" w:space="0"/>
              <w:right w:val="single" w:color="auto" w:sz="4" w:space="0"/>
            </w:tcBorders>
            <w:vAlign w:val="center"/>
          </w:tcPr>
          <w:p>
            <w:pPr>
              <w:spacing w:line="320" w:lineRule="exact"/>
              <w:jc w:val="center"/>
              <w:rPr>
                <w:rFonts w:ascii="宋体" w:hAnsi="宋体"/>
                <w:sz w:val="24"/>
              </w:rPr>
            </w:pPr>
            <w:r>
              <w:rPr>
                <w:rFonts w:hint="eastAsia" w:ascii="宋体" w:hAnsi="宋体"/>
                <w:sz w:val="24"/>
              </w:rPr>
              <w:t>机构名称</w:t>
            </w:r>
          </w:p>
        </w:tc>
        <w:tc>
          <w:tcPr>
            <w:tcW w:w="4677" w:type="dxa"/>
            <w:gridSpan w:val="8"/>
            <w:tcBorders>
              <w:top w:val="single" w:color="auto" w:sz="4" w:space="0"/>
              <w:left w:val="nil"/>
              <w:bottom w:val="single" w:color="auto" w:sz="4" w:space="0"/>
              <w:right w:val="single" w:color="000000" w:sz="4" w:space="0"/>
            </w:tcBorders>
            <w:vAlign w:val="center"/>
          </w:tcPr>
          <w:p>
            <w:pPr>
              <w:spacing w:line="320" w:lineRule="exact"/>
              <w:jc w:val="center"/>
              <w:rPr>
                <w:rFonts w:ascii="宋体" w:hAnsi="宋体"/>
                <w:sz w:val="24"/>
              </w:rPr>
            </w:pPr>
          </w:p>
        </w:tc>
        <w:tc>
          <w:tcPr>
            <w:tcW w:w="1276" w:type="dxa"/>
            <w:gridSpan w:val="2"/>
            <w:tcBorders>
              <w:top w:val="single" w:color="auto" w:sz="4" w:space="0"/>
              <w:left w:val="nil"/>
              <w:bottom w:val="single" w:color="auto" w:sz="4" w:space="0"/>
              <w:right w:val="single" w:color="000000" w:sz="4" w:space="0"/>
            </w:tcBorders>
            <w:vAlign w:val="center"/>
          </w:tcPr>
          <w:p>
            <w:pPr>
              <w:spacing w:line="320" w:lineRule="exact"/>
              <w:jc w:val="center"/>
              <w:rPr>
                <w:rFonts w:ascii="宋体" w:hAnsi="宋体"/>
                <w:sz w:val="24"/>
              </w:rPr>
            </w:pPr>
            <w:r>
              <w:rPr>
                <w:rFonts w:hint="eastAsia" w:ascii="宋体" w:hAnsi="宋体"/>
                <w:sz w:val="24"/>
              </w:rPr>
              <w:t>成立时间</w:t>
            </w:r>
          </w:p>
        </w:tc>
        <w:tc>
          <w:tcPr>
            <w:tcW w:w="1667" w:type="dxa"/>
            <w:gridSpan w:val="3"/>
            <w:tcBorders>
              <w:top w:val="nil"/>
              <w:left w:val="nil"/>
              <w:bottom w:val="single" w:color="auto" w:sz="4" w:space="0"/>
              <w:right w:val="single" w:color="000000" w:sz="4" w:space="0"/>
            </w:tcBorders>
            <w:vAlign w:val="center"/>
          </w:tcPr>
          <w:p>
            <w:pPr>
              <w:spacing w:line="320" w:lineRule="exact"/>
              <w:jc w:val="center"/>
              <w:rPr>
                <w:rFonts w:ascii="宋体" w:hAnsi="宋体"/>
                <w:sz w:val="24"/>
              </w:rPr>
            </w:pPr>
          </w:p>
        </w:tc>
        <w:tc>
          <w:tcPr>
            <w:tcW w:w="457" w:type="dxa"/>
            <w:vMerge w:val="continue"/>
            <w:tcBorders>
              <w:top w:val="nil"/>
              <w:left w:val="single" w:color="000000" w:sz="4" w:space="0"/>
              <w:bottom w:val="nil"/>
              <w:right w:val="nil"/>
            </w:tcBorders>
            <w:vAlign w:val="top"/>
          </w:tcPr>
          <w:p>
            <w:pPr>
              <w:spacing w:line="320" w:lineRule="exact"/>
              <w:jc w:val="center"/>
              <w:rPr>
                <w:rFonts w:ascii="宋体" w:hAnsi="宋体"/>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391" w:hRule="atLeast"/>
          <w:jc w:val="center"/>
        </w:trPr>
        <w:tc>
          <w:tcPr>
            <w:tcW w:w="1758" w:type="dxa"/>
            <w:tcBorders>
              <w:top w:val="nil"/>
              <w:left w:val="single" w:color="auto" w:sz="4" w:space="0"/>
              <w:bottom w:val="single" w:color="auto" w:sz="4" w:space="0"/>
              <w:right w:val="single" w:color="auto" w:sz="4" w:space="0"/>
            </w:tcBorders>
            <w:vAlign w:val="center"/>
          </w:tcPr>
          <w:p>
            <w:pPr>
              <w:spacing w:line="320" w:lineRule="exact"/>
              <w:jc w:val="center"/>
              <w:rPr>
                <w:rFonts w:ascii="宋体" w:hAnsi="宋体"/>
                <w:sz w:val="24"/>
              </w:rPr>
            </w:pPr>
            <w:r>
              <w:rPr>
                <w:rFonts w:hint="eastAsia" w:ascii="宋体" w:hAnsi="宋体"/>
                <w:sz w:val="24"/>
              </w:rPr>
              <w:t>通讯地址</w:t>
            </w:r>
          </w:p>
          <w:p>
            <w:pPr>
              <w:spacing w:line="320" w:lineRule="exact"/>
              <w:jc w:val="center"/>
              <w:rPr>
                <w:rFonts w:ascii="宋体" w:hAnsi="宋体"/>
                <w:sz w:val="24"/>
              </w:rPr>
            </w:pPr>
            <w:r>
              <w:rPr>
                <w:rFonts w:hint="eastAsia" w:ascii="宋体" w:hAnsi="宋体"/>
                <w:sz w:val="24"/>
              </w:rPr>
              <w:t>及邮编</w:t>
            </w:r>
          </w:p>
        </w:tc>
        <w:tc>
          <w:tcPr>
            <w:tcW w:w="4677" w:type="dxa"/>
            <w:gridSpan w:val="8"/>
            <w:tcBorders>
              <w:top w:val="single" w:color="auto" w:sz="4" w:space="0"/>
              <w:left w:val="nil"/>
              <w:bottom w:val="single" w:color="auto" w:sz="4" w:space="0"/>
              <w:right w:val="single" w:color="000000" w:sz="4" w:space="0"/>
            </w:tcBorders>
            <w:vAlign w:val="center"/>
          </w:tcPr>
          <w:p>
            <w:pPr>
              <w:spacing w:line="320" w:lineRule="exact"/>
              <w:jc w:val="center"/>
              <w:rPr>
                <w:rFonts w:ascii="宋体" w:hAnsi="宋体"/>
                <w:sz w:val="24"/>
              </w:rPr>
            </w:pPr>
          </w:p>
        </w:tc>
        <w:tc>
          <w:tcPr>
            <w:tcW w:w="1276" w:type="dxa"/>
            <w:gridSpan w:val="2"/>
            <w:tcBorders>
              <w:top w:val="single" w:color="auto" w:sz="4" w:space="0"/>
              <w:left w:val="nil"/>
              <w:bottom w:val="single" w:color="auto" w:sz="4" w:space="0"/>
              <w:right w:val="single" w:color="000000" w:sz="4" w:space="0"/>
            </w:tcBorders>
            <w:vAlign w:val="center"/>
          </w:tcPr>
          <w:p>
            <w:pPr>
              <w:spacing w:line="320" w:lineRule="exact"/>
              <w:jc w:val="center"/>
              <w:rPr>
                <w:rFonts w:ascii="宋体" w:hAnsi="宋体"/>
                <w:sz w:val="24"/>
              </w:rPr>
            </w:pPr>
            <w:r>
              <w:rPr>
                <w:rFonts w:hint="eastAsia" w:ascii="宋体" w:hAnsi="宋体"/>
                <w:sz w:val="24"/>
              </w:rPr>
              <w:t>注册地</w:t>
            </w:r>
          </w:p>
        </w:tc>
        <w:tc>
          <w:tcPr>
            <w:tcW w:w="1667" w:type="dxa"/>
            <w:gridSpan w:val="3"/>
            <w:tcBorders>
              <w:top w:val="nil"/>
              <w:left w:val="nil"/>
              <w:bottom w:val="single" w:color="auto" w:sz="4" w:space="0"/>
              <w:right w:val="single" w:color="000000" w:sz="4" w:space="0"/>
            </w:tcBorders>
            <w:vAlign w:val="center"/>
          </w:tcPr>
          <w:p>
            <w:pPr>
              <w:spacing w:line="320" w:lineRule="exact"/>
              <w:jc w:val="center"/>
              <w:rPr>
                <w:rFonts w:ascii="宋体" w:hAnsi="宋体"/>
                <w:sz w:val="24"/>
              </w:rPr>
            </w:pPr>
          </w:p>
        </w:tc>
        <w:tc>
          <w:tcPr>
            <w:tcW w:w="457" w:type="dxa"/>
            <w:vMerge w:val="continue"/>
            <w:tcBorders>
              <w:top w:val="nil"/>
              <w:left w:val="single" w:color="000000" w:sz="4" w:space="0"/>
              <w:bottom w:val="nil"/>
              <w:right w:val="nil"/>
            </w:tcBorders>
            <w:vAlign w:val="top"/>
          </w:tcPr>
          <w:p>
            <w:pPr>
              <w:spacing w:line="320" w:lineRule="exact"/>
              <w:jc w:val="center"/>
              <w:rPr>
                <w:rFonts w:ascii="宋体" w:hAnsi="宋体"/>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694" w:hRule="atLeast"/>
          <w:jc w:val="center"/>
        </w:trPr>
        <w:tc>
          <w:tcPr>
            <w:tcW w:w="1758" w:type="dxa"/>
            <w:tcBorders>
              <w:top w:val="nil"/>
              <w:left w:val="single" w:color="auto" w:sz="4" w:space="0"/>
              <w:bottom w:val="single" w:color="auto" w:sz="4" w:space="0"/>
              <w:right w:val="single" w:color="auto" w:sz="4" w:space="0"/>
            </w:tcBorders>
            <w:vAlign w:val="center"/>
          </w:tcPr>
          <w:p>
            <w:pPr>
              <w:spacing w:line="320" w:lineRule="exact"/>
              <w:jc w:val="center"/>
              <w:rPr>
                <w:rFonts w:ascii="宋体" w:hAnsi="宋体"/>
                <w:sz w:val="24"/>
              </w:rPr>
            </w:pPr>
            <w:r>
              <w:rPr>
                <w:rFonts w:hint="eastAsia" w:ascii="宋体" w:hAnsi="宋体"/>
                <w:sz w:val="24"/>
              </w:rPr>
              <w:t>统一社会信用代码</w:t>
            </w:r>
            <w:r>
              <w:rPr>
                <w:rFonts w:ascii="宋体" w:hAnsi="宋体"/>
                <w:sz w:val="24"/>
              </w:rPr>
              <w:t>/</w:t>
            </w:r>
            <w:r>
              <w:rPr>
                <w:rFonts w:hint="eastAsia" w:ascii="宋体" w:hAnsi="宋体"/>
                <w:sz w:val="24"/>
              </w:rPr>
              <w:t>金融机构标识码</w:t>
            </w:r>
          </w:p>
        </w:tc>
        <w:tc>
          <w:tcPr>
            <w:tcW w:w="1390" w:type="dxa"/>
            <w:gridSpan w:val="2"/>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sz w:val="24"/>
              </w:rPr>
            </w:pPr>
          </w:p>
        </w:tc>
        <w:tc>
          <w:tcPr>
            <w:tcW w:w="11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sz w:val="24"/>
              </w:rPr>
            </w:pPr>
            <w:r>
              <w:rPr>
                <w:rFonts w:hint="eastAsia" w:ascii="宋体" w:hAnsi="宋体"/>
                <w:sz w:val="24"/>
              </w:rPr>
              <w:t>注册资本</w:t>
            </w:r>
            <w:r>
              <w:rPr>
                <w:rFonts w:ascii="宋体" w:hAnsi="宋体"/>
                <w:sz w:val="24"/>
              </w:rPr>
              <w:t>（</w:t>
            </w:r>
            <w:r>
              <w:rPr>
                <w:rFonts w:hint="eastAsia" w:ascii="宋体" w:hAnsi="宋体"/>
                <w:sz w:val="24"/>
              </w:rPr>
              <w:t>亿元</w:t>
            </w:r>
            <w:r>
              <w:rPr>
                <w:rFonts w:ascii="宋体" w:hAnsi="宋体"/>
                <w:sz w:val="24"/>
              </w:rPr>
              <w:t>）</w:t>
            </w:r>
          </w:p>
        </w:tc>
        <w:tc>
          <w:tcPr>
            <w:tcW w:w="2154" w:type="dxa"/>
            <w:gridSpan w:val="5"/>
            <w:tcBorders>
              <w:top w:val="single" w:color="auto" w:sz="4" w:space="0"/>
              <w:left w:val="single" w:color="auto" w:sz="4" w:space="0"/>
              <w:bottom w:val="single" w:color="auto" w:sz="4" w:space="0"/>
              <w:right w:val="nil"/>
            </w:tcBorders>
            <w:vAlign w:val="center"/>
          </w:tcPr>
          <w:p>
            <w:pPr>
              <w:spacing w:line="320" w:lineRule="exact"/>
              <w:jc w:val="center"/>
              <w:rPr>
                <w:rFonts w:ascii="宋体" w:hAnsi="宋体"/>
                <w:sz w:val="24"/>
              </w:rPr>
            </w:pPr>
          </w:p>
        </w:tc>
        <w:tc>
          <w:tcPr>
            <w:tcW w:w="1276" w:type="dxa"/>
            <w:gridSpan w:val="2"/>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宋体" w:hAnsi="宋体"/>
                <w:sz w:val="24"/>
              </w:rPr>
            </w:pPr>
            <w:r>
              <w:rPr>
                <w:rFonts w:hint="eastAsia" w:ascii="宋体" w:hAnsi="宋体"/>
                <w:sz w:val="24"/>
              </w:rPr>
              <w:t>实收资本（亿元）</w:t>
            </w:r>
          </w:p>
        </w:tc>
        <w:tc>
          <w:tcPr>
            <w:tcW w:w="1667" w:type="dxa"/>
            <w:gridSpan w:val="3"/>
            <w:tcBorders>
              <w:top w:val="nil"/>
              <w:left w:val="nil"/>
              <w:bottom w:val="single" w:color="auto" w:sz="4" w:space="0"/>
              <w:right w:val="single" w:color="000000" w:sz="4" w:space="0"/>
            </w:tcBorders>
            <w:vAlign w:val="center"/>
          </w:tcPr>
          <w:p>
            <w:pPr>
              <w:spacing w:line="320" w:lineRule="exact"/>
              <w:jc w:val="center"/>
              <w:rPr>
                <w:rFonts w:ascii="宋体" w:hAnsi="宋体"/>
                <w:sz w:val="24"/>
              </w:rPr>
            </w:pPr>
          </w:p>
        </w:tc>
        <w:tc>
          <w:tcPr>
            <w:tcW w:w="457" w:type="dxa"/>
            <w:vMerge w:val="continue"/>
            <w:tcBorders>
              <w:top w:val="nil"/>
              <w:left w:val="single" w:color="000000" w:sz="4" w:space="0"/>
              <w:bottom w:val="nil"/>
              <w:right w:val="nil"/>
            </w:tcBorders>
            <w:vAlign w:val="top"/>
          </w:tcPr>
          <w:p>
            <w:pPr>
              <w:spacing w:line="320" w:lineRule="exact"/>
              <w:jc w:val="center"/>
              <w:rPr>
                <w:rFonts w:ascii="宋体" w:hAnsi="宋体"/>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725" w:hRule="exact"/>
          <w:jc w:val="center"/>
        </w:trPr>
        <w:tc>
          <w:tcPr>
            <w:tcW w:w="1758" w:type="dxa"/>
            <w:tcBorders>
              <w:top w:val="nil"/>
              <w:left w:val="single" w:color="auto" w:sz="4" w:space="0"/>
              <w:bottom w:val="single" w:color="auto" w:sz="4" w:space="0"/>
              <w:right w:val="single" w:color="auto" w:sz="4" w:space="0"/>
            </w:tcBorders>
            <w:vAlign w:val="center"/>
          </w:tcPr>
          <w:p>
            <w:pPr>
              <w:spacing w:line="320" w:lineRule="exact"/>
              <w:jc w:val="center"/>
              <w:rPr>
                <w:rFonts w:ascii="宋体" w:hAnsi="宋体"/>
                <w:sz w:val="24"/>
              </w:rPr>
            </w:pPr>
            <w:r>
              <w:rPr>
                <w:rFonts w:hint="eastAsia" w:ascii="宋体" w:hAnsi="宋体"/>
                <w:sz w:val="24"/>
              </w:rPr>
              <w:t>联系人</w:t>
            </w:r>
          </w:p>
        </w:tc>
        <w:tc>
          <w:tcPr>
            <w:tcW w:w="681" w:type="dxa"/>
            <w:tcBorders>
              <w:top w:val="single" w:color="auto" w:sz="4" w:space="0"/>
              <w:left w:val="nil"/>
              <w:bottom w:val="single" w:color="auto" w:sz="4" w:space="0"/>
              <w:right w:val="single" w:color="000000" w:sz="4" w:space="0"/>
            </w:tcBorders>
            <w:vAlign w:val="center"/>
          </w:tcPr>
          <w:p>
            <w:pPr>
              <w:spacing w:line="320" w:lineRule="exact"/>
              <w:jc w:val="center"/>
              <w:rPr>
                <w:rFonts w:ascii="宋体" w:hAnsi="宋体"/>
                <w:sz w:val="24"/>
              </w:rPr>
            </w:pPr>
          </w:p>
        </w:tc>
        <w:tc>
          <w:tcPr>
            <w:tcW w:w="709" w:type="dxa"/>
            <w:tcBorders>
              <w:top w:val="single" w:color="auto" w:sz="4" w:space="0"/>
              <w:left w:val="nil"/>
              <w:bottom w:val="single" w:color="auto" w:sz="4" w:space="0"/>
              <w:right w:val="single" w:color="000000" w:sz="4" w:space="0"/>
            </w:tcBorders>
            <w:vAlign w:val="center"/>
          </w:tcPr>
          <w:p>
            <w:pPr>
              <w:spacing w:line="320" w:lineRule="exact"/>
              <w:jc w:val="center"/>
              <w:rPr>
                <w:rFonts w:ascii="宋体" w:hAnsi="宋体"/>
                <w:sz w:val="24"/>
              </w:rPr>
            </w:pPr>
            <w:r>
              <w:rPr>
                <w:rFonts w:hint="eastAsia" w:ascii="宋体" w:hAnsi="宋体"/>
                <w:sz w:val="24"/>
              </w:rPr>
              <w:t>联系电话</w:t>
            </w:r>
          </w:p>
        </w:tc>
        <w:tc>
          <w:tcPr>
            <w:tcW w:w="1133" w:type="dxa"/>
            <w:tcBorders>
              <w:top w:val="single" w:color="auto" w:sz="4" w:space="0"/>
              <w:left w:val="nil"/>
              <w:bottom w:val="single" w:color="auto" w:sz="4" w:space="0"/>
              <w:right w:val="single" w:color="000000" w:sz="4" w:space="0"/>
            </w:tcBorders>
            <w:vAlign w:val="center"/>
          </w:tcPr>
          <w:p>
            <w:pPr>
              <w:spacing w:line="320" w:lineRule="exact"/>
              <w:jc w:val="center"/>
              <w:rPr>
                <w:rFonts w:ascii="宋体" w:hAnsi="宋体"/>
                <w:sz w:val="24"/>
              </w:rPr>
            </w:pPr>
          </w:p>
        </w:tc>
        <w:tc>
          <w:tcPr>
            <w:tcW w:w="975" w:type="dxa"/>
            <w:gridSpan w:val="3"/>
            <w:tcBorders>
              <w:top w:val="nil"/>
              <w:left w:val="nil"/>
              <w:bottom w:val="single" w:color="auto" w:sz="4" w:space="0"/>
              <w:right w:val="single" w:color="auto" w:sz="4" w:space="0"/>
            </w:tcBorders>
            <w:vAlign w:val="center"/>
          </w:tcPr>
          <w:p>
            <w:pPr>
              <w:spacing w:line="320" w:lineRule="exact"/>
              <w:jc w:val="center"/>
              <w:rPr>
                <w:rFonts w:ascii="宋体" w:hAnsi="宋体"/>
                <w:sz w:val="24"/>
              </w:rPr>
            </w:pPr>
            <w:r>
              <w:rPr>
                <w:rFonts w:hint="eastAsia" w:ascii="宋体" w:hAnsi="宋体"/>
                <w:sz w:val="24"/>
              </w:rPr>
              <w:t>传真</w:t>
            </w:r>
          </w:p>
        </w:tc>
        <w:tc>
          <w:tcPr>
            <w:tcW w:w="1179" w:type="dxa"/>
            <w:gridSpan w:val="2"/>
            <w:tcBorders>
              <w:top w:val="single" w:color="auto" w:sz="4" w:space="0"/>
              <w:left w:val="nil"/>
              <w:bottom w:val="single" w:color="auto" w:sz="4" w:space="0"/>
              <w:right w:val="single" w:color="000000" w:sz="4" w:space="0"/>
            </w:tcBorders>
            <w:vAlign w:val="center"/>
          </w:tcPr>
          <w:p>
            <w:pPr>
              <w:spacing w:line="320" w:lineRule="exact"/>
              <w:jc w:val="center"/>
              <w:rPr>
                <w:rFonts w:ascii="宋体" w:hAnsi="宋体"/>
                <w:sz w:val="24"/>
              </w:rPr>
            </w:pPr>
          </w:p>
        </w:tc>
        <w:tc>
          <w:tcPr>
            <w:tcW w:w="1276" w:type="dxa"/>
            <w:gridSpan w:val="2"/>
            <w:tcBorders>
              <w:top w:val="single" w:color="auto" w:sz="4" w:space="0"/>
              <w:left w:val="nil"/>
              <w:bottom w:val="single" w:color="auto" w:sz="4" w:space="0"/>
              <w:right w:val="single" w:color="000000" w:sz="4" w:space="0"/>
            </w:tcBorders>
            <w:vAlign w:val="center"/>
          </w:tcPr>
          <w:p>
            <w:pPr>
              <w:spacing w:line="320" w:lineRule="exact"/>
              <w:jc w:val="center"/>
              <w:rPr>
                <w:rFonts w:ascii="宋体" w:hAnsi="宋体"/>
                <w:sz w:val="24"/>
              </w:rPr>
            </w:pPr>
            <w:r>
              <w:rPr>
                <w:rFonts w:ascii="宋体" w:hAnsi="宋体"/>
                <w:sz w:val="24"/>
              </w:rPr>
              <w:t>Email</w:t>
            </w:r>
          </w:p>
        </w:tc>
        <w:tc>
          <w:tcPr>
            <w:tcW w:w="1667" w:type="dxa"/>
            <w:gridSpan w:val="3"/>
            <w:tcBorders>
              <w:top w:val="single" w:color="auto" w:sz="4" w:space="0"/>
              <w:left w:val="nil"/>
              <w:bottom w:val="single" w:color="auto" w:sz="4" w:space="0"/>
              <w:right w:val="single" w:color="000000" w:sz="4" w:space="0"/>
            </w:tcBorders>
            <w:vAlign w:val="center"/>
          </w:tcPr>
          <w:p>
            <w:pPr>
              <w:spacing w:line="320" w:lineRule="exact"/>
              <w:jc w:val="center"/>
              <w:rPr>
                <w:rFonts w:ascii="宋体" w:hAnsi="宋体"/>
                <w:sz w:val="24"/>
              </w:rPr>
            </w:pPr>
          </w:p>
        </w:tc>
        <w:tc>
          <w:tcPr>
            <w:tcW w:w="457" w:type="dxa"/>
            <w:vMerge w:val="continue"/>
            <w:tcBorders>
              <w:top w:val="nil"/>
              <w:left w:val="single" w:color="000000" w:sz="4" w:space="0"/>
              <w:bottom w:val="nil"/>
              <w:right w:val="nil"/>
            </w:tcBorders>
            <w:vAlign w:val="top"/>
          </w:tcPr>
          <w:p>
            <w:pPr>
              <w:spacing w:line="320" w:lineRule="exact"/>
              <w:jc w:val="center"/>
              <w:rPr>
                <w:rFonts w:ascii="宋体" w:hAnsi="宋体"/>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1434" w:hRule="atLeast"/>
          <w:jc w:val="center"/>
        </w:trPr>
        <w:tc>
          <w:tcPr>
            <w:tcW w:w="1758" w:type="dxa"/>
            <w:tcBorders>
              <w:top w:val="nil"/>
              <w:left w:val="single" w:color="auto" w:sz="4" w:space="0"/>
              <w:bottom w:val="single" w:color="auto" w:sz="4" w:space="0"/>
              <w:right w:val="single" w:color="auto" w:sz="4" w:space="0"/>
            </w:tcBorders>
            <w:vAlign w:val="center"/>
          </w:tcPr>
          <w:p>
            <w:pPr>
              <w:spacing w:line="320" w:lineRule="exact"/>
              <w:jc w:val="center"/>
              <w:rPr>
                <w:rFonts w:ascii="宋体" w:hAnsi="宋体"/>
                <w:sz w:val="24"/>
              </w:rPr>
            </w:pPr>
            <w:r>
              <w:rPr>
                <w:rFonts w:hint="eastAsia" w:ascii="宋体" w:hAnsi="宋体"/>
                <w:sz w:val="24"/>
              </w:rPr>
              <w:t>机构类型</w:t>
            </w:r>
          </w:p>
        </w:tc>
        <w:tc>
          <w:tcPr>
            <w:tcW w:w="7620" w:type="dxa"/>
            <w:gridSpan w:val="13"/>
            <w:tcBorders>
              <w:top w:val="single" w:color="auto" w:sz="4" w:space="0"/>
              <w:left w:val="nil"/>
              <w:bottom w:val="single" w:color="auto" w:sz="4" w:space="0"/>
              <w:right w:val="single" w:color="000000" w:sz="4" w:space="0"/>
            </w:tcBorders>
            <w:vAlign w:val="center"/>
          </w:tcPr>
          <w:p>
            <w:pPr>
              <w:spacing w:line="320" w:lineRule="exact"/>
              <w:rPr>
                <w:rFonts w:ascii="宋体" w:hAnsi="宋体"/>
                <w:sz w:val="24"/>
              </w:rPr>
            </w:pPr>
            <w:r>
              <w:rPr>
                <w:rFonts w:ascii="宋体" w:hAnsi="宋体"/>
                <w:sz w:val="24"/>
              </w:rPr>
              <w:t>□</w:t>
            </w:r>
            <w:r>
              <w:rPr>
                <w:rFonts w:hint="eastAsia" w:ascii="宋体" w:hAnsi="宋体"/>
                <w:sz w:val="24"/>
              </w:rPr>
              <w:t>证券公司</w:t>
            </w:r>
            <w:r>
              <w:rPr>
                <w:rFonts w:ascii="宋体" w:hAnsi="宋体"/>
                <w:sz w:val="24"/>
              </w:rPr>
              <w:t xml:space="preserve">   □</w:t>
            </w:r>
            <w:r>
              <w:rPr>
                <w:rFonts w:hint="eastAsia" w:ascii="宋体" w:hAnsi="宋体"/>
                <w:sz w:val="24"/>
              </w:rPr>
              <w:t>基金管理公司</w:t>
            </w:r>
            <w:r>
              <w:rPr>
                <w:rFonts w:ascii="宋体" w:hAnsi="宋体"/>
                <w:sz w:val="24"/>
              </w:rPr>
              <w:t xml:space="preserve">  □</w:t>
            </w:r>
            <w:r>
              <w:rPr>
                <w:rFonts w:hint="eastAsia" w:ascii="宋体" w:hAnsi="宋体"/>
                <w:sz w:val="24"/>
              </w:rPr>
              <w:t>期货公司</w:t>
            </w:r>
            <w:r>
              <w:rPr>
                <w:rFonts w:ascii="宋体" w:hAnsi="宋体"/>
                <w:sz w:val="24"/>
              </w:rPr>
              <w:t xml:space="preserve">    □</w:t>
            </w:r>
            <w:r>
              <w:rPr>
                <w:rFonts w:hint="eastAsia" w:ascii="宋体" w:hAnsi="宋体"/>
                <w:sz w:val="24"/>
              </w:rPr>
              <w:t>企业集团财务公司</w:t>
            </w:r>
          </w:p>
          <w:p>
            <w:pPr>
              <w:spacing w:line="320" w:lineRule="exact"/>
              <w:rPr>
                <w:rFonts w:ascii="宋体" w:hAnsi="宋体"/>
                <w:sz w:val="24"/>
              </w:rPr>
            </w:pPr>
            <w:r>
              <w:rPr>
                <w:rFonts w:ascii="宋体" w:hAnsi="宋体"/>
                <w:sz w:val="24"/>
              </w:rPr>
              <w:t>□</w:t>
            </w:r>
            <w:r>
              <w:rPr>
                <w:rFonts w:hint="eastAsia" w:ascii="宋体" w:hAnsi="宋体"/>
                <w:sz w:val="24"/>
              </w:rPr>
              <w:t>信托公司</w:t>
            </w:r>
            <w:r>
              <w:rPr>
                <w:rFonts w:ascii="宋体" w:hAnsi="宋体"/>
                <w:sz w:val="24"/>
              </w:rPr>
              <w:t xml:space="preserve">   □</w:t>
            </w:r>
            <w:r>
              <w:rPr>
                <w:rFonts w:hint="eastAsia" w:ascii="宋体" w:hAnsi="宋体"/>
                <w:sz w:val="24"/>
              </w:rPr>
              <w:t>金融租赁公司</w:t>
            </w:r>
            <w:r>
              <w:rPr>
                <w:rFonts w:ascii="宋体" w:hAnsi="宋体"/>
                <w:sz w:val="24"/>
              </w:rPr>
              <w:t xml:space="preserve">  □</w:t>
            </w:r>
            <w:r>
              <w:rPr>
                <w:rFonts w:hint="eastAsia" w:ascii="宋体" w:hAnsi="宋体"/>
                <w:sz w:val="24"/>
              </w:rPr>
              <w:t>汽车金融公司</w:t>
            </w:r>
            <w:r>
              <w:rPr>
                <w:rFonts w:ascii="宋体" w:hAnsi="宋体"/>
                <w:sz w:val="24"/>
              </w:rPr>
              <w:t>□</w:t>
            </w:r>
            <w:r>
              <w:rPr>
                <w:rFonts w:hint="eastAsia" w:ascii="宋体" w:hAnsi="宋体"/>
                <w:sz w:val="24"/>
              </w:rPr>
              <w:t>金融资产管理公司</w:t>
            </w:r>
            <w:r>
              <w:rPr>
                <w:rFonts w:ascii="宋体" w:hAnsi="宋体"/>
                <w:sz w:val="24"/>
              </w:rPr>
              <w:t xml:space="preserve">         □</w:t>
            </w:r>
            <w:r>
              <w:rPr>
                <w:rFonts w:hint="eastAsia" w:ascii="宋体" w:hAnsi="宋体"/>
                <w:sz w:val="24"/>
              </w:rPr>
              <w:t>消费金融公司</w:t>
            </w:r>
            <w:r>
              <w:rPr>
                <w:rFonts w:ascii="宋体" w:hAnsi="宋体"/>
                <w:sz w:val="24"/>
              </w:rPr>
              <w:t xml:space="preserve">   □</w:t>
            </w:r>
            <w:r>
              <w:rPr>
                <w:rFonts w:hint="eastAsia" w:ascii="宋体" w:hAnsi="宋体"/>
                <w:sz w:val="24"/>
              </w:rPr>
              <w:t>货币经纪公司</w:t>
            </w:r>
          </w:p>
          <w:p>
            <w:pPr>
              <w:spacing w:line="320" w:lineRule="exact"/>
              <w:rPr>
                <w:rFonts w:ascii="宋体" w:hAnsi="宋体"/>
                <w:sz w:val="24"/>
              </w:rPr>
            </w:pPr>
            <w:r>
              <w:rPr>
                <w:rFonts w:ascii="宋体" w:hAnsi="宋体"/>
                <w:sz w:val="24"/>
              </w:rPr>
              <w:t>□</w:t>
            </w:r>
            <w:r>
              <w:rPr>
                <w:rFonts w:hint="eastAsia" w:ascii="宋体" w:hAnsi="宋体"/>
                <w:sz w:val="24"/>
              </w:rPr>
              <w:t>其它机构（请说明：）</w:t>
            </w:r>
          </w:p>
        </w:tc>
        <w:tc>
          <w:tcPr>
            <w:tcW w:w="457" w:type="dxa"/>
            <w:vMerge w:val="continue"/>
            <w:tcBorders>
              <w:top w:val="nil"/>
              <w:left w:val="single" w:color="000000" w:sz="4" w:space="0"/>
              <w:bottom w:val="nil"/>
              <w:right w:val="nil"/>
            </w:tcBorders>
            <w:vAlign w:val="top"/>
          </w:tcPr>
          <w:p>
            <w:pPr>
              <w:spacing w:line="320" w:lineRule="exact"/>
              <w:rPr>
                <w:rFonts w:ascii="宋体" w:hAnsi="宋体"/>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1048" w:hRule="atLeast"/>
          <w:jc w:val="center"/>
        </w:trPr>
        <w:tc>
          <w:tcPr>
            <w:tcW w:w="1758" w:type="dxa"/>
            <w:tcBorders>
              <w:top w:val="nil"/>
              <w:left w:val="single" w:color="auto" w:sz="4" w:space="0"/>
              <w:bottom w:val="single" w:color="auto" w:sz="4" w:space="0"/>
              <w:right w:val="nil"/>
            </w:tcBorders>
            <w:vAlign w:val="center"/>
          </w:tcPr>
          <w:p>
            <w:pPr>
              <w:spacing w:line="320" w:lineRule="exact"/>
              <w:jc w:val="center"/>
              <w:rPr>
                <w:rFonts w:ascii="宋体" w:hAnsi="宋体"/>
                <w:sz w:val="24"/>
              </w:rPr>
            </w:pPr>
            <w:r>
              <w:rPr>
                <w:rFonts w:hint="eastAsia" w:ascii="宋体" w:hAnsi="宋体"/>
                <w:sz w:val="24"/>
              </w:rPr>
              <w:t>主要经营</w:t>
            </w:r>
          </w:p>
          <w:p>
            <w:pPr>
              <w:spacing w:line="320" w:lineRule="exact"/>
              <w:jc w:val="center"/>
              <w:rPr>
                <w:rFonts w:ascii="宋体" w:hAnsi="宋体"/>
                <w:sz w:val="24"/>
              </w:rPr>
            </w:pPr>
            <w:r>
              <w:rPr>
                <w:rFonts w:hint="eastAsia" w:ascii="宋体" w:hAnsi="宋体"/>
                <w:sz w:val="24"/>
              </w:rPr>
              <w:t>范围</w:t>
            </w:r>
          </w:p>
        </w:tc>
        <w:tc>
          <w:tcPr>
            <w:tcW w:w="7620" w:type="dxa"/>
            <w:gridSpan w:val="13"/>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宋体" w:hAnsi="宋体"/>
                <w:sz w:val="24"/>
              </w:rPr>
            </w:pPr>
          </w:p>
        </w:tc>
        <w:tc>
          <w:tcPr>
            <w:tcW w:w="457" w:type="dxa"/>
            <w:vMerge w:val="continue"/>
            <w:tcBorders>
              <w:top w:val="nil"/>
              <w:left w:val="single" w:color="auto" w:sz="4" w:space="0"/>
              <w:bottom w:val="nil"/>
              <w:right w:val="nil"/>
            </w:tcBorders>
            <w:vAlign w:val="top"/>
          </w:tcPr>
          <w:p>
            <w:pPr>
              <w:spacing w:line="320" w:lineRule="exact"/>
              <w:jc w:val="center"/>
              <w:rPr>
                <w:rFonts w:ascii="宋体" w:hAnsi="宋体"/>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20" w:hRule="atLeast"/>
          <w:jc w:val="center"/>
        </w:trPr>
        <w:tc>
          <w:tcPr>
            <w:tcW w:w="1758" w:type="dxa"/>
            <w:vMerge w:val="restart"/>
            <w:tcBorders>
              <w:top w:val="nil"/>
              <w:left w:val="single" w:color="auto" w:sz="4" w:space="0"/>
              <w:bottom w:val="nil"/>
              <w:right w:val="nil"/>
            </w:tcBorders>
            <w:vAlign w:val="center"/>
          </w:tcPr>
          <w:p>
            <w:pPr>
              <w:spacing w:line="320" w:lineRule="exact"/>
              <w:jc w:val="center"/>
              <w:rPr>
                <w:rFonts w:ascii="宋体" w:hAnsi="宋体"/>
                <w:sz w:val="24"/>
              </w:rPr>
            </w:pPr>
            <w:r>
              <w:rPr>
                <w:rFonts w:hint="eastAsia" w:ascii="宋体" w:hAnsi="宋体"/>
                <w:sz w:val="24"/>
              </w:rPr>
              <w:t>主要股东或控制人</w:t>
            </w:r>
          </w:p>
        </w:tc>
        <w:tc>
          <w:tcPr>
            <w:tcW w:w="2551" w:type="dxa"/>
            <w:gridSpan w:val="4"/>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宋体" w:hAnsi="宋体"/>
                <w:sz w:val="24"/>
              </w:rPr>
            </w:pPr>
            <w:r>
              <w:rPr>
                <w:rFonts w:hint="eastAsia" w:ascii="宋体" w:hAnsi="宋体"/>
                <w:sz w:val="24"/>
              </w:rPr>
              <w:t>名称（或姓名）</w:t>
            </w:r>
          </w:p>
        </w:tc>
        <w:tc>
          <w:tcPr>
            <w:tcW w:w="2268" w:type="dxa"/>
            <w:gridSpan w:val="5"/>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宋体" w:hAnsi="宋体"/>
                <w:sz w:val="24"/>
              </w:rPr>
            </w:pPr>
            <w:r>
              <w:rPr>
                <w:rFonts w:hint="eastAsia" w:ascii="宋体" w:hAnsi="宋体"/>
                <w:sz w:val="24"/>
              </w:rPr>
              <w:t>统一社会信用代码</w:t>
            </w:r>
          </w:p>
        </w:tc>
        <w:tc>
          <w:tcPr>
            <w:tcW w:w="1418" w:type="dxa"/>
            <w:gridSpan w:val="3"/>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宋体" w:hAnsi="宋体"/>
                <w:sz w:val="24"/>
              </w:rPr>
            </w:pPr>
            <w:r>
              <w:rPr>
                <w:rFonts w:hint="eastAsia" w:ascii="宋体" w:hAnsi="宋体"/>
                <w:sz w:val="24"/>
              </w:rPr>
              <w:t>持股比例</w:t>
            </w:r>
          </w:p>
        </w:tc>
        <w:tc>
          <w:tcPr>
            <w:tcW w:w="1383" w:type="dxa"/>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宋体" w:hAnsi="宋体"/>
                <w:sz w:val="24"/>
              </w:rPr>
            </w:pPr>
            <w:r>
              <w:rPr>
                <w:rFonts w:hint="eastAsia" w:ascii="宋体" w:hAnsi="宋体"/>
                <w:sz w:val="24"/>
              </w:rPr>
              <w:t>注册地址</w:t>
            </w:r>
          </w:p>
        </w:tc>
        <w:tc>
          <w:tcPr>
            <w:tcW w:w="457" w:type="dxa"/>
            <w:vMerge w:val="continue"/>
            <w:tcBorders>
              <w:top w:val="nil"/>
              <w:left w:val="single" w:color="auto" w:sz="4" w:space="0"/>
              <w:bottom w:val="nil"/>
              <w:right w:val="nil"/>
            </w:tcBorders>
            <w:vAlign w:val="top"/>
          </w:tcPr>
          <w:p>
            <w:pPr>
              <w:spacing w:line="320" w:lineRule="exact"/>
              <w:jc w:val="center"/>
              <w:rPr>
                <w:rFonts w:ascii="宋体" w:hAnsi="宋体"/>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434" w:hRule="atLeast"/>
          <w:jc w:val="center"/>
        </w:trPr>
        <w:tc>
          <w:tcPr>
            <w:tcW w:w="1758" w:type="dxa"/>
            <w:vMerge w:val="continue"/>
            <w:tcBorders>
              <w:top w:val="nil"/>
              <w:left w:val="single" w:color="auto" w:sz="4" w:space="0"/>
              <w:bottom w:val="nil"/>
              <w:right w:val="nil"/>
            </w:tcBorders>
            <w:vAlign w:val="center"/>
          </w:tcPr>
          <w:p>
            <w:pPr>
              <w:spacing w:line="320" w:lineRule="exact"/>
              <w:jc w:val="center"/>
              <w:rPr>
                <w:rFonts w:ascii="宋体" w:hAnsi="宋体"/>
                <w:sz w:val="24"/>
              </w:rPr>
            </w:pPr>
          </w:p>
        </w:tc>
        <w:tc>
          <w:tcPr>
            <w:tcW w:w="2551" w:type="dxa"/>
            <w:gridSpan w:val="4"/>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宋体" w:hAnsi="宋体"/>
                <w:sz w:val="24"/>
              </w:rPr>
            </w:pPr>
          </w:p>
        </w:tc>
        <w:tc>
          <w:tcPr>
            <w:tcW w:w="2268" w:type="dxa"/>
            <w:gridSpan w:val="5"/>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宋体" w:hAnsi="宋体"/>
                <w:sz w:val="24"/>
              </w:rPr>
            </w:pPr>
          </w:p>
        </w:tc>
        <w:tc>
          <w:tcPr>
            <w:tcW w:w="1418" w:type="dxa"/>
            <w:gridSpan w:val="3"/>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宋体" w:hAnsi="宋体"/>
                <w:sz w:val="24"/>
              </w:rPr>
            </w:pPr>
          </w:p>
        </w:tc>
        <w:tc>
          <w:tcPr>
            <w:tcW w:w="1383" w:type="dxa"/>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宋体" w:hAnsi="宋体"/>
                <w:sz w:val="24"/>
              </w:rPr>
            </w:pPr>
          </w:p>
        </w:tc>
        <w:tc>
          <w:tcPr>
            <w:tcW w:w="457" w:type="dxa"/>
            <w:vMerge w:val="continue"/>
            <w:tcBorders>
              <w:top w:val="nil"/>
              <w:left w:val="single" w:color="auto" w:sz="4" w:space="0"/>
              <w:bottom w:val="nil"/>
              <w:right w:val="nil"/>
            </w:tcBorders>
            <w:vAlign w:val="top"/>
          </w:tcPr>
          <w:p>
            <w:pPr>
              <w:spacing w:line="320" w:lineRule="exact"/>
              <w:jc w:val="center"/>
              <w:rPr>
                <w:rFonts w:ascii="宋体" w:hAnsi="宋体"/>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426" w:hRule="atLeast"/>
          <w:jc w:val="center"/>
        </w:trPr>
        <w:tc>
          <w:tcPr>
            <w:tcW w:w="1758" w:type="dxa"/>
            <w:vMerge w:val="continue"/>
            <w:tcBorders>
              <w:top w:val="nil"/>
              <w:left w:val="single" w:color="auto" w:sz="4" w:space="0"/>
              <w:bottom w:val="nil"/>
              <w:right w:val="nil"/>
            </w:tcBorders>
            <w:vAlign w:val="center"/>
          </w:tcPr>
          <w:p>
            <w:pPr>
              <w:spacing w:line="320" w:lineRule="exact"/>
              <w:jc w:val="center"/>
              <w:rPr>
                <w:rFonts w:ascii="宋体" w:hAnsi="宋体"/>
                <w:sz w:val="24"/>
              </w:rPr>
            </w:pPr>
          </w:p>
        </w:tc>
        <w:tc>
          <w:tcPr>
            <w:tcW w:w="2551" w:type="dxa"/>
            <w:gridSpan w:val="4"/>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宋体" w:hAnsi="宋体"/>
                <w:sz w:val="24"/>
              </w:rPr>
            </w:pPr>
          </w:p>
        </w:tc>
        <w:tc>
          <w:tcPr>
            <w:tcW w:w="2268" w:type="dxa"/>
            <w:gridSpan w:val="5"/>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宋体" w:hAnsi="宋体"/>
                <w:sz w:val="24"/>
              </w:rPr>
            </w:pPr>
          </w:p>
        </w:tc>
        <w:tc>
          <w:tcPr>
            <w:tcW w:w="1418" w:type="dxa"/>
            <w:gridSpan w:val="3"/>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宋体" w:hAnsi="宋体"/>
                <w:sz w:val="24"/>
              </w:rPr>
            </w:pPr>
          </w:p>
        </w:tc>
        <w:tc>
          <w:tcPr>
            <w:tcW w:w="1383" w:type="dxa"/>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宋体" w:hAnsi="宋体"/>
                <w:sz w:val="24"/>
              </w:rPr>
            </w:pPr>
          </w:p>
        </w:tc>
        <w:tc>
          <w:tcPr>
            <w:tcW w:w="457" w:type="dxa"/>
            <w:vMerge w:val="continue"/>
            <w:tcBorders>
              <w:top w:val="nil"/>
              <w:left w:val="single" w:color="auto" w:sz="4" w:space="0"/>
              <w:bottom w:val="nil"/>
              <w:right w:val="nil"/>
            </w:tcBorders>
            <w:vAlign w:val="top"/>
          </w:tcPr>
          <w:p>
            <w:pPr>
              <w:spacing w:line="320" w:lineRule="exact"/>
              <w:jc w:val="center"/>
              <w:rPr>
                <w:rFonts w:ascii="宋体" w:hAnsi="宋体"/>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419" w:hRule="atLeast"/>
          <w:jc w:val="center"/>
        </w:trPr>
        <w:tc>
          <w:tcPr>
            <w:tcW w:w="1758" w:type="dxa"/>
            <w:vMerge w:val="continue"/>
            <w:tcBorders>
              <w:top w:val="nil"/>
              <w:left w:val="single" w:color="auto" w:sz="4" w:space="0"/>
              <w:bottom w:val="single" w:color="auto" w:sz="4" w:space="0"/>
              <w:right w:val="nil"/>
            </w:tcBorders>
            <w:vAlign w:val="center"/>
          </w:tcPr>
          <w:p>
            <w:pPr>
              <w:spacing w:line="320" w:lineRule="exact"/>
              <w:jc w:val="center"/>
              <w:rPr>
                <w:rFonts w:ascii="宋体" w:hAnsi="宋体"/>
                <w:sz w:val="24"/>
              </w:rPr>
            </w:pPr>
          </w:p>
        </w:tc>
        <w:tc>
          <w:tcPr>
            <w:tcW w:w="2551" w:type="dxa"/>
            <w:gridSpan w:val="4"/>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宋体" w:hAnsi="宋体"/>
                <w:b/>
                <w:sz w:val="24"/>
              </w:rPr>
            </w:pPr>
            <w:r>
              <w:rPr>
                <w:rFonts w:ascii="宋体" w:hAnsi="宋体"/>
                <w:b/>
                <w:sz w:val="24"/>
              </w:rPr>
              <w:t>……</w:t>
            </w:r>
            <w:r>
              <w:rPr>
                <w:rFonts w:hint="eastAsia" w:ascii="宋体" w:hAnsi="宋体"/>
                <w:sz w:val="24"/>
              </w:rPr>
              <w:t>（可加行）</w:t>
            </w:r>
          </w:p>
        </w:tc>
        <w:tc>
          <w:tcPr>
            <w:tcW w:w="2268" w:type="dxa"/>
            <w:gridSpan w:val="5"/>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宋体" w:hAnsi="宋体"/>
                <w:sz w:val="24"/>
              </w:rPr>
            </w:pPr>
          </w:p>
        </w:tc>
        <w:tc>
          <w:tcPr>
            <w:tcW w:w="1418" w:type="dxa"/>
            <w:gridSpan w:val="3"/>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宋体" w:hAnsi="宋体"/>
                <w:sz w:val="24"/>
              </w:rPr>
            </w:pPr>
          </w:p>
        </w:tc>
        <w:tc>
          <w:tcPr>
            <w:tcW w:w="1383" w:type="dxa"/>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宋体" w:hAnsi="宋体"/>
                <w:sz w:val="24"/>
              </w:rPr>
            </w:pPr>
          </w:p>
        </w:tc>
        <w:tc>
          <w:tcPr>
            <w:tcW w:w="457" w:type="dxa"/>
            <w:vMerge w:val="continue"/>
            <w:tcBorders>
              <w:top w:val="nil"/>
              <w:left w:val="single" w:color="auto" w:sz="4" w:space="0"/>
              <w:bottom w:val="nil"/>
              <w:right w:val="nil"/>
            </w:tcBorders>
            <w:vAlign w:val="top"/>
          </w:tcPr>
          <w:p>
            <w:pPr>
              <w:spacing w:line="320" w:lineRule="exact"/>
              <w:jc w:val="center"/>
              <w:rPr>
                <w:rFonts w:ascii="宋体" w:hAnsi="宋体"/>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553" w:hRule="atLeast"/>
          <w:jc w:val="center"/>
        </w:trPr>
        <w:tc>
          <w:tcPr>
            <w:tcW w:w="9378" w:type="dxa"/>
            <w:gridSpan w:val="14"/>
            <w:tcBorders>
              <w:top w:val="single" w:color="auto" w:sz="4" w:space="0"/>
              <w:left w:val="single" w:color="auto" w:sz="4" w:space="0"/>
              <w:bottom w:val="single" w:color="auto" w:sz="4" w:space="0"/>
              <w:right w:val="single" w:color="000000" w:sz="4" w:space="0"/>
            </w:tcBorders>
            <w:vAlign w:val="center"/>
          </w:tcPr>
          <w:p>
            <w:pPr>
              <w:spacing w:line="320" w:lineRule="exact"/>
              <w:rPr>
                <w:rFonts w:ascii="宋体" w:hAnsi="宋体"/>
                <w:b/>
                <w:sz w:val="24"/>
              </w:rPr>
            </w:pPr>
            <w:r>
              <w:rPr>
                <w:rFonts w:hint="eastAsia" w:ascii="宋体" w:hAnsi="宋体"/>
                <w:b/>
                <w:sz w:val="24"/>
              </w:rPr>
              <w:t>二、外汇业务备案</w:t>
            </w:r>
          </w:p>
        </w:tc>
        <w:tc>
          <w:tcPr>
            <w:tcW w:w="457" w:type="dxa"/>
            <w:vMerge w:val="continue"/>
            <w:tcBorders>
              <w:top w:val="nil"/>
              <w:left w:val="single" w:color="auto" w:sz="4" w:space="0"/>
              <w:bottom w:val="nil"/>
              <w:right w:val="nil"/>
            </w:tcBorders>
            <w:vAlign w:val="top"/>
          </w:tcPr>
          <w:p>
            <w:pPr>
              <w:spacing w:line="320" w:lineRule="exact"/>
              <w:rPr>
                <w:rFonts w:ascii="宋体" w:hAnsi="宋体"/>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553" w:hRule="atLeast"/>
          <w:jc w:val="center"/>
        </w:trPr>
        <w:tc>
          <w:tcPr>
            <w:tcW w:w="9378" w:type="dxa"/>
            <w:gridSpan w:val="14"/>
            <w:tcBorders>
              <w:top w:val="single" w:color="auto" w:sz="4" w:space="0"/>
              <w:left w:val="single" w:color="auto" w:sz="4" w:space="0"/>
              <w:bottom w:val="single" w:color="auto" w:sz="4" w:space="0"/>
              <w:right w:val="single" w:color="000000" w:sz="4" w:space="0"/>
            </w:tcBorders>
            <w:vAlign w:val="center"/>
          </w:tcPr>
          <w:p>
            <w:pPr>
              <w:spacing w:line="320" w:lineRule="exact"/>
              <w:rPr>
                <w:rFonts w:ascii="宋体" w:hAnsi="宋体"/>
              </w:rPr>
            </w:pPr>
            <w:r>
              <w:rPr>
                <w:rFonts w:hint="eastAsia" w:ascii="宋体" w:hAnsi="宋体"/>
                <w:sz w:val="24"/>
              </w:rPr>
              <w:t>备案类别：</w:t>
            </w:r>
            <w:r>
              <w:rPr>
                <w:rFonts w:ascii="宋体" w:hAnsi="宋体"/>
                <w:sz w:val="24"/>
              </w:rPr>
              <w:t>□</w:t>
            </w:r>
            <w:r>
              <w:rPr>
                <w:rFonts w:hint="eastAsia" w:ascii="宋体" w:hAnsi="宋体"/>
                <w:sz w:val="24"/>
              </w:rPr>
              <w:t>初始备案</w:t>
            </w:r>
            <w:r>
              <w:rPr>
                <w:rFonts w:ascii="宋体" w:hAnsi="宋体"/>
                <w:sz w:val="24"/>
              </w:rPr>
              <w:t xml:space="preserve">   □</w:t>
            </w:r>
            <w:r>
              <w:rPr>
                <w:rFonts w:hint="eastAsia" w:ascii="宋体" w:hAnsi="宋体"/>
                <w:sz w:val="24"/>
              </w:rPr>
              <w:t>变更备案</w:t>
            </w:r>
            <w:r>
              <w:rPr>
                <w:rFonts w:ascii="宋体" w:hAnsi="宋体"/>
                <w:sz w:val="24"/>
              </w:rPr>
              <w:t xml:space="preserve">   □</w:t>
            </w:r>
            <w:r>
              <w:rPr>
                <w:rFonts w:hint="eastAsia" w:ascii="宋体" w:hAnsi="宋体"/>
                <w:sz w:val="24"/>
              </w:rPr>
              <w:t>注销（停办）备案</w:t>
            </w:r>
          </w:p>
        </w:tc>
        <w:tc>
          <w:tcPr>
            <w:tcW w:w="457" w:type="dxa"/>
            <w:vMerge w:val="continue"/>
            <w:tcBorders>
              <w:top w:val="nil"/>
              <w:left w:val="single" w:color="auto" w:sz="4" w:space="0"/>
              <w:bottom w:val="nil"/>
              <w:right w:val="nil"/>
            </w:tcBorders>
            <w:vAlign w:val="top"/>
          </w:tcPr>
          <w:p>
            <w:pPr>
              <w:spacing w:line="320" w:lineRule="exact"/>
              <w:rPr>
                <w:rFonts w:ascii="宋体" w:hAnsi="宋体"/>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1125" w:hRule="atLeast"/>
          <w:jc w:val="center"/>
        </w:trPr>
        <w:tc>
          <w:tcPr>
            <w:tcW w:w="1758" w:type="dxa"/>
            <w:tcBorders>
              <w:top w:val="nil"/>
              <w:left w:val="single" w:color="auto" w:sz="4" w:space="0"/>
              <w:bottom w:val="single" w:color="000000" w:sz="4" w:space="0"/>
              <w:right w:val="single" w:color="000000" w:sz="4" w:space="0"/>
            </w:tcBorders>
            <w:vAlign w:val="center"/>
          </w:tcPr>
          <w:p>
            <w:pPr>
              <w:spacing w:line="320" w:lineRule="exact"/>
              <w:rPr>
                <w:rFonts w:ascii="宋体" w:hAnsi="宋体"/>
                <w:sz w:val="24"/>
              </w:rPr>
            </w:pPr>
            <w:r>
              <w:rPr>
                <w:rFonts w:hint="eastAsia" w:ascii="宋体" w:hAnsi="宋体"/>
                <w:sz w:val="24"/>
              </w:rPr>
              <w:t>跨境业务</w:t>
            </w:r>
          </w:p>
        </w:tc>
        <w:tc>
          <w:tcPr>
            <w:tcW w:w="7620" w:type="dxa"/>
            <w:gridSpan w:val="13"/>
            <w:tcBorders>
              <w:top w:val="single" w:color="auto" w:sz="4" w:space="0"/>
              <w:left w:val="nil"/>
              <w:bottom w:val="single" w:color="000000" w:sz="4" w:space="0"/>
              <w:right w:val="single" w:color="000000" w:sz="4" w:space="0"/>
            </w:tcBorders>
            <w:vAlign w:val="center"/>
          </w:tcPr>
          <w:p>
            <w:pPr>
              <w:spacing w:line="340" w:lineRule="exact"/>
              <w:rPr>
                <w:rFonts w:ascii="宋体" w:hAnsi="宋体"/>
                <w:sz w:val="24"/>
              </w:rPr>
            </w:pPr>
            <w:r>
              <w:rPr>
                <w:rFonts w:ascii="宋体" w:hAnsi="宋体"/>
                <w:sz w:val="24"/>
              </w:rPr>
              <w:t>□</w:t>
            </w:r>
            <w:r>
              <w:rPr>
                <w:rFonts w:hint="eastAsia" w:ascii="宋体" w:hAnsi="宋体"/>
                <w:sz w:val="24"/>
              </w:rPr>
              <w:t>跨境证券经纪</w:t>
            </w:r>
          </w:p>
          <w:p>
            <w:pPr>
              <w:spacing w:line="340" w:lineRule="exact"/>
              <w:rPr>
                <w:rFonts w:ascii="宋体" w:hAnsi="宋体"/>
                <w:sz w:val="24"/>
              </w:rPr>
            </w:pPr>
            <w:r>
              <w:rPr>
                <w:rFonts w:ascii="宋体" w:hAnsi="宋体"/>
                <w:sz w:val="24"/>
              </w:rPr>
              <w:t>□B</w:t>
            </w:r>
            <w:r>
              <w:rPr>
                <w:rFonts w:hint="eastAsia" w:ascii="宋体" w:hAnsi="宋体"/>
                <w:sz w:val="24"/>
              </w:rPr>
              <w:t>股经纪</w:t>
            </w:r>
          </w:p>
          <w:p>
            <w:pPr>
              <w:spacing w:line="340" w:lineRule="exact"/>
              <w:rPr>
                <w:rFonts w:ascii="宋体" w:hAnsi="宋体"/>
                <w:sz w:val="24"/>
              </w:rPr>
            </w:pPr>
            <w:r>
              <w:rPr>
                <w:rFonts w:ascii="宋体" w:hAnsi="宋体"/>
                <w:sz w:val="24"/>
              </w:rPr>
              <w:t>□</w:t>
            </w:r>
            <w:r>
              <w:rPr>
                <w:rFonts w:hint="eastAsia" w:ascii="宋体" w:hAnsi="宋体"/>
                <w:sz w:val="24"/>
              </w:rPr>
              <w:t>跨境期货及衍生产品经纪</w:t>
            </w:r>
          </w:p>
          <w:p>
            <w:pPr>
              <w:spacing w:line="340" w:lineRule="exact"/>
              <w:rPr>
                <w:rFonts w:ascii="宋体" w:hAnsi="宋体"/>
                <w:sz w:val="24"/>
              </w:rPr>
            </w:pPr>
            <w:r>
              <w:rPr>
                <w:rFonts w:ascii="宋体" w:hAnsi="宋体"/>
                <w:sz w:val="24"/>
              </w:rPr>
              <w:t>□</w:t>
            </w:r>
            <w:r>
              <w:rPr>
                <w:rFonts w:hint="eastAsia" w:ascii="宋体" w:hAnsi="宋体"/>
                <w:sz w:val="24"/>
              </w:rPr>
              <w:t>跨境证券承销业务</w:t>
            </w:r>
          </w:p>
          <w:p>
            <w:pPr>
              <w:spacing w:line="340" w:lineRule="exact"/>
              <w:rPr>
                <w:rFonts w:ascii="宋体" w:hAnsi="宋体"/>
                <w:sz w:val="24"/>
              </w:rPr>
            </w:pPr>
            <w:r>
              <w:rPr>
                <w:rFonts w:ascii="宋体" w:hAnsi="宋体"/>
                <w:sz w:val="24"/>
              </w:rPr>
              <w:t>□</w:t>
            </w:r>
            <w:r>
              <w:rPr>
                <w:rFonts w:hint="eastAsia" w:ascii="宋体" w:hAnsi="宋体"/>
                <w:sz w:val="24"/>
              </w:rPr>
              <w:t>对外证券及衍生品投资</w:t>
            </w:r>
          </w:p>
          <w:p>
            <w:pPr>
              <w:spacing w:line="340" w:lineRule="exact"/>
              <w:rPr>
                <w:rFonts w:ascii="宋体" w:hAnsi="宋体"/>
                <w:sz w:val="24"/>
              </w:rPr>
            </w:pPr>
            <w:r>
              <w:rPr>
                <w:rFonts w:ascii="宋体" w:hAnsi="宋体"/>
                <w:sz w:val="24"/>
              </w:rPr>
              <w:t>□</w:t>
            </w:r>
            <w:r>
              <w:rPr>
                <w:rFonts w:hint="eastAsia" w:ascii="宋体" w:hAnsi="宋体"/>
                <w:sz w:val="24"/>
              </w:rPr>
              <w:t>境外基金或产品销售</w:t>
            </w:r>
          </w:p>
          <w:p>
            <w:pPr>
              <w:spacing w:line="340" w:lineRule="exact"/>
              <w:rPr>
                <w:rFonts w:ascii="宋体" w:hAnsi="宋体"/>
                <w:sz w:val="24"/>
              </w:rPr>
            </w:pPr>
            <w:r>
              <w:rPr>
                <w:rFonts w:ascii="宋体" w:hAnsi="宋体"/>
                <w:sz w:val="24"/>
              </w:rPr>
              <w:t>□</w:t>
            </w:r>
            <w:r>
              <w:rPr>
                <w:rFonts w:hint="eastAsia" w:ascii="宋体" w:hAnsi="宋体"/>
                <w:sz w:val="24"/>
              </w:rPr>
              <w:t>跨境并购</w:t>
            </w:r>
          </w:p>
          <w:p>
            <w:pPr>
              <w:spacing w:line="340" w:lineRule="exact"/>
              <w:rPr>
                <w:rFonts w:ascii="宋体" w:hAnsi="宋体"/>
                <w:sz w:val="24"/>
              </w:rPr>
            </w:pPr>
            <w:r>
              <w:rPr>
                <w:rFonts w:ascii="宋体" w:hAnsi="宋体"/>
                <w:sz w:val="24"/>
              </w:rPr>
              <w:t>□</w:t>
            </w:r>
            <w:r>
              <w:rPr>
                <w:rFonts w:hint="eastAsia" w:ascii="宋体" w:hAnsi="宋体"/>
                <w:sz w:val="24"/>
              </w:rPr>
              <w:t>跨境信托</w:t>
            </w:r>
          </w:p>
          <w:p>
            <w:pPr>
              <w:spacing w:line="340" w:lineRule="exact"/>
              <w:rPr>
                <w:rFonts w:ascii="宋体" w:hAnsi="宋体"/>
                <w:sz w:val="24"/>
              </w:rPr>
            </w:pPr>
            <w:r>
              <w:rPr>
                <w:rFonts w:ascii="宋体" w:hAnsi="宋体"/>
                <w:sz w:val="24"/>
              </w:rPr>
              <w:t>□</w:t>
            </w:r>
            <w:r>
              <w:rPr>
                <w:rFonts w:hint="eastAsia" w:ascii="宋体" w:hAnsi="宋体"/>
                <w:sz w:val="24"/>
              </w:rPr>
              <w:t>跨境结构性产品</w:t>
            </w:r>
          </w:p>
          <w:p>
            <w:pPr>
              <w:spacing w:line="340" w:lineRule="exact"/>
              <w:rPr>
                <w:rFonts w:ascii="宋体" w:hAnsi="宋体"/>
                <w:sz w:val="24"/>
              </w:rPr>
            </w:pPr>
            <w:r>
              <w:rPr>
                <w:rFonts w:ascii="宋体" w:hAnsi="宋体"/>
                <w:sz w:val="24"/>
              </w:rPr>
              <w:t>□</w:t>
            </w:r>
            <w:r>
              <w:rPr>
                <w:rFonts w:hint="eastAsia" w:ascii="宋体" w:hAnsi="宋体"/>
                <w:sz w:val="24"/>
              </w:rPr>
              <w:t>跨境证券投资咨询和见证</w:t>
            </w:r>
          </w:p>
          <w:p>
            <w:pPr>
              <w:spacing w:line="340" w:lineRule="exact"/>
              <w:rPr>
                <w:rFonts w:ascii="宋体" w:hAnsi="宋体"/>
                <w:sz w:val="24"/>
              </w:rPr>
            </w:pPr>
            <w:r>
              <w:rPr>
                <w:rFonts w:ascii="宋体" w:hAnsi="宋体"/>
                <w:sz w:val="24"/>
              </w:rPr>
              <w:t>□</w:t>
            </w:r>
            <w:r>
              <w:rPr>
                <w:rFonts w:hint="eastAsia" w:ascii="宋体" w:hAnsi="宋体"/>
                <w:sz w:val="24"/>
              </w:rPr>
              <w:t>其它（请说明：）</w:t>
            </w:r>
          </w:p>
        </w:tc>
        <w:tc>
          <w:tcPr>
            <w:tcW w:w="457" w:type="dxa"/>
            <w:vMerge w:val="continue"/>
            <w:tcBorders>
              <w:top w:val="nil"/>
              <w:left w:val="single" w:color="000000" w:sz="4" w:space="0"/>
              <w:bottom w:val="nil"/>
              <w:right w:val="nil"/>
            </w:tcBorders>
            <w:vAlign w:val="top"/>
          </w:tcPr>
          <w:p>
            <w:pPr>
              <w:spacing w:line="320" w:lineRule="exact"/>
              <w:rPr>
                <w:rFonts w:ascii="宋体" w:hAnsi="宋体"/>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2530" w:hRule="atLeast"/>
          <w:jc w:val="center"/>
        </w:trPr>
        <w:tc>
          <w:tcPr>
            <w:tcW w:w="1758" w:type="dxa"/>
            <w:tcBorders>
              <w:top w:val="single" w:color="000000" w:sz="4" w:space="0"/>
              <w:left w:val="single" w:color="auto" w:sz="4" w:space="0"/>
              <w:bottom w:val="single" w:color="auto" w:sz="4" w:space="0"/>
              <w:right w:val="single" w:color="000000" w:sz="4" w:space="0"/>
            </w:tcBorders>
            <w:vAlign w:val="center"/>
          </w:tcPr>
          <w:p>
            <w:pPr>
              <w:spacing w:line="320" w:lineRule="exact"/>
              <w:rPr>
                <w:rFonts w:ascii="宋体" w:hAnsi="宋体"/>
                <w:sz w:val="24"/>
              </w:rPr>
            </w:pPr>
            <w:r>
              <w:rPr>
                <w:rFonts w:hint="eastAsia" w:ascii="宋体" w:hAnsi="宋体"/>
                <w:sz w:val="24"/>
              </w:rPr>
              <w:t>境内业务</w:t>
            </w:r>
          </w:p>
        </w:tc>
        <w:tc>
          <w:tcPr>
            <w:tcW w:w="7620" w:type="dxa"/>
            <w:gridSpan w:val="13"/>
            <w:tcBorders>
              <w:top w:val="single" w:color="000000" w:sz="4" w:space="0"/>
              <w:left w:val="nil"/>
              <w:bottom w:val="single" w:color="auto" w:sz="4" w:space="0"/>
              <w:right w:val="single" w:color="000000" w:sz="4" w:space="0"/>
            </w:tcBorders>
            <w:vAlign w:val="center"/>
          </w:tcPr>
          <w:p>
            <w:pPr>
              <w:spacing w:line="340" w:lineRule="exact"/>
              <w:rPr>
                <w:rFonts w:ascii="宋体" w:hAnsi="宋体"/>
                <w:sz w:val="24"/>
              </w:rPr>
            </w:pPr>
            <w:r>
              <w:rPr>
                <w:rFonts w:ascii="宋体" w:hAnsi="宋体"/>
                <w:sz w:val="24"/>
              </w:rPr>
              <w:t>□</w:t>
            </w:r>
            <w:r>
              <w:rPr>
                <w:rFonts w:hint="eastAsia" w:ascii="宋体" w:hAnsi="宋体"/>
                <w:sz w:val="24"/>
              </w:rPr>
              <w:t>外汇存款</w:t>
            </w:r>
          </w:p>
          <w:p>
            <w:pPr>
              <w:spacing w:line="340" w:lineRule="exact"/>
              <w:rPr>
                <w:rFonts w:ascii="宋体" w:hAnsi="宋体"/>
                <w:sz w:val="24"/>
              </w:rPr>
            </w:pPr>
            <w:r>
              <w:rPr>
                <w:rFonts w:ascii="宋体" w:hAnsi="宋体"/>
                <w:sz w:val="24"/>
              </w:rPr>
              <w:t>□</w:t>
            </w:r>
            <w:r>
              <w:rPr>
                <w:rFonts w:hint="eastAsia" w:ascii="宋体" w:hAnsi="宋体"/>
                <w:sz w:val="24"/>
              </w:rPr>
              <w:t>外汇贷款</w:t>
            </w:r>
          </w:p>
          <w:p>
            <w:pPr>
              <w:spacing w:line="340" w:lineRule="exact"/>
              <w:rPr>
                <w:rFonts w:ascii="宋体" w:hAnsi="宋体"/>
                <w:sz w:val="24"/>
              </w:rPr>
            </w:pPr>
            <w:r>
              <w:rPr>
                <w:rFonts w:ascii="宋体" w:hAnsi="宋体"/>
                <w:sz w:val="24"/>
              </w:rPr>
              <w:t>□</w:t>
            </w:r>
            <w:r>
              <w:rPr>
                <w:rFonts w:hint="eastAsia" w:ascii="宋体" w:hAnsi="宋体"/>
                <w:sz w:val="24"/>
              </w:rPr>
              <w:t>外汇同业拆借</w:t>
            </w:r>
          </w:p>
          <w:p>
            <w:pPr>
              <w:spacing w:line="340" w:lineRule="exact"/>
              <w:rPr>
                <w:rFonts w:ascii="宋体" w:hAnsi="宋体"/>
                <w:sz w:val="24"/>
              </w:rPr>
            </w:pPr>
            <w:r>
              <w:rPr>
                <w:rFonts w:ascii="宋体" w:hAnsi="宋体"/>
                <w:sz w:val="24"/>
              </w:rPr>
              <w:t>□</w:t>
            </w:r>
            <w:r>
              <w:rPr>
                <w:rFonts w:hint="eastAsia" w:ascii="宋体" w:hAnsi="宋体"/>
                <w:sz w:val="24"/>
              </w:rPr>
              <w:t>境内外币证券承销</w:t>
            </w:r>
            <w:r>
              <w:rPr>
                <w:rFonts w:ascii="宋体" w:hAnsi="宋体"/>
                <w:sz w:val="24"/>
              </w:rPr>
              <w:t>□</w:t>
            </w:r>
            <w:r>
              <w:rPr>
                <w:rFonts w:hint="eastAsia" w:ascii="宋体" w:hAnsi="宋体"/>
                <w:sz w:val="24"/>
              </w:rPr>
              <w:t>境内外汇信托</w:t>
            </w:r>
            <w:r>
              <w:rPr>
                <w:rFonts w:ascii="宋体" w:hAnsi="宋体"/>
                <w:sz w:val="24"/>
              </w:rPr>
              <w:t>/</w:t>
            </w:r>
            <w:r>
              <w:rPr>
                <w:rFonts w:hint="eastAsia" w:ascii="宋体" w:hAnsi="宋体"/>
                <w:sz w:val="24"/>
              </w:rPr>
              <w:t>集合计划</w:t>
            </w:r>
          </w:p>
          <w:p>
            <w:pPr>
              <w:spacing w:line="340" w:lineRule="exact"/>
              <w:rPr>
                <w:rFonts w:ascii="宋体" w:hAnsi="宋体"/>
                <w:sz w:val="24"/>
              </w:rPr>
            </w:pPr>
            <w:r>
              <w:rPr>
                <w:rFonts w:ascii="宋体" w:hAnsi="宋体"/>
                <w:sz w:val="24"/>
              </w:rPr>
              <w:t>□</w:t>
            </w:r>
            <w:r>
              <w:rPr>
                <w:rFonts w:hint="eastAsia" w:ascii="宋体" w:hAnsi="宋体"/>
                <w:sz w:val="24"/>
              </w:rPr>
              <w:t>境内外汇资产管理</w:t>
            </w:r>
          </w:p>
          <w:p>
            <w:pPr>
              <w:spacing w:line="340" w:lineRule="exact"/>
              <w:rPr>
                <w:rFonts w:ascii="宋体" w:hAnsi="宋体"/>
                <w:sz w:val="24"/>
              </w:rPr>
            </w:pPr>
            <w:r>
              <w:rPr>
                <w:rFonts w:ascii="宋体" w:hAnsi="宋体"/>
                <w:sz w:val="24"/>
              </w:rPr>
              <w:t>□</w:t>
            </w:r>
            <w:r>
              <w:rPr>
                <w:rFonts w:hint="eastAsia" w:ascii="宋体" w:hAnsi="宋体"/>
                <w:sz w:val="24"/>
              </w:rPr>
              <w:t>境内外汇买卖</w:t>
            </w:r>
          </w:p>
          <w:p>
            <w:pPr>
              <w:spacing w:line="340" w:lineRule="exact"/>
              <w:rPr>
                <w:rFonts w:ascii="宋体" w:hAnsi="宋体"/>
                <w:sz w:val="24"/>
              </w:rPr>
            </w:pPr>
            <w:r>
              <w:rPr>
                <w:rFonts w:ascii="宋体" w:hAnsi="宋体"/>
                <w:sz w:val="24"/>
              </w:rPr>
              <w:t>□</w:t>
            </w:r>
            <w:r>
              <w:rPr>
                <w:rFonts w:hint="eastAsia" w:ascii="宋体" w:hAnsi="宋体"/>
                <w:sz w:val="24"/>
              </w:rPr>
              <w:t>其它（请说明：）</w:t>
            </w:r>
          </w:p>
        </w:tc>
        <w:tc>
          <w:tcPr>
            <w:tcW w:w="457" w:type="dxa"/>
            <w:vMerge w:val="continue"/>
            <w:tcBorders>
              <w:top w:val="nil"/>
              <w:left w:val="single" w:color="000000" w:sz="4" w:space="0"/>
              <w:bottom w:val="nil"/>
              <w:right w:val="nil"/>
            </w:tcBorders>
            <w:vAlign w:val="top"/>
          </w:tcPr>
          <w:p>
            <w:pPr>
              <w:spacing w:line="320" w:lineRule="exact"/>
              <w:rPr>
                <w:rFonts w:ascii="宋体" w:hAnsi="宋体"/>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424" w:hRule="atLeast"/>
          <w:jc w:val="center"/>
        </w:trPr>
        <w:tc>
          <w:tcPr>
            <w:tcW w:w="7783" w:type="dxa"/>
            <w:gridSpan w:val="12"/>
            <w:tcBorders>
              <w:top w:val="nil"/>
              <w:left w:val="single" w:color="auto" w:sz="4" w:space="0"/>
              <w:bottom w:val="single" w:color="auto" w:sz="4" w:space="0"/>
              <w:right w:val="single" w:color="000000" w:sz="4" w:space="0"/>
            </w:tcBorders>
            <w:vAlign w:val="center"/>
          </w:tcPr>
          <w:p>
            <w:pPr>
              <w:spacing w:line="320" w:lineRule="exact"/>
              <w:jc w:val="center"/>
              <w:rPr>
                <w:rFonts w:ascii="宋体" w:hAnsi="宋体"/>
                <w:sz w:val="24"/>
              </w:rPr>
            </w:pPr>
            <w:r>
              <w:rPr>
                <w:rFonts w:hint="eastAsia" w:ascii="宋体" w:hAnsi="宋体"/>
                <w:sz w:val="24"/>
              </w:rPr>
              <w:t>备案的外汇业务是否获得监管机构或其授权的行业管理组织许可（同意）</w:t>
            </w:r>
          </w:p>
        </w:tc>
        <w:tc>
          <w:tcPr>
            <w:tcW w:w="1595" w:type="dxa"/>
            <w:gridSpan w:val="2"/>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宋体" w:hAnsi="宋体"/>
                <w:sz w:val="24"/>
              </w:rPr>
            </w:pPr>
            <w:r>
              <w:rPr>
                <w:rFonts w:ascii="宋体" w:hAnsi="宋体"/>
                <w:sz w:val="24"/>
              </w:rPr>
              <w:t>□</w:t>
            </w:r>
            <w:r>
              <w:rPr>
                <w:rFonts w:hint="eastAsia" w:ascii="宋体" w:hAnsi="宋体"/>
                <w:sz w:val="24"/>
              </w:rPr>
              <w:t>是</w:t>
            </w:r>
            <w:r>
              <w:rPr>
                <w:rFonts w:ascii="宋体" w:hAnsi="宋体"/>
                <w:sz w:val="24"/>
              </w:rPr>
              <w:t xml:space="preserve">  □</w:t>
            </w:r>
            <w:r>
              <w:rPr>
                <w:rFonts w:hint="eastAsia" w:ascii="宋体" w:hAnsi="宋体"/>
                <w:sz w:val="24"/>
              </w:rPr>
              <w:t>否</w:t>
            </w:r>
          </w:p>
        </w:tc>
        <w:tc>
          <w:tcPr>
            <w:tcW w:w="457" w:type="dxa"/>
            <w:vMerge w:val="continue"/>
            <w:tcBorders>
              <w:top w:val="nil"/>
              <w:left w:val="single" w:color="auto" w:sz="4" w:space="0"/>
              <w:bottom w:val="nil"/>
              <w:right w:val="nil"/>
            </w:tcBorders>
            <w:vAlign w:val="top"/>
          </w:tcPr>
          <w:p>
            <w:pPr>
              <w:spacing w:line="320" w:lineRule="exact"/>
              <w:jc w:val="center"/>
              <w:rPr>
                <w:rFonts w:ascii="宋体" w:hAnsi="宋体"/>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20" w:hRule="atLeast"/>
          <w:jc w:val="center"/>
        </w:trPr>
        <w:tc>
          <w:tcPr>
            <w:tcW w:w="1758" w:type="dxa"/>
            <w:tcBorders>
              <w:top w:val="nil"/>
              <w:left w:val="single" w:color="auto" w:sz="4" w:space="0"/>
              <w:bottom w:val="single" w:color="auto" w:sz="4" w:space="0"/>
              <w:right w:val="nil"/>
            </w:tcBorders>
            <w:vAlign w:val="center"/>
          </w:tcPr>
          <w:p>
            <w:pPr>
              <w:spacing w:line="320" w:lineRule="exact"/>
              <w:jc w:val="center"/>
              <w:rPr>
                <w:rFonts w:ascii="宋体" w:hAnsi="宋体"/>
                <w:sz w:val="24"/>
              </w:rPr>
            </w:pPr>
            <w:r>
              <w:rPr>
                <w:rFonts w:hint="eastAsia" w:ascii="宋体" w:hAnsi="宋体"/>
                <w:sz w:val="24"/>
              </w:rPr>
              <w:t>外汇业务</w:t>
            </w:r>
          </w:p>
        </w:tc>
        <w:tc>
          <w:tcPr>
            <w:tcW w:w="2523" w:type="dxa"/>
            <w:gridSpan w:val="3"/>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宋体" w:hAnsi="宋体"/>
                <w:sz w:val="24"/>
              </w:rPr>
            </w:pPr>
            <w:r>
              <w:rPr>
                <w:rFonts w:hint="eastAsia" w:ascii="宋体" w:hAnsi="宋体"/>
                <w:sz w:val="24"/>
              </w:rPr>
              <w:t>外汇业务许可监管机构或行业管理组织</w:t>
            </w:r>
          </w:p>
        </w:tc>
        <w:tc>
          <w:tcPr>
            <w:tcW w:w="2108" w:type="dxa"/>
            <w:gridSpan w:val="4"/>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宋体" w:hAnsi="宋体"/>
                <w:sz w:val="24"/>
              </w:rPr>
            </w:pPr>
            <w:r>
              <w:rPr>
                <w:rFonts w:hint="eastAsia" w:ascii="宋体" w:hAnsi="宋体"/>
                <w:sz w:val="24"/>
              </w:rPr>
              <w:t>许可</w:t>
            </w:r>
            <w:r>
              <w:rPr>
                <w:rFonts w:ascii="宋体" w:hAnsi="宋体"/>
                <w:sz w:val="24"/>
              </w:rPr>
              <w:t>/</w:t>
            </w:r>
            <w:r>
              <w:rPr>
                <w:rFonts w:hint="eastAsia" w:ascii="宋体" w:hAnsi="宋体"/>
                <w:sz w:val="24"/>
              </w:rPr>
              <w:t>同意文件号</w:t>
            </w:r>
          </w:p>
        </w:tc>
        <w:tc>
          <w:tcPr>
            <w:tcW w:w="2989" w:type="dxa"/>
            <w:gridSpan w:val="6"/>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宋体" w:hAnsi="宋体"/>
                <w:sz w:val="24"/>
              </w:rPr>
            </w:pPr>
            <w:r>
              <w:rPr>
                <w:rFonts w:hint="eastAsia" w:ascii="宋体" w:hAnsi="宋体"/>
                <w:sz w:val="24"/>
              </w:rPr>
              <w:t>许可</w:t>
            </w:r>
            <w:r>
              <w:rPr>
                <w:rFonts w:ascii="宋体" w:hAnsi="宋体"/>
                <w:sz w:val="24"/>
              </w:rPr>
              <w:t>/</w:t>
            </w:r>
            <w:r>
              <w:rPr>
                <w:rFonts w:hint="eastAsia" w:ascii="宋体" w:hAnsi="宋体"/>
                <w:sz w:val="24"/>
              </w:rPr>
              <w:t>同意日期</w:t>
            </w:r>
          </w:p>
        </w:tc>
        <w:tc>
          <w:tcPr>
            <w:tcW w:w="457" w:type="dxa"/>
            <w:vMerge w:val="continue"/>
            <w:tcBorders>
              <w:top w:val="nil"/>
              <w:left w:val="single" w:color="auto" w:sz="4" w:space="0"/>
              <w:bottom w:val="nil"/>
              <w:right w:val="nil"/>
            </w:tcBorders>
            <w:vAlign w:val="top"/>
          </w:tcPr>
          <w:p>
            <w:pPr>
              <w:spacing w:line="320" w:lineRule="exact"/>
              <w:jc w:val="center"/>
              <w:rPr>
                <w:rFonts w:ascii="宋体" w:hAnsi="宋体"/>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20" w:hRule="atLeast"/>
          <w:jc w:val="center"/>
        </w:trPr>
        <w:tc>
          <w:tcPr>
            <w:tcW w:w="1758" w:type="dxa"/>
            <w:tcBorders>
              <w:top w:val="nil"/>
              <w:left w:val="single" w:color="auto" w:sz="4" w:space="0"/>
              <w:bottom w:val="single" w:color="auto" w:sz="4" w:space="0"/>
              <w:right w:val="nil"/>
            </w:tcBorders>
            <w:vAlign w:val="center"/>
          </w:tcPr>
          <w:p>
            <w:pPr>
              <w:spacing w:line="320" w:lineRule="exact"/>
              <w:jc w:val="center"/>
              <w:rPr>
                <w:rFonts w:ascii="宋体" w:hAnsi="宋体"/>
                <w:sz w:val="24"/>
              </w:rPr>
            </w:pPr>
          </w:p>
        </w:tc>
        <w:tc>
          <w:tcPr>
            <w:tcW w:w="2523" w:type="dxa"/>
            <w:gridSpan w:val="3"/>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宋体" w:hAnsi="宋体"/>
                <w:sz w:val="24"/>
              </w:rPr>
            </w:pPr>
          </w:p>
        </w:tc>
        <w:tc>
          <w:tcPr>
            <w:tcW w:w="2108" w:type="dxa"/>
            <w:gridSpan w:val="4"/>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宋体" w:hAnsi="宋体"/>
                <w:sz w:val="24"/>
              </w:rPr>
            </w:pPr>
          </w:p>
        </w:tc>
        <w:tc>
          <w:tcPr>
            <w:tcW w:w="2989" w:type="dxa"/>
            <w:gridSpan w:val="6"/>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宋体" w:hAnsi="宋体"/>
                <w:sz w:val="24"/>
              </w:rPr>
            </w:pPr>
          </w:p>
        </w:tc>
        <w:tc>
          <w:tcPr>
            <w:tcW w:w="457" w:type="dxa"/>
            <w:vMerge w:val="continue"/>
            <w:tcBorders>
              <w:top w:val="nil"/>
              <w:left w:val="single" w:color="auto" w:sz="4" w:space="0"/>
              <w:bottom w:val="nil"/>
              <w:right w:val="nil"/>
            </w:tcBorders>
            <w:vAlign w:val="top"/>
          </w:tcPr>
          <w:p>
            <w:pPr>
              <w:spacing w:line="320" w:lineRule="exact"/>
              <w:jc w:val="center"/>
              <w:rPr>
                <w:rFonts w:ascii="宋体" w:hAnsi="宋体"/>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20" w:hRule="atLeast"/>
          <w:jc w:val="center"/>
        </w:trPr>
        <w:tc>
          <w:tcPr>
            <w:tcW w:w="1758" w:type="dxa"/>
            <w:tcBorders>
              <w:top w:val="nil"/>
              <w:left w:val="single" w:color="auto" w:sz="4" w:space="0"/>
              <w:bottom w:val="single" w:color="auto" w:sz="4" w:space="0"/>
              <w:right w:val="nil"/>
            </w:tcBorders>
            <w:vAlign w:val="center"/>
          </w:tcPr>
          <w:p>
            <w:pPr>
              <w:spacing w:line="320" w:lineRule="exact"/>
              <w:jc w:val="center"/>
              <w:rPr>
                <w:rFonts w:ascii="宋体" w:hAnsi="宋体"/>
                <w:sz w:val="24"/>
              </w:rPr>
            </w:pPr>
            <w:r>
              <w:rPr>
                <w:rFonts w:ascii="宋体" w:hAnsi="宋体"/>
                <w:sz w:val="24"/>
              </w:rPr>
              <w:t>……</w:t>
            </w:r>
            <w:r>
              <w:rPr>
                <w:rFonts w:hint="eastAsia" w:ascii="宋体" w:hAnsi="宋体"/>
                <w:sz w:val="24"/>
              </w:rPr>
              <w:t>（可加行）</w:t>
            </w:r>
          </w:p>
        </w:tc>
        <w:tc>
          <w:tcPr>
            <w:tcW w:w="2523" w:type="dxa"/>
            <w:gridSpan w:val="3"/>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宋体" w:hAnsi="宋体"/>
                <w:sz w:val="24"/>
              </w:rPr>
            </w:pPr>
          </w:p>
        </w:tc>
        <w:tc>
          <w:tcPr>
            <w:tcW w:w="2108" w:type="dxa"/>
            <w:gridSpan w:val="4"/>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宋体" w:hAnsi="宋体"/>
                <w:sz w:val="24"/>
              </w:rPr>
            </w:pPr>
          </w:p>
        </w:tc>
        <w:tc>
          <w:tcPr>
            <w:tcW w:w="2989" w:type="dxa"/>
            <w:gridSpan w:val="6"/>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宋体" w:hAnsi="宋体"/>
                <w:sz w:val="24"/>
              </w:rPr>
            </w:pPr>
          </w:p>
        </w:tc>
        <w:tc>
          <w:tcPr>
            <w:tcW w:w="457" w:type="dxa"/>
            <w:vMerge w:val="continue"/>
            <w:tcBorders>
              <w:top w:val="nil"/>
              <w:left w:val="single" w:color="auto" w:sz="4" w:space="0"/>
              <w:bottom w:val="nil"/>
              <w:right w:val="nil"/>
            </w:tcBorders>
            <w:vAlign w:val="top"/>
          </w:tcPr>
          <w:p>
            <w:pPr>
              <w:spacing w:line="320" w:lineRule="exact"/>
              <w:jc w:val="center"/>
              <w:rPr>
                <w:rFonts w:ascii="宋体" w:hAnsi="宋体"/>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20" w:hRule="atLeast"/>
          <w:jc w:val="center"/>
        </w:trPr>
        <w:tc>
          <w:tcPr>
            <w:tcW w:w="1758" w:type="dxa"/>
            <w:tcBorders>
              <w:top w:val="nil"/>
              <w:left w:val="single" w:color="auto" w:sz="4" w:space="0"/>
              <w:bottom w:val="single" w:color="auto" w:sz="4" w:space="0"/>
              <w:right w:val="nil"/>
            </w:tcBorders>
            <w:vAlign w:val="center"/>
          </w:tcPr>
          <w:p>
            <w:pPr>
              <w:spacing w:line="320" w:lineRule="exact"/>
              <w:jc w:val="center"/>
              <w:rPr>
                <w:rFonts w:ascii="宋体" w:hAnsi="宋体"/>
                <w:sz w:val="24"/>
              </w:rPr>
            </w:pPr>
            <w:r>
              <w:rPr>
                <w:rFonts w:hint="eastAsia" w:ascii="宋体" w:hAnsi="宋体"/>
                <w:sz w:val="24"/>
              </w:rPr>
              <w:t>外汇业务具体情况说明</w:t>
            </w:r>
          </w:p>
        </w:tc>
        <w:tc>
          <w:tcPr>
            <w:tcW w:w="7620" w:type="dxa"/>
            <w:gridSpan w:val="13"/>
            <w:tcBorders>
              <w:top w:val="single" w:color="auto" w:sz="4" w:space="0"/>
              <w:left w:val="single" w:color="auto" w:sz="4" w:space="0"/>
              <w:bottom w:val="single" w:color="auto" w:sz="4" w:space="0"/>
              <w:right w:val="single" w:color="000000" w:sz="4" w:space="0"/>
            </w:tcBorders>
            <w:vAlign w:val="center"/>
          </w:tcPr>
          <w:p>
            <w:pPr>
              <w:spacing w:line="320" w:lineRule="exact"/>
              <w:rPr>
                <w:rFonts w:ascii="宋体" w:hAnsi="宋体"/>
                <w:sz w:val="24"/>
              </w:rPr>
            </w:pPr>
            <w:r>
              <w:rPr>
                <w:rFonts w:hint="eastAsia" w:ascii="宋体" w:hAnsi="宋体"/>
                <w:sz w:val="24"/>
              </w:rPr>
              <w:t>（可附页）</w:t>
            </w:r>
          </w:p>
        </w:tc>
        <w:tc>
          <w:tcPr>
            <w:tcW w:w="457" w:type="dxa"/>
            <w:vMerge w:val="continue"/>
            <w:tcBorders>
              <w:top w:val="nil"/>
              <w:left w:val="single" w:color="auto" w:sz="4" w:space="0"/>
              <w:bottom w:val="nil"/>
              <w:right w:val="nil"/>
            </w:tcBorders>
            <w:vAlign w:val="top"/>
          </w:tcPr>
          <w:p>
            <w:pPr>
              <w:spacing w:line="320" w:lineRule="exact"/>
              <w:rPr>
                <w:rFonts w:ascii="宋体" w:hAnsi="宋体"/>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1990" w:hRule="atLeast"/>
          <w:jc w:val="center"/>
        </w:trPr>
        <w:tc>
          <w:tcPr>
            <w:tcW w:w="9378" w:type="dxa"/>
            <w:gridSpan w:val="14"/>
            <w:tcBorders>
              <w:top w:val="single" w:color="000000" w:sz="4" w:space="0"/>
              <w:left w:val="single" w:color="000000" w:sz="4" w:space="0"/>
              <w:bottom w:val="single" w:color="000000" w:sz="4" w:space="0"/>
              <w:right w:val="single" w:color="000000" w:sz="4" w:space="0"/>
            </w:tcBorders>
            <w:vAlign w:val="center"/>
          </w:tcPr>
          <w:p>
            <w:pPr>
              <w:spacing w:line="280" w:lineRule="exact"/>
              <w:ind w:firstLine="482" w:firstLineChars="200"/>
              <w:rPr>
                <w:rFonts w:ascii="宋体" w:hAnsi="宋体"/>
                <w:b/>
                <w:sz w:val="24"/>
              </w:rPr>
            </w:pPr>
            <w:r>
              <w:rPr>
                <w:rFonts w:hint="eastAsia" w:ascii="宋体" w:hAnsi="宋体"/>
                <w:b/>
                <w:sz w:val="24"/>
              </w:rPr>
              <w:t>本机构承诺备案表中内容及所附材料真实、准确，无虚假信息，并承诺严格按照相关外汇管理规定开展业务，接受国家外汇管理部门的监督、管理和检查。</w:t>
            </w:r>
          </w:p>
          <w:p>
            <w:pPr>
              <w:spacing w:line="280" w:lineRule="exact"/>
              <w:ind w:firstLine="482" w:firstLineChars="200"/>
              <w:jc w:val="center"/>
              <w:rPr>
                <w:rFonts w:ascii="宋体" w:hAnsi="宋体"/>
                <w:b/>
                <w:sz w:val="24"/>
              </w:rPr>
            </w:pPr>
          </w:p>
          <w:p>
            <w:pPr>
              <w:spacing w:line="280" w:lineRule="exact"/>
              <w:ind w:firstLine="482" w:firstLineChars="200"/>
              <w:jc w:val="center"/>
              <w:rPr>
                <w:rFonts w:ascii="宋体" w:hAnsi="宋体"/>
                <w:b/>
                <w:sz w:val="24"/>
              </w:rPr>
            </w:pPr>
          </w:p>
          <w:p>
            <w:pPr>
              <w:spacing w:line="280" w:lineRule="exact"/>
              <w:jc w:val="center"/>
              <w:rPr>
                <w:rFonts w:ascii="宋体" w:hAnsi="宋体"/>
                <w:b/>
                <w:sz w:val="24"/>
              </w:rPr>
            </w:pPr>
            <w:r>
              <w:rPr>
                <w:rFonts w:hint="eastAsia" w:ascii="宋体" w:hAnsi="宋体"/>
                <w:b/>
                <w:sz w:val="24"/>
              </w:rPr>
              <w:t>机构名称（盖章）：</w:t>
            </w:r>
          </w:p>
          <w:p>
            <w:pPr>
              <w:spacing w:line="280" w:lineRule="exact"/>
              <w:jc w:val="center"/>
              <w:rPr>
                <w:rFonts w:ascii="宋体" w:hAnsi="宋体"/>
              </w:rPr>
            </w:pPr>
            <w:r>
              <w:rPr>
                <w:rFonts w:hint="eastAsia" w:ascii="宋体" w:hAnsi="宋体"/>
                <w:b/>
                <w:sz w:val="24"/>
              </w:rPr>
              <w:t>年   月   日</w:t>
            </w:r>
          </w:p>
        </w:tc>
        <w:tc>
          <w:tcPr>
            <w:tcW w:w="457" w:type="dxa"/>
            <w:vMerge w:val="continue"/>
            <w:tcBorders>
              <w:top w:val="nil"/>
              <w:left w:val="single" w:color="000000" w:sz="4" w:space="0"/>
              <w:bottom w:val="nil"/>
              <w:right w:val="nil"/>
            </w:tcBorders>
            <w:vAlign w:val="top"/>
          </w:tcPr>
          <w:p>
            <w:pPr>
              <w:spacing w:line="320" w:lineRule="exact"/>
              <w:ind w:firstLine="482" w:firstLineChars="200"/>
              <w:rPr>
                <w:rFonts w:ascii="宋体" w:hAnsi="宋体"/>
                <w:b/>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740" w:hRule="atLeast"/>
          <w:jc w:val="center"/>
        </w:trPr>
        <w:tc>
          <w:tcPr>
            <w:tcW w:w="9378" w:type="dxa"/>
            <w:gridSpan w:val="14"/>
            <w:tcBorders>
              <w:top w:val="single" w:color="000000" w:sz="4" w:space="0"/>
              <w:left w:val="single" w:color="000000" w:sz="4" w:space="0"/>
              <w:bottom w:val="single" w:color="000000" w:sz="4" w:space="0"/>
              <w:right w:val="single" w:color="000000" w:sz="4" w:space="0"/>
            </w:tcBorders>
            <w:vAlign w:val="center"/>
          </w:tcPr>
          <w:p>
            <w:pPr>
              <w:spacing w:line="320" w:lineRule="exact"/>
              <w:ind w:firstLine="480" w:firstLineChars="200"/>
              <w:rPr>
                <w:rFonts w:ascii="宋体" w:hAnsi="宋体"/>
                <w:b/>
                <w:sz w:val="24"/>
              </w:rPr>
            </w:pPr>
            <w:r>
              <w:rPr>
                <w:rFonts w:hint="eastAsia" w:ascii="宋体" w:hAnsi="宋体"/>
                <w:sz w:val="24"/>
              </w:rPr>
              <w:t>经审核，同意公司业务予以备案。</w:t>
            </w:r>
          </w:p>
        </w:tc>
        <w:tc>
          <w:tcPr>
            <w:tcW w:w="457" w:type="dxa"/>
            <w:vMerge w:val="continue"/>
            <w:tcBorders>
              <w:top w:val="nil"/>
              <w:left w:val="single" w:color="000000" w:sz="4" w:space="0"/>
              <w:bottom w:val="nil"/>
              <w:right w:val="nil"/>
            </w:tcBorders>
            <w:vAlign w:val="top"/>
          </w:tcPr>
          <w:p>
            <w:pPr>
              <w:spacing w:line="320" w:lineRule="exact"/>
              <w:ind w:firstLine="480" w:firstLineChars="200"/>
              <w:rPr>
                <w:rFonts w:ascii="宋体" w:hAnsi="宋体"/>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2370" w:hRule="atLeast"/>
          <w:jc w:val="center"/>
        </w:trPr>
        <w:tc>
          <w:tcPr>
            <w:tcW w:w="4364" w:type="dxa"/>
            <w:gridSpan w:val="6"/>
            <w:tcBorders>
              <w:top w:val="single" w:color="000000" w:sz="4" w:space="0"/>
              <w:left w:val="single" w:color="000000" w:sz="4" w:space="0"/>
              <w:bottom w:val="single" w:color="000000" w:sz="4" w:space="0"/>
              <w:right w:val="single" w:color="000000" w:sz="4" w:space="0"/>
            </w:tcBorders>
            <w:vAlign w:val="top"/>
          </w:tcPr>
          <w:p>
            <w:pPr>
              <w:spacing w:line="320" w:lineRule="exact"/>
              <w:rPr>
                <w:rFonts w:ascii="宋体" w:hAnsi="宋体"/>
                <w:sz w:val="24"/>
              </w:rPr>
            </w:pPr>
          </w:p>
          <w:p>
            <w:pPr>
              <w:spacing w:line="320" w:lineRule="exact"/>
              <w:rPr>
                <w:rFonts w:ascii="宋体" w:hAnsi="宋体"/>
                <w:b/>
                <w:sz w:val="24"/>
              </w:rPr>
            </w:pPr>
            <w:r>
              <w:rPr>
                <w:rFonts w:hint="eastAsia" w:ascii="宋体" w:hAnsi="宋体"/>
                <w:sz w:val="24"/>
              </w:rPr>
              <w:t>签发人：</w:t>
            </w:r>
          </w:p>
        </w:tc>
        <w:tc>
          <w:tcPr>
            <w:tcW w:w="5014" w:type="dxa"/>
            <w:gridSpan w:val="8"/>
            <w:tcBorders>
              <w:top w:val="single" w:color="000000" w:sz="4" w:space="0"/>
              <w:left w:val="single" w:color="000000" w:sz="4" w:space="0"/>
              <w:bottom w:val="single" w:color="000000" w:sz="4" w:space="0"/>
              <w:right w:val="single" w:color="000000" w:sz="4" w:space="0"/>
            </w:tcBorders>
            <w:vAlign w:val="top"/>
          </w:tcPr>
          <w:p>
            <w:pPr>
              <w:spacing w:line="320" w:lineRule="exact"/>
              <w:rPr>
                <w:rFonts w:ascii="宋体" w:hAnsi="宋体"/>
                <w:sz w:val="24"/>
              </w:rPr>
            </w:pPr>
          </w:p>
          <w:p>
            <w:pPr>
              <w:spacing w:line="320" w:lineRule="exact"/>
              <w:rPr>
                <w:rFonts w:ascii="宋体" w:hAnsi="宋体"/>
                <w:sz w:val="24"/>
              </w:rPr>
            </w:pPr>
            <w:r>
              <w:rPr>
                <w:rFonts w:hint="eastAsia" w:ascii="宋体" w:hAnsi="宋体"/>
                <w:sz w:val="24"/>
              </w:rPr>
              <w:t>经办人：</w:t>
            </w:r>
          </w:p>
          <w:p>
            <w:pPr>
              <w:spacing w:line="320" w:lineRule="exact"/>
              <w:rPr>
                <w:rFonts w:ascii="宋体" w:hAnsi="宋体"/>
                <w:sz w:val="24"/>
              </w:rPr>
            </w:pPr>
          </w:p>
          <w:p>
            <w:pPr>
              <w:spacing w:line="320" w:lineRule="exact"/>
              <w:rPr>
                <w:rFonts w:ascii="宋体" w:hAnsi="宋体"/>
                <w:sz w:val="24"/>
              </w:rPr>
            </w:pPr>
          </w:p>
          <w:p>
            <w:pPr>
              <w:spacing w:line="320" w:lineRule="exact"/>
              <w:rPr>
                <w:rFonts w:ascii="宋体" w:hAnsi="宋体"/>
                <w:sz w:val="24"/>
              </w:rPr>
            </w:pPr>
            <w:r>
              <w:rPr>
                <w:rFonts w:hint="eastAsia" w:ascii="宋体" w:hAnsi="宋体"/>
                <w:sz w:val="24"/>
              </w:rPr>
              <w:t>审核人：</w:t>
            </w:r>
          </w:p>
        </w:tc>
        <w:tc>
          <w:tcPr>
            <w:tcW w:w="457" w:type="dxa"/>
            <w:vMerge w:val="continue"/>
            <w:tcBorders>
              <w:top w:val="nil"/>
              <w:left w:val="single" w:color="000000" w:sz="4" w:space="0"/>
              <w:bottom w:val="nil"/>
              <w:right w:val="nil"/>
            </w:tcBorders>
            <w:vAlign w:val="top"/>
          </w:tcPr>
          <w:p>
            <w:pPr>
              <w:spacing w:line="320" w:lineRule="exact"/>
              <w:rPr>
                <w:rFonts w:ascii="宋体" w:hAnsi="宋体"/>
                <w:sz w:val="24"/>
              </w:rPr>
            </w:pPr>
          </w:p>
        </w:tc>
      </w:tr>
    </w:tbl>
    <w:p>
      <w:pPr>
        <w:spacing w:line="320" w:lineRule="exact"/>
        <w:ind w:leftChars="-337" w:hanging="708" w:hangingChars="336"/>
        <w:jc w:val="left"/>
        <w:rPr>
          <w:rFonts w:ascii="宋体" w:hAnsi="宋体"/>
          <w:b/>
        </w:rPr>
      </w:pPr>
      <w:r>
        <w:rPr>
          <w:rFonts w:hint="eastAsia" w:ascii="宋体" w:hAnsi="宋体"/>
          <w:b/>
        </w:rPr>
        <w:t>填表说明：</w:t>
      </w:r>
    </w:p>
    <w:p>
      <w:pPr>
        <w:spacing w:line="320" w:lineRule="exact"/>
        <w:ind w:left="-708" w:leftChars="-337" w:firstLine="424" w:firstLineChars="202"/>
        <w:rPr>
          <w:rFonts w:ascii="宋体" w:hAnsi="宋体"/>
        </w:rPr>
      </w:pPr>
      <w:r>
        <w:rPr>
          <w:rFonts w:ascii="宋体" w:hAnsi="宋体"/>
        </w:rPr>
        <w:t>1</w:t>
      </w:r>
      <w:r>
        <w:rPr>
          <w:rFonts w:hint="eastAsia" w:ascii="宋体" w:hAnsi="宋体"/>
        </w:rPr>
        <w:t>、非银行金融机构填报本备案表一式两联，外汇局审核无误后将加盖业务印章的第二联作为备案证明退还非银行金融机构。</w:t>
      </w:r>
    </w:p>
    <w:p>
      <w:pPr>
        <w:spacing w:line="320" w:lineRule="exact"/>
        <w:ind w:left="-710" w:leftChars="-338" w:firstLine="424" w:firstLineChars="202"/>
        <w:rPr>
          <w:rFonts w:ascii="宋体" w:hAnsi="宋体"/>
        </w:rPr>
      </w:pPr>
      <w:r>
        <w:rPr>
          <w:rFonts w:ascii="宋体" w:hAnsi="宋体"/>
        </w:rPr>
        <w:t>2</w:t>
      </w:r>
      <w:r>
        <w:rPr>
          <w:rFonts w:hint="eastAsia" w:ascii="宋体" w:hAnsi="宋体"/>
        </w:rPr>
        <w:t>、若本备案表中已经外汇局确认的相关事项发生变更或注销（停办），非银行金融机构应重新填报本备案表一式两联报外汇局办理变更或注销（停办）备案，并对变更或注销（停办）内容进行标注。外汇局审核无误后将加盖业务印章的备案联作为备案证明退还非银行金融机构，同时将原备案证明收回。</w:t>
      </w:r>
    </w:p>
    <w:p>
      <w:pPr>
        <w:spacing w:line="320" w:lineRule="exact"/>
        <w:rPr>
          <w:rFonts w:ascii="宋体" w:hAnsi="宋体"/>
          <w:sz w:val="28"/>
          <w:szCs w:val="28"/>
        </w:rPr>
      </w:pPr>
    </w:p>
    <w:p>
      <w:pPr>
        <w:spacing w:line="320" w:lineRule="exact"/>
        <w:rPr>
          <w:rFonts w:ascii="宋体" w:hAnsi="宋体"/>
          <w:sz w:val="28"/>
          <w:szCs w:val="28"/>
        </w:rPr>
      </w:pPr>
    </w:p>
    <w:p>
      <w:pPr>
        <w:spacing w:line="320" w:lineRule="exact"/>
        <w:rPr>
          <w:rFonts w:ascii="宋体" w:hAnsi="宋体"/>
          <w:sz w:val="28"/>
          <w:szCs w:val="28"/>
        </w:rPr>
      </w:pPr>
    </w:p>
    <w:bookmarkEnd w:id="5"/>
    <w:bookmarkEnd w:id="6"/>
    <w:bookmarkEnd w:id="7"/>
    <w:p>
      <w:pPr>
        <w:ind w:right="300"/>
        <w:rPr>
          <w:rFonts w:ascii="Times New Roman" w:hAnsi="Times New Roman" w:eastAsia="黑体"/>
          <w:sz w:val="30"/>
          <w:szCs w:val="30"/>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auto"/>
    <w:pitch w:val="default"/>
    <w:sig w:usb0="00000000" w:usb1="00000000" w:usb2="00082016" w:usb3="00000000" w:csb0="00040001" w:csb1="00000000"/>
  </w:font>
  <w:font w:name="仿宋GB2312">
    <w:altName w:val="仿宋"/>
    <w:panose1 w:val="00000000000000000000"/>
    <w:charset w:val="86"/>
    <w:family w:val="auto"/>
    <w:pitch w:val="default"/>
    <w:sig w:usb0="00000000" w:usb1="00000000" w:usb2="00000000"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E536C4"/>
    <w:rsid w:val="00001712"/>
    <w:rsid w:val="00001EF3"/>
    <w:rsid w:val="00002CDC"/>
    <w:rsid w:val="00003658"/>
    <w:rsid w:val="00010AE4"/>
    <w:rsid w:val="00011883"/>
    <w:rsid w:val="00013569"/>
    <w:rsid w:val="0001694E"/>
    <w:rsid w:val="000169E9"/>
    <w:rsid w:val="00016BFB"/>
    <w:rsid w:val="000209DA"/>
    <w:rsid w:val="0002108A"/>
    <w:rsid w:val="0002135B"/>
    <w:rsid w:val="00023538"/>
    <w:rsid w:val="00024DC8"/>
    <w:rsid w:val="00027787"/>
    <w:rsid w:val="00030D78"/>
    <w:rsid w:val="00033818"/>
    <w:rsid w:val="00033ADC"/>
    <w:rsid w:val="00034506"/>
    <w:rsid w:val="00035B82"/>
    <w:rsid w:val="00036919"/>
    <w:rsid w:val="00040BFC"/>
    <w:rsid w:val="00040C81"/>
    <w:rsid w:val="000456A7"/>
    <w:rsid w:val="00045CD3"/>
    <w:rsid w:val="00046A60"/>
    <w:rsid w:val="00046B16"/>
    <w:rsid w:val="00052700"/>
    <w:rsid w:val="0005543D"/>
    <w:rsid w:val="00056F8B"/>
    <w:rsid w:val="0006058D"/>
    <w:rsid w:val="00065BEA"/>
    <w:rsid w:val="00066C4D"/>
    <w:rsid w:val="00067AD5"/>
    <w:rsid w:val="0007132C"/>
    <w:rsid w:val="0007489C"/>
    <w:rsid w:val="00075560"/>
    <w:rsid w:val="00076C53"/>
    <w:rsid w:val="00081725"/>
    <w:rsid w:val="00082479"/>
    <w:rsid w:val="00082B5D"/>
    <w:rsid w:val="00083644"/>
    <w:rsid w:val="00083FBF"/>
    <w:rsid w:val="00083FD4"/>
    <w:rsid w:val="0008433C"/>
    <w:rsid w:val="0008502A"/>
    <w:rsid w:val="000853C8"/>
    <w:rsid w:val="0008592C"/>
    <w:rsid w:val="00085EEB"/>
    <w:rsid w:val="00087CFD"/>
    <w:rsid w:val="00091805"/>
    <w:rsid w:val="00092D51"/>
    <w:rsid w:val="000930F9"/>
    <w:rsid w:val="000937AA"/>
    <w:rsid w:val="00094AE3"/>
    <w:rsid w:val="000A4255"/>
    <w:rsid w:val="000B1DFD"/>
    <w:rsid w:val="000C1784"/>
    <w:rsid w:val="000C1826"/>
    <w:rsid w:val="000C2C63"/>
    <w:rsid w:val="000C40A1"/>
    <w:rsid w:val="000C4BDB"/>
    <w:rsid w:val="000C5185"/>
    <w:rsid w:val="000C5238"/>
    <w:rsid w:val="000C6196"/>
    <w:rsid w:val="000C6D1E"/>
    <w:rsid w:val="000C745D"/>
    <w:rsid w:val="000D0B57"/>
    <w:rsid w:val="000D2200"/>
    <w:rsid w:val="000D485C"/>
    <w:rsid w:val="000D4DBB"/>
    <w:rsid w:val="000D788E"/>
    <w:rsid w:val="000E1C44"/>
    <w:rsid w:val="000E3134"/>
    <w:rsid w:val="000E4FB4"/>
    <w:rsid w:val="000E5806"/>
    <w:rsid w:val="000E7CEF"/>
    <w:rsid w:val="000F1CA7"/>
    <w:rsid w:val="000F6746"/>
    <w:rsid w:val="00100342"/>
    <w:rsid w:val="0010082B"/>
    <w:rsid w:val="00102626"/>
    <w:rsid w:val="00102DAA"/>
    <w:rsid w:val="00106EC7"/>
    <w:rsid w:val="001076E8"/>
    <w:rsid w:val="00114B87"/>
    <w:rsid w:val="00120226"/>
    <w:rsid w:val="00121DBD"/>
    <w:rsid w:val="00122891"/>
    <w:rsid w:val="00122B3D"/>
    <w:rsid w:val="00124AA2"/>
    <w:rsid w:val="00125732"/>
    <w:rsid w:val="00130FDC"/>
    <w:rsid w:val="00132371"/>
    <w:rsid w:val="00142D89"/>
    <w:rsid w:val="00145A34"/>
    <w:rsid w:val="0014702A"/>
    <w:rsid w:val="001475D2"/>
    <w:rsid w:val="00151B22"/>
    <w:rsid w:val="0015289C"/>
    <w:rsid w:val="00153280"/>
    <w:rsid w:val="001566A5"/>
    <w:rsid w:val="00156C0F"/>
    <w:rsid w:val="00160F80"/>
    <w:rsid w:val="001615A9"/>
    <w:rsid w:val="0016419C"/>
    <w:rsid w:val="001746D8"/>
    <w:rsid w:val="001814AE"/>
    <w:rsid w:val="001834DC"/>
    <w:rsid w:val="00183982"/>
    <w:rsid w:val="0019029C"/>
    <w:rsid w:val="0019042C"/>
    <w:rsid w:val="00194C73"/>
    <w:rsid w:val="001953E7"/>
    <w:rsid w:val="001A17E7"/>
    <w:rsid w:val="001A2BE0"/>
    <w:rsid w:val="001A486D"/>
    <w:rsid w:val="001A5DDB"/>
    <w:rsid w:val="001A5F89"/>
    <w:rsid w:val="001B311C"/>
    <w:rsid w:val="001B3ECF"/>
    <w:rsid w:val="001B4769"/>
    <w:rsid w:val="001B4889"/>
    <w:rsid w:val="001C24D9"/>
    <w:rsid w:val="001C43AF"/>
    <w:rsid w:val="001C7355"/>
    <w:rsid w:val="001D346C"/>
    <w:rsid w:val="001D4515"/>
    <w:rsid w:val="001D610A"/>
    <w:rsid w:val="001D7EC5"/>
    <w:rsid w:val="001E043A"/>
    <w:rsid w:val="001E0B5F"/>
    <w:rsid w:val="001E1ADC"/>
    <w:rsid w:val="001E25E4"/>
    <w:rsid w:val="001E2BF6"/>
    <w:rsid w:val="001E3134"/>
    <w:rsid w:val="001E37A3"/>
    <w:rsid w:val="001E4924"/>
    <w:rsid w:val="001E55DA"/>
    <w:rsid w:val="001F09AB"/>
    <w:rsid w:val="001F389A"/>
    <w:rsid w:val="001F55ED"/>
    <w:rsid w:val="001F73EA"/>
    <w:rsid w:val="00200F00"/>
    <w:rsid w:val="00201F00"/>
    <w:rsid w:val="00202E8F"/>
    <w:rsid w:val="00203D56"/>
    <w:rsid w:val="0020487F"/>
    <w:rsid w:val="00214E77"/>
    <w:rsid w:val="00215254"/>
    <w:rsid w:val="002153DF"/>
    <w:rsid w:val="00217EA2"/>
    <w:rsid w:val="00222AC8"/>
    <w:rsid w:val="002238C2"/>
    <w:rsid w:val="002249C9"/>
    <w:rsid w:val="00225965"/>
    <w:rsid w:val="00225CD4"/>
    <w:rsid w:val="0022682E"/>
    <w:rsid w:val="002271E2"/>
    <w:rsid w:val="002314E3"/>
    <w:rsid w:val="00232610"/>
    <w:rsid w:val="00232816"/>
    <w:rsid w:val="00234137"/>
    <w:rsid w:val="002371E0"/>
    <w:rsid w:val="00237AB2"/>
    <w:rsid w:val="00237E93"/>
    <w:rsid w:val="002405D3"/>
    <w:rsid w:val="00241870"/>
    <w:rsid w:val="00241A21"/>
    <w:rsid w:val="002465D5"/>
    <w:rsid w:val="00252D37"/>
    <w:rsid w:val="002542D1"/>
    <w:rsid w:val="0025437B"/>
    <w:rsid w:val="002546E6"/>
    <w:rsid w:val="002552A6"/>
    <w:rsid w:val="00260703"/>
    <w:rsid w:val="002633D5"/>
    <w:rsid w:val="00263BFB"/>
    <w:rsid w:val="00263FF1"/>
    <w:rsid w:val="00264025"/>
    <w:rsid w:val="00264487"/>
    <w:rsid w:val="00267308"/>
    <w:rsid w:val="00270691"/>
    <w:rsid w:val="002719A4"/>
    <w:rsid w:val="00272766"/>
    <w:rsid w:val="00274F2D"/>
    <w:rsid w:val="00276039"/>
    <w:rsid w:val="0027604F"/>
    <w:rsid w:val="002808EC"/>
    <w:rsid w:val="002810D2"/>
    <w:rsid w:val="00283123"/>
    <w:rsid w:val="002847E4"/>
    <w:rsid w:val="0029055F"/>
    <w:rsid w:val="002914CB"/>
    <w:rsid w:val="00292688"/>
    <w:rsid w:val="00294EBD"/>
    <w:rsid w:val="002959FF"/>
    <w:rsid w:val="00296A6D"/>
    <w:rsid w:val="0029743C"/>
    <w:rsid w:val="00297A28"/>
    <w:rsid w:val="002A0271"/>
    <w:rsid w:val="002A1D4F"/>
    <w:rsid w:val="002A62EE"/>
    <w:rsid w:val="002B22AD"/>
    <w:rsid w:val="002B4C8A"/>
    <w:rsid w:val="002B6283"/>
    <w:rsid w:val="002B6CF3"/>
    <w:rsid w:val="002C0CC4"/>
    <w:rsid w:val="002C2AF0"/>
    <w:rsid w:val="002C4352"/>
    <w:rsid w:val="002C45C6"/>
    <w:rsid w:val="002C5A48"/>
    <w:rsid w:val="002C7827"/>
    <w:rsid w:val="002D159F"/>
    <w:rsid w:val="002D6BC3"/>
    <w:rsid w:val="002E1256"/>
    <w:rsid w:val="002E510F"/>
    <w:rsid w:val="002E5D95"/>
    <w:rsid w:val="002E692A"/>
    <w:rsid w:val="002F0C45"/>
    <w:rsid w:val="002F346B"/>
    <w:rsid w:val="002F6686"/>
    <w:rsid w:val="002F722E"/>
    <w:rsid w:val="002F753C"/>
    <w:rsid w:val="00300695"/>
    <w:rsid w:val="003045A6"/>
    <w:rsid w:val="003055C5"/>
    <w:rsid w:val="00306314"/>
    <w:rsid w:val="00306E83"/>
    <w:rsid w:val="00310E7D"/>
    <w:rsid w:val="00312800"/>
    <w:rsid w:val="00312C2F"/>
    <w:rsid w:val="00315E55"/>
    <w:rsid w:val="00320048"/>
    <w:rsid w:val="003215AC"/>
    <w:rsid w:val="00322A7A"/>
    <w:rsid w:val="00323430"/>
    <w:rsid w:val="00325021"/>
    <w:rsid w:val="00330D4A"/>
    <w:rsid w:val="0033190A"/>
    <w:rsid w:val="00336963"/>
    <w:rsid w:val="00340C85"/>
    <w:rsid w:val="00341F95"/>
    <w:rsid w:val="00342C3E"/>
    <w:rsid w:val="003449A0"/>
    <w:rsid w:val="00347C55"/>
    <w:rsid w:val="00350159"/>
    <w:rsid w:val="00350435"/>
    <w:rsid w:val="003512D5"/>
    <w:rsid w:val="003568A2"/>
    <w:rsid w:val="00357D3E"/>
    <w:rsid w:val="0036090A"/>
    <w:rsid w:val="00363BCC"/>
    <w:rsid w:val="00364CBE"/>
    <w:rsid w:val="0036745B"/>
    <w:rsid w:val="00371F1E"/>
    <w:rsid w:val="00373628"/>
    <w:rsid w:val="00381941"/>
    <w:rsid w:val="003829D6"/>
    <w:rsid w:val="00383AA1"/>
    <w:rsid w:val="00384763"/>
    <w:rsid w:val="00385E1F"/>
    <w:rsid w:val="00390830"/>
    <w:rsid w:val="0039749F"/>
    <w:rsid w:val="003A1006"/>
    <w:rsid w:val="003A2701"/>
    <w:rsid w:val="003A66F6"/>
    <w:rsid w:val="003A7B93"/>
    <w:rsid w:val="003B1922"/>
    <w:rsid w:val="003B1D15"/>
    <w:rsid w:val="003B2B1B"/>
    <w:rsid w:val="003B3C7F"/>
    <w:rsid w:val="003B5175"/>
    <w:rsid w:val="003B5AB5"/>
    <w:rsid w:val="003B6EDC"/>
    <w:rsid w:val="003C3641"/>
    <w:rsid w:val="003C6E06"/>
    <w:rsid w:val="003D116E"/>
    <w:rsid w:val="003D20B0"/>
    <w:rsid w:val="003D2622"/>
    <w:rsid w:val="003D7982"/>
    <w:rsid w:val="003E03CD"/>
    <w:rsid w:val="003E0BB0"/>
    <w:rsid w:val="003E2BC4"/>
    <w:rsid w:val="003E33AE"/>
    <w:rsid w:val="003E3A1B"/>
    <w:rsid w:val="003E3B57"/>
    <w:rsid w:val="003E5FFB"/>
    <w:rsid w:val="003E70A0"/>
    <w:rsid w:val="003F102A"/>
    <w:rsid w:val="003F333C"/>
    <w:rsid w:val="003F34FB"/>
    <w:rsid w:val="003F3921"/>
    <w:rsid w:val="003F3B15"/>
    <w:rsid w:val="003F447D"/>
    <w:rsid w:val="003F4D06"/>
    <w:rsid w:val="0040031C"/>
    <w:rsid w:val="0040128D"/>
    <w:rsid w:val="00402FC5"/>
    <w:rsid w:val="0040631E"/>
    <w:rsid w:val="004073C9"/>
    <w:rsid w:val="004132A3"/>
    <w:rsid w:val="00416640"/>
    <w:rsid w:val="00417594"/>
    <w:rsid w:val="00421E2D"/>
    <w:rsid w:val="00424606"/>
    <w:rsid w:val="00426812"/>
    <w:rsid w:val="00430D0D"/>
    <w:rsid w:val="004414A0"/>
    <w:rsid w:val="0044155D"/>
    <w:rsid w:val="00443A28"/>
    <w:rsid w:val="004445F5"/>
    <w:rsid w:val="00445928"/>
    <w:rsid w:val="00445EB5"/>
    <w:rsid w:val="00446343"/>
    <w:rsid w:val="004526CD"/>
    <w:rsid w:val="00455E93"/>
    <w:rsid w:val="00457B18"/>
    <w:rsid w:val="004609A7"/>
    <w:rsid w:val="00463823"/>
    <w:rsid w:val="0046467E"/>
    <w:rsid w:val="004655FA"/>
    <w:rsid w:val="00465A38"/>
    <w:rsid w:val="00466FFB"/>
    <w:rsid w:val="0046771C"/>
    <w:rsid w:val="004707B8"/>
    <w:rsid w:val="00471AD3"/>
    <w:rsid w:val="004731D9"/>
    <w:rsid w:val="004735CC"/>
    <w:rsid w:val="00475143"/>
    <w:rsid w:val="00475817"/>
    <w:rsid w:val="004801DC"/>
    <w:rsid w:val="00482A0B"/>
    <w:rsid w:val="00483146"/>
    <w:rsid w:val="00486F70"/>
    <w:rsid w:val="004872C4"/>
    <w:rsid w:val="00487AB8"/>
    <w:rsid w:val="00490AAD"/>
    <w:rsid w:val="004925C1"/>
    <w:rsid w:val="00494796"/>
    <w:rsid w:val="00497039"/>
    <w:rsid w:val="004A746B"/>
    <w:rsid w:val="004B2BC1"/>
    <w:rsid w:val="004B354B"/>
    <w:rsid w:val="004B42CE"/>
    <w:rsid w:val="004B48C8"/>
    <w:rsid w:val="004B49C5"/>
    <w:rsid w:val="004B4C21"/>
    <w:rsid w:val="004B5065"/>
    <w:rsid w:val="004B757D"/>
    <w:rsid w:val="004B7663"/>
    <w:rsid w:val="004C0571"/>
    <w:rsid w:val="004C05CC"/>
    <w:rsid w:val="004C0AF2"/>
    <w:rsid w:val="004C234B"/>
    <w:rsid w:val="004C45A7"/>
    <w:rsid w:val="004C6DF1"/>
    <w:rsid w:val="004D2FD8"/>
    <w:rsid w:val="004D3C2B"/>
    <w:rsid w:val="004D6924"/>
    <w:rsid w:val="004D7905"/>
    <w:rsid w:val="004E0E9F"/>
    <w:rsid w:val="004E222D"/>
    <w:rsid w:val="004E2370"/>
    <w:rsid w:val="004E502C"/>
    <w:rsid w:val="004E636C"/>
    <w:rsid w:val="004E6B5D"/>
    <w:rsid w:val="004E778A"/>
    <w:rsid w:val="004E7CC0"/>
    <w:rsid w:val="004F1744"/>
    <w:rsid w:val="004F45B8"/>
    <w:rsid w:val="004F49A4"/>
    <w:rsid w:val="004F6AB2"/>
    <w:rsid w:val="004F6EC9"/>
    <w:rsid w:val="004F7D23"/>
    <w:rsid w:val="005003AA"/>
    <w:rsid w:val="00502357"/>
    <w:rsid w:val="0050669B"/>
    <w:rsid w:val="005071D4"/>
    <w:rsid w:val="00511EAC"/>
    <w:rsid w:val="005202EF"/>
    <w:rsid w:val="0052155F"/>
    <w:rsid w:val="00523208"/>
    <w:rsid w:val="0052364F"/>
    <w:rsid w:val="00523E4A"/>
    <w:rsid w:val="0052497D"/>
    <w:rsid w:val="00525161"/>
    <w:rsid w:val="005259D9"/>
    <w:rsid w:val="00525AFA"/>
    <w:rsid w:val="00526A6B"/>
    <w:rsid w:val="00530166"/>
    <w:rsid w:val="005303E9"/>
    <w:rsid w:val="005318D0"/>
    <w:rsid w:val="00533F11"/>
    <w:rsid w:val="00534615"/>
    <w:rsid w:val="00534CDB"/>
    <w:rsid w:val="00535594"/>
    <w:rsid w:val="005362BE"/>
    <w:rsid w:val="00537C60"/>
    <w:rsid w:val="005411AF"/>
    <w:rsid w:val="00541AC2"/>
    <w:rsid w:val="00543A99"/>
    <w:rsid w:val="00546738"/>
    <w:rsid w:val="00547DF0"/>
    <w:rsid w:val="00547FDD"/>
    <w:rsid w:val="00551343"/>
    <w:rsid w:val="005542FF"/>
    <w:rsid w:val="00555018"/>
    <w:rsid w:val="00557898"/>
    <w:rsid w:val="00560CBB"/>
    <w:rsid w:val="00562533"/>
    <w:rsid w:val="00562DDE"/>
    <w:rsid w:val="005639C8"/>
    <w:rsid w:val="00564689"/>
    <w:rsid w:val="005706A0"/>
    <w:rsid w:val="0057093C"/>
    <w:rsid w:val="00573CFB"/>
    <w:rsid w:val="0057747C"/>
    <w:rsid w:val="0058045A"/>
    <w:rsid w:val="00580DAA"/>
    <w:rsid w:val="005814EE"/>
    <w:rsid w:val="005816F1"/>
    <w:rsid w:val="0058686A"/>
    <w:rsid w:val="0059104C"/>
    <w:rsid w:val="005947BD"/>
    <w:rsid w:val="00596F97"/>
    <w:rsid w:val="005A0589"/>
    <w:rsid w:val="005A1111"/>
    <w:rsid w:val="005A2DC3"/>
    <w:rsid w:val="005A3776"/>
    <w:rsid w:val="005A55AA"/>
    <w:rsid w:val="005B020D"/>
    <w:rsid w:val="005B0985"/>
    <w:rsid w:val="005B0CB3"/>
    <w:rsid w:val="005B28EF"/>
    <w:rsid w:val="005B343D"/>
    <w:rsid w:val="005B3728"/>
    <w:rsid w:val="005B6ACD"/>
    <w:rsid w:val="005C472C"/>
    <w:rsid w:val="005C5EC2"/>
    <w:rsid w:val="005C5FAA"/>
    <w:rsid w:val="005D07ED"/>
    <w:rsid w:val="005D1EAF"/>
    <w:rsid w:val="005D604D"/>
    <w:rsid w:val="005D728C"/>
    <w:rsid w:val="005E03DD"/>
    <w:rsid w:val="005E2357"/>
    <w:rsid w:val="005F18A8"/>
    <w:rsid w:val="00603338"/>
    <w:rsid w:val="0060335C"/>
    <w:rsid w:val="00603A82"/>
    <w:rsid w:val="00603AF4"/>
    <w:rsid w:val="006060A1"/>
    <w:rsid w:val="00607062"/>
    <w:rsid w:val="00610E39"/>
    <w:rsid w:val="00612A12"/>
    <w:rsid w:val="00614E62"/>
    <w:rsid w:val="00615C5C"/>
    <w:rsid w:val="00615C6D"/>
    <w:rsid w:val="00615C6E"/>
    <w:rsid w:val="00620748"/>
    <w:rsid w:val="006238A1"/>
    <w:rsid w:val="00623B71"/>
    <w:rsid w:val="00623BAA"/>
    <w:rsid w:val="00624904"/>
    <w:rsid w:val="0062492C"/>
    <w:rsid w:val="006264E8"/>
    <w:rsid w:val="0063099A"/>
    <w:rsid w:val="0063100C"/>
    <w:rsid w:val="00633179"/>
    <w:rsid w:val="00634472"/>
    <w:rsid w:val="00642942"/>
    <w:rsid w:val="00642A01"/>
    <w:rsid w:val="00643425"/>
    <w:rsid w:val="006505E7"/>
    <w:rsid w:val="00650CAB"/>
    <w:rsid w:val="006632A7"/>
    <w:rsid w:val="00664999"/>
    <w:rsid w:val="00664F34"/>
    <w:rsid w:val="006660A5"/>
    <w:rsid w:val="00667FF5"/>
    <w:rsid w:val="006700FF"/>
    <w:rsid w:val="00672638"/>
    <w:rsid w:val="00675288"/>
    <w:rsid w:val="0067606C"/>
    <w:rsid w:val="00676D49"/>
    <w:rsid w:val="006772F9"/>
    <w:rsid w:val="00684E8A"/>
    <w:rsid w:val="00685333"/>
    <w:rsid w:val="0069201F"/>
    <w:rsid w:val="00693F86"/>
    <w:rsid w:val="00695EDA"/>
    <w:rsid w:val="00696606"/>
    <w:rsid w:val="006A09A2"/>
    <w:rsid w:val="006A0E5B"/>
    <w:rsid w:val="006A0FA7"/>
    <w:rsid w:val="006A25F9"/>
    <w:rsid w:val="006A2D2F"/>
    <w:rsid w:val="006A32A9"/>
    <w:rsid w:val="006A4B28"/>
    <w:rsid w:val="006A5B7B"/>
    <w:rsid w:val="006A6174"/>
    <w:rsid w:val="006A7619"/>
    <w:rsid w:val="006B59F0"/>
    <w:rsid w:val="006B6B1E"/>
    <w:rsid w:val="006B7CF8"/>
    <w:rsid w:val="006B7E72"/>
    <w:rsid w:val="006C2503"/>
    <w:rsid w:val="006C263A"/>
    <w:rsid w:val="006C3A8E"/>
    <w:rsid w:val="006C4B5B"/>
    <w:rsid w:val="006C669F"/>
    <w:rsid w:val="006D00CA"/>
    <w:rsid w:val="006D02EC"/>
    <w:rsid w:val="006D05B6"/>
    <w:rsid w:val="006D17C5"/>
    <w:rsid w:val="006D1D5B"/>
    <w:rsid w:val="006D3021"/>
    <w:rsid w:val="006D4501"/>
    <w:rsid w:val="006D60A7"/>
    <w:rsid w:val="006E1B9E"/>
    <w:rsid w:val="006E3B1D"/>
    <w:rsid w:val="006E3E93"/>
    <w:rsid w:val="006E5E7D"/>
    <w:rsid w:val="006E6837"/>
    <w:rsid w:val="006E7D90"/>
    <w:rsid w:val="006F1917"/>
    <w:rsid w:val="006F1EEF"/>
    <w:rsid w:val="00700D1A"/>
    <w:rsid w:val="00701D11"/>
    <w:rsid w:val="00702410"/>
    <w:rsid w:val="007047C6"/>
    <w:rsid w:val="00707D4F"/>
    <w:rsid w:val="00711DA5"/>
    <w:rsid w:val="00712C83"/>
    <w:rsid w:val="00722D46"/>
    <w:rsid w:val="00725E33"/>
    <w:rsid w:val="007307F2"/>
    <w:rsid w:val="007308A9"/>
    <w:rsid w:val="00732392"/>
    <w:rsid w:val="007333A9"/>
    <w:rsid w:val="007428C7"/>
    <w:rsid w:val="00750B10"/>
    <w:rsid w:val="00750E46"/>
    <w:rsid w:val="00752B64"/>
    <w:rsid w:val="00755CA7"/>
    <w:rsid w:val="00763126"/>
    <w:rsid w:val="00764C4F"/>
    <w:rsid w:val="0076532D"/>
    <w:rsid w:val="0076779F"/>
    <w:rsid w:val="00770FBB"/>
    <w:rsid w:val="00772D72"/>
    <w:rsid w:val="00773E88"/>
    <w:rsid w:val="00774614"/>
    <w:rsid w:val="0077493B"/>
    <w:rsid w:val="00780662"/>
    <w:rsid w:val="007810B3"/>
    <w:rsid w:val="007836A7"/>
    <w:rsid w:val="007850BD"/>
    <w:rsid w:val="00785181"/>
    <w:rsid w:val="007922CE"/>
    <w:rsid w:val="00792995"/>
    <w:rsid w:val="00792B61"/>
    <w:rsid w:val="00793DFC"/>
    <w:rsid w:val="00794ACB"/>
    <w:rsid w:val="00795F2F"/>
    <w:rsid w:val="007968ED"/>
    <w:rsid w:val="00797299"/>
    <w:rsid w:val="007A0E68"/>
    <w:rsid w:val="007A203E"/>
    <w:rsid w:val="007A357F"/>
    <w:rsid w:val="007A4C42"/>
    <w:rsid w:val="007B0C05"/>
    <w:rsid w:val="007B1DC5"/>
    <w:rsid w:val="007B4FE9"/>
    <w:rsid w:val="007B6F22"/>
    <w:rsid w:val="007B7694"/>
    <w:rsid w:val="007B7F84"/>
    <w:rsid w:val="007C08A5"/>
    <w:rsid w:val="007C1955"/>
    <w:rsid w:val="007C367A"/>
    <w:rsid w:val="007C71DA"/>
    <w:rsid w:val="007D0957"/>
    <w:rsid w:val="007D1AEF"/>
    <w:rsid w:val="007D4D65"/>
    <w:rsid w:val="007D77F0"/>
    <w:rsid w:val="007D7916"/>
    <w:rsid w:val="007E176A"/>
    <w:rsid w:val="007E4539"/>
    <w:rsid w:val="007E4590"/>
    <w:rsid w:val="007E53CF"/>
    <w:rsid w:val="007E56E7"/>
    <w:rsid w:val="007E64FC"/>
    <w:rsid w:val="007F03DC"/>
    <w:rsid w:val="007F0507"/>
    <w:rsid w:val="007F2650"/>
    <w:rsid w:val="007F379B"/>
    <w:rsid w:val="008000C5"/>
    <w:rsid w:val="00800906"/>
    <w:rsid w:val="00800A1B"/>
    <w:rsid w:val="00804F56"/>
    <w:rsid w:val="008059B4"/>
    <w:rsid w:val="00807A81"/>
    <w:rsid w:val="0081072C"/>
    <w:rsid w:val="00812D89"/>
    <w:rsid w:val="00815C3E"/>
    <w:rsid w:val="00817B16"/>
    <w:rsid w:val="00821F2C"/>
    <w:rsid w:val="008224B7"/>
    <w:rsid w:val="00824C89"/>
    <w:rsid w:val="00824EAD"/>
    <w:rsid w:val="0082792D"/>
    <w:rsid w:val="00831AEF"/>
    <w:rsid w:val="00831C62"/>
    <w:rsid w:val="00833767"/>
    <w:rsid w:val="0083399A"/>
    <w:rsid w:val="0083640F"/>
    <w:rsid w:val="008374CE"/>
    <w:rsid w:val="00840831"/>
    <w:rsid w:val="00840888"/>
    <w:rsid w:val="008433D2"/>
    <w:rsid w:val="00845979"/>
    <w:rsid w:val="00845EE1"/>
    <w:rsid w:val="00846ACF"/>
    <w:rsid w:val="008473D8"/>
    <w:rsid w:val="00847924"/>
    <w:rsid w:val="00847C3A"/>
    <w:rsid w:val="0085475E"/>
    <w:rsid w:val="0085523F"/>
    <w:rsid w:val="0086014E"/>
    <w:rsid w:val="008606D0"/>
    <w:rsid w:val="00861C36"/>
    <w:rsid w:val="00862F0A"/>
    <w:rsid w:val="00867100"/>
    <w:rsid w:val="00867E01"/>
    <w:rsid w:val="00870E9E"/>
    <w:rsid w:val="0087378C"/>
    <w:rsid w:val="00875A7B"/>
    <w:rsid w:val="00875F34"/>
    <w:rsid w:val="0088170D"/>
    <w:rsid w:val="00881E32"/>
    <w:rsid w:val="0088236E"/>
    <w:rsid w:val="00882772"/>
    <w:rsid w:val="008836DC"/>
    <w:rsid w:val="00884022"/>
    <w:rsid w:val="008901A8"/>
    <w:rsid w:val="008948B5"/>
    <w:rsid w:val="00895083"/>
    <w:rsid w:val="008958FC"/>
    <w:rsid w:val="008971FF"/>
    <w:rsid w:val="00897CA3"/>
    <w:rsid w:val="008A4178"/>
    <w:rsid w:val="008A4D5A"/>
    <w:rsid w:val="008A4DE7"/>
    <w:rsid w:val="008B0444"/>
    <w:rsid w:val="008B1B67"/>
    <w:rsid w:val="008B3068"/>
    <w:rsid w:val="008B71B3"/>
    <w:rsid w:val="008B7771"/>
    <w:rsid w:val="008C2035"/>
    <w:rsid w:val="008C2B6C"/>
    <w:rsid w:val="008C336A"/>
    <w:rsid w:val="008C523D"/>
    <w:rsid w:val="008C529F"/>
    <w:rsid w:val="008D299F"/>
    <w:rsid w:val="008D2C97"/>
    <w:rsid w:val="008D3753"/>
    <w:rsid w:val="008D4FCF"/>
    <w:rsid w:val="008D53FE"/>
    <w:rsid w:val="008D5914"/>
    <w:rsid w:val="008D6376"/>
    <w:rsid w:val="008E3C55"/>
    <w:rsid w:val="008E40BC"/>
    <w:rsid w:val="008E5BC0"/>
    <w:rsid w:val="008E6F21"/>
    <w:rsid w:val="008E7402"/>
    <w:rsid w:val="008F1964"/>
    <w:rsid w:val="008F246C"/>
    <w:rsid w:val="008F3812"/>
    <w:rsid w:val="008F4827"/>
    <w:rsid w:val="008F4919"/>
    <w:rsid w:val="008F572D"/>
    <w:rsid w:val="008F59E7"/>
    <w:rsid w:val="00900DB2"/>
    <w:rsid w:val="00902397"/>
    <w:rsid w:val="00904915"/>
    <w:rsid w:val="00905C50"/>
    <w:rsid w:val="00912B43"/>
    <w:rsid w:val="00912B4F"/>
    <w:rsid w:val="00913925"/>
    <w:rsid w:val="009156EC"/>
    <w:rsid w:val="00917066"/>
    <w:rsid w:val="00920436"/>
    <w:rsid w:val="009223AC"/>
    <w:rsid w:val="009258BB"/>
    <w:rsid w:val="00926455"/>
    <w:rsid w:val="00933888"/>
    <w:rsid w:val="00933D10"/>
    <w:rsid w:val="00934AD9"/>
    <w:rsid w:val="00935FB3"/>
    <w:rsid w:val="00936799"/>
    <w:rsid w:val="00936F5A"/>
    <w:rsid w:val="009374DC"/>
    <w:rsid w:val="00940678"/>
    <w:rsid w:val="00941F70"/>
    <w:rsid w:val="0094321E"/>
    <w:rsid w:val="0094610A"/>
    <w:rsid w:val="00947534"/>
    <w:rsid w:val="009502A7"/>
    <w:rsid w:val="00950358"/>
    <w:rsid w:val="00952285"/>
    <w:rsid w:val="009525ED"/>
    <w:rsid w:val="00952F68"/>
    <w:rsid w:val="00956391"/>
    <w:rsid w:val="00956E76"/>
    <w:rsid w:val="009608CC"/>
    <w:rsid w:val="00962905"/>
    <w:rsid w:val="009630FB"/>
    <w:rsid w:val="00964484"/>
    <w:rsid w:val="00965A83"/>
    <w:rsid w:val="009712C9"/>
    <w:rsid w:val="00973AF5"/>
    <w:rsid w:val="00976FB3"/>
    <w:rsid w:val="00977F89"/>
    <w:rsid w:val="00980BB3"/>
    <w:rsid w:val="009821DF"/>
    <w:rsid w:val="00984B79"/>
    <w:rsid w:val="009852DA"/>
    <w:rsid w:val="0098715A"/>
    <w:rsid w:val="00987521"/>
    <w:rsid w:val="00990B26"/>
    <w:rsid w:val="00990B43"/>
    <w:rsid w:val="00991509"/>
    <w:rsid w:val="009929B1"/>
    <w:rsid w:val="00993A3D"/>
    <w:rsid w:val="009960E1"/>
    <w:rsid w:val="009A06F5"/>
    <w:rsid w:val="009A448C"/>
    <w:rsid w:val="009A50FE"/>
    <w:rsid w:val="009A588A"/>
    <w:rsid w:val="009A7B7C"/>
    <w:rsid w:val="009B0642"/>
    <w:rsid w:val="009B1B37"/>
    <w:rsid w:val="009B24F2"/>
    <w:rsid w:val="009B463D"/>
    <w:rsid w:val="009B57D9"/>
    <w:rsid w:val="009B59C1"/>
    <w:rsid w:val="009C0E2B"/>
    <w:rsid w:val="009C77D8"/>
    <w:rsid w:val="009C7FD6"/>
    <w:rsid w:val="009D0755"/>
    <w:rsid w:val="009D1DDB"/>
    <w:rsid w:val="009D2062"/>
    <w:rsid w:val="009D2505"/>
    <w:rsid w:val="009D39EC"/>
    <w:rsid w:val="009D4459"/>
    <w:rsid w:val="009D4B49"/>
    <w:rsid w:val="009D645A"/>
    <w:rsid w:val="009D7273"/>
    <w:rsid w:val="009E05E1"/>
    <w:rsid w:val="009E168F"/>
    <w:rsid w:val="009E63A7"/>
    <w:rsid w:val="009F0A17"/>
    <w:rsid w:val="009F301F"/>
    <w:rsid w:val="009F4140"/>
    <w:rsid w:val="009F7C81"/>
    <w:rsid w:val="00A105BC"/>
    <w:rsid w:val="00A113F5"/>
    <w:rsid w:val="00A126D2"/>
    <w:rsid w:val="00A15D3D"/>
    <w:rsid w:val="00A205CD"/>
    <w:rsid w:val="00A22728"/>
    <w:rsid w:val="00A2476B"/>
    <w:rsid w:val="00A24A28"/>
    <w:rsid w:val="00A25749"/>
    <w:rsid w:val="00A2644A"/>
    <w:rsid w:val="00A267F5"/>
    <w:rsid w:val="00A32C8E"/>
    <w:rsid w:val="00A355AE"/>
    <w:rsid w:val="00A36453"/>
    <w:rsid w:val="00A37960"/>
    <w:rsid w:val="00A37B19"/>
    <w:rsid w:val="00A4017E"/>
    <w:rsid w:val="00A4097F"/>
    <w:rsid w:val="00A43A5A"/>
    <w:rsid w:val="00A43C53"/>
    <w:rsid w:val="00A4443D"/>
    <w:rsid w:val="00A455DE"/>
    <w:rsid w:val="00A47BA0"/>
    <w:rsid w:val="00A50AF2"/>
    <w:rsid w:val="00A546F9"/>
    <w:rsid w:val="00A579B8"/>
    <w:rsid w:val="00A610B7"/>
    <w:rsid w:val="00A72304"/>
    <w:rsid w:val="00A72CF1"/>
    <w:rsid w:val="00A74A26"/>
    <w:rsid w:val="00A7512F"/>
    <w:rsid w:val="00A80A34"/>
    <w:rsid w:val="00A84B26"/>
    <w:rsid w:val="00A87C9D"/>
    <w:rsid w:val="00A92EF5"/>
    <w:rsid w:val="00A96264"/>
    <w:rsid w:val="00A9714B"/>
    <w:rsid w:val="00AA073A"/>
    <w:rsid w:val="00AA0947"/>
    <w:rsid w:val="00AA31EB"/>
    <w:rsid w:val="00AA3E81"/>
    <w:rsid w:val="00AA52C8"/>
    <w:rsid w:val="00AA5AC8"/>
    <w:rsid w:val="00AA64A4"/>
    <w:rsid w:val="00AA76B7"/>
    <w:rsid w:val="00AB0C59"/>
    <w:rsid w:val="00AB14B7"/>
    <w:rsid w:val="00AB2CF9"/>
    <w:rsid w:val="00AB3A44"/>
    <w:rsid w:val="00AB3B13"/>
    <w:rsid w:val="00AB5161"/>
    <w:rsid w:val="00AC038F"/>
    <w:rsid w:val="00AC41CD"/>
    <w:rsid w:val="00AC42D6"/>
    <w:rsid w:val="00AC5E81"/>
    <w:rsid w:val="00AC62DD"/>
    <w:rsid w:val="00AC70B6"/>
    <w:rsid w:val="00AD0CD7"/>
    <w:rsid w:val="00AD223F"/>
    <w:rsid w:val="00AD2B32"/>
    <w:rsid w:val="00AD31D5"/>
    <w:rsid w:val="00AD34EC"/>
    <w:rsid w:val="00AE09CE"/>
    <w:rsid w:val="00AE33CF"/>
    <w:rsid w:val="00AE6EF7"/>
    <w:rsid w:val="00AF0DF4"/>
    <w:rsid w:val="00AF18D6"/>
    <w:rsid w:val="00AF70F0"/>
    <w:rsid w:val="00B02462"/>
    <w:rsid w:val="00B02B1A"/>
    <w:rsid w:val="00B032BF"/>
    <w:rsid w:val="00B038BB"/>
    <w:rsid w:val="00B05B88"/>
    <w:rsid w:val="00B06127"/>
    <w:rsid w:val="00B118E4"/>
    <w:rsid w:val="00B1398F"/>
    <w:rsid w:val="00B13D62"/>
    <w:rsid w:val="00B21287"/>
    <w:rsid w:val="00B22C9C"/>
    <w:rsid w:val="00B27604"/>
    <w:rsid w:val="00B303D1"/>
    <w:rsid w:val="00B41F80"/>
    <w:rsid w:val="00B421CC"/>
    <w:rsid w:val="00B42340"/>
    <w:rsid w:val="00B4258F"/>
    <w:rsid w:val="00B42964"/>
    <w:rsid w:val="00B42BAA"/>
    <w:rsid w:val="00B43A24"/>
    <w:rsid w:val="00B44A52"/>
    <w:rsid w:val="00B45E9B"/>
    <w:rsid w:val="00B460F7"/>
    <w:rsid w:val="00B47A85"/>
    <w:rsid w:val="00B55B09"/>
    <w:rsid w:val="00B560BC"/>
    <w:rsid w:val="00B602D2"/>
    <w:rsid w:val="00B637F3"/>
    <w:rsid w:val="00B65B38"/>
    <w:rsid w:val="00B66ACD"/>
    <w:rsid w:val="00B749EB"/>
    <w:rsid w:val="00B765BF"/>
    <w:rsid w:val="00B81ED5"/>
    <w:rsid w:val="00B82ACC"/>
    <w:rsid w:val="00B85D24"/>
    <w:rsid w:val="00B86280"/>
    <w:rsid w:val="00B86738"/>
    <w:rsid w:val="00B86CD8"/>
    <w:rsid w:val="00B87C8B"/>
    <w:rsid w:val="00B87F6A"/>
    <w:rsid w:val="00B9019E"/>
    <w:rsid w:val="00B91CBD"/>
    <w:rsid w:val="00B92E02"/>
    <w:rsid w:val="00B93657"/>
    <w:rsid w:val="00B945EB"/>
    <w:rsid w:val="00B95669"/>
    <w:rsid w:val="00B97696"/>
    <w:rsid w:val="00BA2FA9"/>
    <w:rsid w:val="00BA345E"/>
    <w:rsid w:val="00BA350B"/>
    <w:rsid w:val="00BA5244"/>
    <w:rsid w:val="00BA7535"/>
    <w:rsid w:val="00BB17A2"/>
    <w:rsid w:val="00BB56E8"/>
    <w:rsid w:val="00BB58C7"/>
    <w:rsid w:val="00BB5F3B"/>
    <w:rsid w:val="00BC1E1A"/>
    <w:rsid w:val="00BC3F35"/>
    <w:rsid w:val="00BC60A1"/>
    <w:rsid w:val="00BC63A3"/>
    <w:rsid w:val="00BC6CC0"/>
    <w:rsid w:val="00BC76EF"/>
    <w:rsid w:val="00BC7FC4"/>
    <w:rsid w:val="00BD1AF7"/>
    <w:rsid w:val="00BD2165"/>
    <w:rsid w:val="00BD306F"/>
    <w:rsid w:val="00BD566D"/>
    <w:rsid w:val="00BD66C9"/>
    <w:rsid w:val="00BD6B5F"/>
    <w:rsid w:val="00BE172E"/>
    <w:rsid w:val="00BE1F6A"/>
    <w:rsid w:val="00BE2BAF"/>
    <w:rsid w:val="00BE3E41"/>
    <w:rsid w:val="00BF55C6"/>
    <w:rsid w:val="00BF5BF0"/>
    <w:rsid w:val="00C00D27"/>
    <w:rsid w:val="00C03570"/>
    <w:rsid w:val="00C038C8"/>
    <w:rsid w:val="00C03F5D"/>
    <w:rsid w:val="00C04292"/>
    <w:rsid w:val="00C053EA"/>
    <w:rsid w:val="00C05467"/>
    <w:rsid w:val="00C070DB"/>
    <w:rsid w:val="00C1033B"/>
    <w:rsid w:val="00C10D72"/>
    <w:rsid w:val="00C1666F"/>
    <w:rsid w:val="00C17EA2"/>
    <w:rsid w:val="00C21EB1"/>
    <w:rsid w:val="00C243C5"/>
    <w:rsid w:val="00C304C8"/>
    <w:rsid w:val="00C3387B"/>
    <w:rsid w:val="00C35021"/>
    <w:rsid w:val="00C35094"/>
    <w:rsid w:val="00C3638A"/>
    <w:rsid w:val="00C42007"/>
    <w:rsid w:val="00C42D53"/>
    <w:rsid w:val="00C50593"/>
    <w:rsid w:val="00C508BE"/>
    <w:rsid w:val="00C51034"/>
    <w:rsid w:val="00C53345"/>
    <w:rsid w:val="00C545C4"/>
    <w:rsid w:val="00C554EF"/>
    <w:rsid w:val="00C56F28"/>
    <w:rsid w:val="00C60BC2"/>
    <w:rsid w:val="00C61D79"/>
    <w:rsid w:val="00C61F00"/>
    <w:rsid w:val="00C6257E"/>
    <w:rsid w:val="00C63324"/>
    <w:rsid w:val="00C633F8"/>
    <w:rsid w:val="00C63D3E"/>
    <w:rsid w:val="00C63EFC"/>
    <w:rsid w:val="00C63F63"/>
    <w:rsid w:val="00C75FBD"/>
    <w:rsid w:val="00C80F7D"/>
    <w:rsid w:val="00C83E17"/>
    <w:rsid w:val="00C87980"/>
    <w:rsid w:val="00C919B0"/>
    <w:rsid w:val="00C91AB9"/>
    <w:rsid w:val="00C92C7F"/>
    <w:rsid w:val="00C93787"/>
    <w:rsid w:val="00C9452D"/>
    <w:rsid w:val="00CA21CE"/>
    <w:rsid w:val="00CA284E"/>
    <w:rsid w:val="00CA4C80"/>
    <w:rsid w:val="00CA6626"/>
    <w:rsid w:val="00CB0D71"/>
    <w:rsid w:val="00CB187D"/>
    <w:rsid w:val="00CB3638"/>
    <w:rsid w:val="00CB3681"/>
    <w:rsid w:val="00CB469F"/>
    <w:rsid w:val="00CB7134"/>
    <w:rsid w:val="00CB7E73"/>
    <w:rsid w:val="00CB7FEC"/>
    <w:rsid w:val="00CC0346"/>
    <w:rsid w:val="00CC2AFD"/>
    <w:rsid w:val="00CC3799"/>
    <w:rsid w:val="00CC4244"/>
    <w:rsid w:val="00CC4358"/>
    <w:rsid w:val="00CC59C0"/>
    <w:rsid w:val="00CC5EED"/>
    <w:rsid w:val="00CC6D7C"/>
    <w:rsid w:val="00CD202E"/>
    <w:rsid w:val="00CD341E"/>
    <w:rsid w:val="00CD4615"/>
    <w:rsid w:val="00CD4B7D"/>
    <w:rsid w:val="00CD6045"/>
    <w:rsid w:val="00CD652D"/>
    <w:rsid w:val="00CD7358"/>
    <w:rsid w:val="00CD7A4E"/>
    <w:rsid w:val="00CE0D52"/>
    <w:rsid w:val="00CE1C9B"/>
    <w:rsid w:val="00CE2E5B"/>
    <w:rsid w:val="00CF0B9A"/>
    <w:rsid w:val="00CF141A"/>
    <w:rsid w:val="00CF1A1F"/>
    <w:rsid w:val="00CF2AF6"/>
    <w:rsid w:val="00CF369A"/>
    <w:rsid w:val="00CF3A88"/>
    <w:rsid w:val="00CF3E6E"/>
    <w:rsid w:val="00CF6894"/>
    <w:rsid w:val="00CF6F83"/>
    <w:rsid w:val="00D028FC"/>
    <w:rsid w:val="00D02E41"/>
    <w:rsid w:val="00D03C15"/>
    <w:rsid w:val="00D05583"/>
    <w:rsid w:val="00D06758"/>
    <w:rsid w:val="00D1164A"/>
    <w:rsid w:val="00D11795"/>
    <w:rsid w:val="00D14B9C"/>
    <w:rsid w:val="00D202BC"/>
    <w:rsid w:val="00D2281F"/>
    <w:rsid w:val="00D24790"/>
    <w:rsid w:val="00D268D0"/>
    <w:rsid w:val="00D27028"/>
    <w:rsid w:val="00D27BC5"/>
    <w:rsid w:val="00D303F5"/>
    <w:rsid w:val="00D3056F"/>
    <w:rsid w:val="00D428EE"/>
    <w:rsid w:val="00D469AC"/>
    <w:rsid w:val="00D47ABB"/>
    <w:rsid w:val="00D47C25"/>
    <w:rsid w:val="00D47DCA"/>
    <w:rsid w:val="00D50908"/>
    <w:rsid w:val="00D51DB7"/>
    <w:rsid w:val="00D55450"/>
    <w:rsid w:val="00D57606"/>
    <w:rsid w:val="00D6176D"/>
    <w:rsid w:val="00D61B8C"/>
    <w:rsid w:val="00D61CDD"/>
    <w:rsid w:val="00D61EE9"/>
    <w:rsid w:val="00D63664"/>
    <w:rsid w:val="00D64CB3"/>
    <w:rsid w:val="00D66BEF"/>
    <w:rsid w:val="00D74A4C"/>
    <w:rsid w:val="00D74D90"/>
    <w:rsid w:val="00D74FB9"/>
    <w:rsid w:val="00D75309"/>
    <w:rsid w:val="00D76182"/>
    <w:rsid w:val="00D8115A"/>
    <w:rsid w:val="00D819A1"/>
    <w:rsid w:val="00D83E07"/>
    <w:rsid w:val="00D84BD6"/>
    <w:rsid w:val="00D8507F"/>
    <w:rsid w:val="00D85194"/>
    <w:rsid w:val="00D853B4"/>
    <w:rsid w:val="00D85BAB"/>
    <w:rsid w:val="00D90453"/>
    <w:rsid w:val="00D90CC6"/>
    <w:rsid w:val="00D917A2"/>
    <w:rsid w:val="00D931A2"/>
    <w:rsid w:val="00D9358A"/>
    <w:rsid w:val="00DA42B7"/>
    <w:rsid w:val="00DA50BB"/>
    <w:rsid w:val="00DB0DE4"/>
    <w:rsid w:val="00DB39B0"/>
    <w:rsid w:val="00DB3A44"/>
    <w:rsid w:val="00DB5E9F"/>
    <w:rsid w:val="00DB7E6C"/>
    <w:rsid w:val="00DC3F61"/>
    <w:rsid w:val="00DD0B35"/>
    <w:rsid w:val="00DD474C"/>
    <w:rsid w:val="00DD4952"/>
    <w:rsid w:val="00DD7ED9"/>
    <w:rsid w:val="00DE5DE7"/>
    <w:rsid w:val="00DF0468"/>
    <w:rsid w:val="00DF17F6"/>
    <w:rsid w:val="00DF461D"/>
    <w:rsid w:val="00DF4865"/>
    <w:rsid w:val="00DF4D75"/>
    <w:rsid w:val="00DF6921"/>
    <w:rsid w:val="00E01C19"/>
    <w:rsid w:val="00E0383B"/>
    <w:rsid w:val="00E03E44"/>
    <w:rsid w:val="00E05BD3"/>
    <w:rsid w:val="00E06C36"/>
    <w:rsid w:val="00E06FA4"/>
    <w:rsid w:val="00E07AC3"/>
    <w:rsid w:val="00E123F8"/>
    <w:rsid w:val="00E14E17"/>
    <w:rsid w:val="00E1636E"/>
    <w:rsid w:val="00E23891"/>
    <w:rsid w:val="00E24C8F"/>
    <w:rsid w:val="00E31CD1"/>
    <w:rsid w:val="00E31D63"/>
    <w:rsid w:val="00E3333C"/>
    <w:rsid w:val="00E34152"/>
    <w:rsid w:val="00E34A32"/>
    <w:rsid w:val="00E35934"/>
    <w:rsid w:val="00E37318"/>
    <w:rsid w:val="00E415E4"/>
    <w:rsid w:val="00E4793A"/>
    <w:rsid w:val="00E536C4"/>
    <w:rsid w:val="00E53B2A"/>
    <w:rsid w:val="00E558BA"/>
    <w:rsid w:val="00E608FC"/>
    <w:rsid w:val="00E623C4"/>
    <w:rsid w:val="00E64BC9"/>
    <w:rsid w:val="00E6758E"/>
    <w:rsid w:val="00E70A7B"/>
    <w:rsid w:val="00E70C89"/>
    <w:rsid w:val="00E71ADF"/>
    <w:rsid w:val="00E739B8"/>
    <w:rsid w:val="00E74079"/>
    <w:rsid w:val="00E773A3"/>
    <w:rsid w:val="00E80705"/>
    <w:rsid w:val="00E80ED6"/>
    <w:rsid w:val="00E8384E"/>
    <w:rsid w:val="00E850DE"/>
    <w:rsid w:val="00E86494"/>
    <w:rsid w:val="00E91DAC"/>
    <w:rsid w:val="00E94EF7"/>
    <w:rsid w:val="00E95AE0"/>
    <w:rsid w:val="00E96A2A"/>
    <w:rsid w:val="00EA33B8"/>
    <w:rsid w:val="00EA5217"/>
    <w:rsid w:val="00EB260B"/>
    <w:rsid w:val="00EB4579"/>
    <w:rsid w:val="00EB6E97"/>
    <w:rsid w:val="00EB7845"/>
    <w:rsid w:val="00EC1E15"/>
    <w:rsid w:val="00EC20BA"/>
    <w:rsid w:val="00EC212F"/>
    <w:rsid w:val="00EC39DE"/>
    <w:rsid w:val="00EC48A7"/>
    <w:rsid w:val="00EC77F5"/>
    <w:rsid w:val="00ED094D"/>
    <w:rsid w:val="00ED101E"/>
    <w:rsid w:val="00ED152A"/>
    <w:rsid w:val="00ED1A09"/>
    <w:rsid w:val="00ED2077"/>
    <w:rsid w:val="00ED5C73"/>
    <w:rsid w:val="00ED7C34"/>
    <w:rsid w:val="00EE0A6C"/>
    <w:rsid w:val="00EE2D04"/>
    <w:rsid w:val="00EE2D87"/>
    <w:rsid w:val="00EE3B70"/>
    <w:rsid w:val="00EF0248"/>
    <w:rsid w:val="00EF27C4"/>
    <w:rsid w:val="00EF3256"/>
    <w:rsid w:val="00EF4DA6"/>
    <w:rsid w:val="00EF54F5"/>
    <w:rsid w:val="00F04940"/>
    <w:rsid w:val="00F060AA"/>
    <w:rsid w:val="00F120AB"/>
    <w:rsid w:val="00F1224C"/>
    <w:rsid w:val="00F1607E"/>
    <w:rsid w:val="00F167E8"/>
    <w:rsid w:val="00F21BD3"/>
    <w:rsid w:val="00F22E06"/>
    <w:rsid w:val="00F24749"/>
    <w:rsid w:val="00F251E6"/>
    <w:rsid w:val="00F26B5D"/>
    <w:rsid w:val="00F32368"/>
    <w:rsid w:val="00F340D4"/>
    <w:rsid w:val="00F34E48"/>
    <w:rsid w:val="00F34EF1"/>
    <w:rsid w:val="00F35EE4"/>
    <w:rsid w:val="00F370D3"/>
    <w:rsid w:val="00F4152D"/>
    <w:rsid w:val="00F438A9"/>
    <w:rsid w:val="00F453A0"/>
    <w:rsid w:val="00F45B1A"/>
    <w:rsid w:val="00F54DA9"/>
    <w:rsid w:val="00F60F2F"/>
    <w:rsid w:val="00F66BE3"/>
    <w:rsid w:val="00F6798E"/>
    <w:rsid w:val="00F67C95"/>
    <w:rsid w:val="00F73B46"/>
    <w:rsid w:val="00F7446E"/>
    <w:rsid w:val="00F759D3"/>
    <w:rsid w:val="00F771F9"/>
    <w:rsid w:val="00F80B31"/>
    <w:rsid w:val="00F80D7B"/>
    <w:rsid w:val="00F8500A"/>
    <w:rsid w:val="00F854E5"/>
    <w:rsid w:val="00F8654E"/>
    <w:rsid w:val="00F87AE1"/>
    <w:rsid w:val="00F93BAE"/>
    <w:rsid w:val="00F9635D"/>
    <w:rsid w:val="00F96400"/>
    <w:rsid w:val="00F96F78"/>
    <w:rsid w:val="00F97519"/>
    <w:rsid w:val="00F97F5C"/>
    <w:rsid w:val="00FA3998"/>
    <w:rsid w:val="00FB0BE4"/>
    <w:rsid w:val="00FB24EA"/>
    <w:rsid w:val="00FB4200"/>
    <w:rsid w:val="00FC2B71"/>
    <w:rsid w:val="00FC2C60"/>
    <w:rsid w:val="00FC2D84"/>
    <w:rsid w:val="00FC412C"/>
    <w:rsid w:val="00FC4EE0"/>
    <w:rsid w:val="00FC674F"/>
    <w:rsid w:val="00FC68A0"/>
    <w:rsid w:val="00FD031C"/>
    <w:rsid w:val="00FD2A2E"/>
    <w:rsid w:val="00FD3EE1"/>
    <w:rsid w:val="00FE4E4A"/>
    <w:rsid w:val="00FF36E0"/>
    <w:rsid w:val="00FF5A1B"/>
    <w:rsid w:val="24522DD0"/>
    <w:rsid w:val="30160D64"/>
    <w:rsid w:val="587376CE"/>
    <w:rsid w:val="698C391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unhideWhenUsed/>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9"/>
    <w:unhideWhenUsed/>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uiPriority w:val="99"/>
    <w:rPr>
      <w:rFonts w:ascii="Calibri" w:hAnsi="Calibri" w:eastAsia="宋体" w:cs="Times New Roman"/>
      <w:sz w:val="18"/>
      <w:szCs w:val="18"/>
    </w:rPr>
  </w:style>
  <w:style w:type="character" w:customStyle="1" w:styleId="8">
    <w:name w:val="页脚 Char"/>
    <w:basedOn w:val="6"/>
    <w:link w:val="3"/>
    <w:semiHidden/>
    <w:uiPriority w:val="99"/>
    <w:rPr>
      <w:rFonts w:ascii="Calibri" w:hAnsi="Calibri" w:eastAsia="宋体" w:cs="Times New Roman"/>
      <w:sz w:val="18"/>
      <w:szCs w:val="18"/>
    </w:rPr>
  </w:style>
  <w:style w:type="character" w:customStyle="1" w:styleId="9">
    <w:name w:val="批注框文本 Char"/>
    <w:basedOn w:val="6"/>
    <w:link w:val="2"/>
    <w:semiHidden/>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833</Words>
  <Characters>4749</Characters>
  <Lines>39</Lines>
  <Paragraphs>11</Paragraphs>
  <TotalTime>0</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2023-09-28T09:16:00Z</dcterms:created>
  <dc:creator>kylin</dc:creator>
  <cp:lastModifiedBy>竹银莉</cp:lastModifiedBy>
  <dcterms:modified xsi:type="dcterms:W3CDTF">2025-09-30T06:52:19Z</dcterms:modified>
  <dc:title>省级分局和计划单列市分局办理的非银行金融机构（不含保险机构）经营或终止结售汇业务审批</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