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省级分局和计划单列市分局办理的金融机构外债结汇核准</w:t>
      </w:r>
    </w:p>
    <w:p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【000171110005】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一、基本要素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及编码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资本项目外汇资金结汇核准【00017111000Y】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行政许可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事项子项名称及编码</w:t>
      </w:r>
    </w:p>
    <w:p>
      <w:pPr>
        <w:spacing w:line="360" w:lineRule="auto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省级分局和计划单列市分局办理的金融机构外债结汇核准【000171110005】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行政许可事项业务办理项名称及编码</w:t>
      </w:r>
    </w:p>
    <w:p>
      <w:pPr>
        <w:spacing w:line="360" w:lineRule="auto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省级分局和计划单列市分局办理的金融机构外债结汇核准(00017111000501)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设定依据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《中华人民共和国外汇管理条例》（国务院令第532号）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实施依据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ascii="方正仿宋_GBK" w:hAnsi="方正仿宋_GBK" w:eastAsia="方正仿宋_GBK" w:cs="方正仿宋_GBK"/>
          <w:sz w:val="28"/>
          <w:szCs w:val="28"/>
        </w:rPr>
        <w:t>《中国人民银行关于全口径跨境融资宏观审慎管理有关事宜的通知》（银发〔2017〕9号）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监管依据</w:t>
      </w:r>
    </w:p>
    <w:p>
      <w:pPr>
        <w:spacing w:line="540" w:lineRule="exact"/>
        <w:ind w:firstLine="560" w:firstLineChars="200"/>
        <w:outlineLvl w:val="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《中华人民共和国外汇管理条例》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（国务院令第532号）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ascii="Times New Roman" w:hAnsi="Times New Roman" w:eastAsia="仿宋GB2312"/>
          <w:b/>
          <w:bCs/>
          <w:sz w:val="28"/>
          <w:szCs w:val="28"/>
        </w:rPr>
        <w:t>实施机关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国家外汇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管理</w:t>
      </w:r>
      <w:r>
        <w:rPr>
          <w:rFonts w:ascii="方正仿宋_GBK" w:hAnsi="方正仿宋_GBK" w:eastAsia="方正仿宋_GBK" w:cs="方正仿宋_GBK"/>
          <w:sz w:val="28"/>
          <w:szCs w:val="28"/>
        </w:rPr>
        <w:t>局省级分局和计划单列市分局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ascii="Times New Roman" w:hAnsi="Times New Roman" w:eastAsia="仿宋GB2312"/>
          <w:b/>
          <w:bCs/>
          <w:sz w:val="28"/>
          <w:szCs w:val="28"/>
        </w:rPr>
        <w:t>审批层级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国家级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（九）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行使</w:t>
      </w:r>
      <w:r>
        <w:rPr>
          <w:rFonts w:ascii="Times New Roman" w:hAnsi="Times New Roman" w:eastAsia="仿宋GB2312"/>
          <w:b/>
          <w:bCs/>
          <w:sz w:val="28"/>
          <w:szCs w:val="28"/>
        </w:rPr>
        <w:t>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省级/直属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是否由审批机关受理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是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（十一）</w:t>
      </w:r>
      <w:r>
        <w:rPr>
          <w:rFonts w:ascii="Times New Roman" w:hAnsi="Times New Roman" w:eastAsia="仿宋GB2312"/>
          <w:b/>
          <w:bCs/>
          <w:sz w:val="28"/>
          <w:szCs w:val="28"/>
        </w:rPr>
        <w:t>受理层级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省级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是否存在初审环节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  <w:highlight w:val="yellow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初审层级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对应政务服务事项国家级基本目录名称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金融机构外债结汇核准</w:t>
      </w:r>
    </w:p>
    <w:p>
      <w:pPr>
        <w:spacing w:line="600" w:lineRule="exact"/>
        <w:ind w:firstLine="562" w:firstLineChars="200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要素统一情况：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全部要素全国统一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二、行政许可事项类型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条件型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三、行政许可条件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准予行政许可的条件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金融机构融入资金用于补充资本金，服务实体经济发展，并符合国家产业宏观调控方向。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规定行政许可条件的依据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《中国人民银行关于全口径跨境融资宏观审慎管理有关事宜的通知》（银发〔2017〕9号）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 w:eastAsia="黑体"/>
          <w:sz w:val="28"/>
          <w:szCs w:val="28"/>
        </w:rPr>
        <w:t>行政许可服务对象类型</w:t>
      </w:r>
      <w:r>
        <w:rPr>
          <w:rFonts w:hint="eastAsia" w:ascii="Times New Roman" w:hAnsi="Times New Roman" w:eastAsia="黑体"/>
          <w:sz w:val="28"/>
          <w:szCs w:val="28"/>
        </w:rPr>
        <w:t>与改革举措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服务对象类型：</w:t>
      </w:r>
      <w:r>
        <w:rPr>
          <w:rFonts w:ascii="方正仿宋_GBK" w:hAnsi="方正仿宋_GBK" w:eastAsia="方正仿宋_GBK" w:cs="方正仿宋_GBK"/>
          <w:sz w:val="28"/>
          <w:szCs w:val="28"/>
        </w:rPr>
        <w:t>企业法人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是否为涉企许可事项：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涉企经营许可事项名称：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许可证件名称：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改革方式：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具体改革举措：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加强事中事后监管措施</w:t>
      </w: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ascii="方正仿宋_GBK" w:hAnsi="方正仿宋_GBK" w:eastAsia="方正仿宋_GBK" w:cs="方正仿宋_GBK"/>
          <w:sz w:val="28"/>
          <w:szCs w:val="28"/>
        </w:rPr>
        <w:t>开展“双随机、一公开”监管，依法查处违规行为，适时公开相关案例。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ascii="方正仿宋_GBK" w:hAnsi="方正仿宋_GBK" w:eastAsia="方正仿宋_GBK" w:cs="方正仿宋_GBK"/>
          <w:sz w:val="28"/>
          <w:szCs w:val="28"/>
        </w:rPr>
        <w:t>依法及时处理投诉举报。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</w:t>
      </w:r>
      <w:r>
        <w:rPr>
          <w:rFonts w:ascii="方正仿宋_GBK" w:hAnsi="方正仿宋_GBK" w:eastAsia="方正仿宋_GBK" w:cs="方正仿宋_GBK"/>
          <w:sz w:val="28"/>
          <w:szCs w:val="28"/>
        </w:rPr>
        <w:t>开展数据统计与监测，掌握外汇业务情况。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五、申请材料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申请材料名称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加盖公章的书面申请原件1份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ab/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资金需结汇使用相关真实性证明材料原件及加盖公章的复印件各1份（验原件，留存复印件）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营业执照（统一社会信用代码证）原件或加盖公章的复印件1份。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规定申请材料的依据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《资本项目外汇业务指引（2024版）》（汇发〔2024〕12号文印发）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六、中介服务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有无法定中介服务事项：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设定中介服务事项的依据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提供中介服务的机构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ascii="Times New Roman" w:hAnsi="Times New Roman" w:eastAsia="仿宋GB2312"/>
          <w:b/>
          <w:bCs/>
          <w:sz w:val="28"/>
          <w:szCs w:val="28"/>
        </w:rPr>
        <w:t>中介服务事项的收费性质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七、审批程序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办理行政许可的程序环节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ascii="方正仿宋_GBK" w:hAnsi="方正仿宋_GBK" w:eastAsia="方正仿宋_GBK" w:cs="方正仿宋_GBK"/>
          <w:sz w:val="28"/>
          <w:szCs w:val="28"/>
        </w:rPr>
        <w:t>申请人申请；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ascii="方正仿宋_GBK" w:hAnsi="方正仿宋_GBK" w:eastAsia="方正仿宋_GBK" w:cs="方正仿宋_GBK"/>
          <w:sz w:val="28"/>
          <w:szCs w:val="28"/>
        </w:rPr>
        <w:t>审批机构受理/不予受理；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</w:t>
      </w:r>
      <w:r>
        <w:rPr>
          <w:rFonts w:ascii="方正仿宋_GBK" w:hAnsi="方正仿宋_GBK" w:eastAsia="方正仿宋_GBK" w:cs="方正仿宋_GBK"/>
          <w:sz w:val="28"/>
          <w:szCs w:val="28"/>
        </w:rPr>
        <w:t>审批机构审查；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4.</w:t>
      </w:r>
      <w:r>
        <w:rPr>
          <w:rFonts w:ascii="方正仿宋_GBK" w:hAnsi="方正仿宋_GBK" w:eastAsia="方正仿宋_GBK" w:cs="方正仿宋_GBK"/>
          <w:sz w:val="28"/>
          <w:szCs w:val="28"/>
        </w:rPr>
        <w:t>决定作出许可决定书/不予许可决定书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规定行政许可程序的依据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是否需要现场勘验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是否需要组织听证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是否需要招标、拍卖、挂牌交易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是否需要检验、检测、检疫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是否需要鉴定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是否需要专家评审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（九）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是否需要向社会公示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（十）</w:t>
      </w:r>
      <w:r>
        <w:rPr>
          <w:rFonts w:ascii="Times New Roman" w:hAnsi="Times New Roman" w:eastAsia="仿宋GB2312"/>
          <w:b/>
          <w:bCs/>
          <w:sz w:val="28"/>
          <w:szCs w:val="28"/>
        </w:rPr>
        <w:t>是否实行告知承诺办理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审批机关是否委托服务机构开展技术性服务：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八、受理和审批时限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承诺受理时限：</w:t>
      </w:r>
      <w:r>
        <w:rPr>
          <w:rFonts w:ascii="方正仿宋_GBK" w:hAnsi="方正仿宋_GBK" w:eastAsia="方正仿宋_GBK" w:cs="方正仿宋_GBK"/>
          <w:sz w:val="28"/>
          <w:szCs w:val="28"/>
        </w:rPr>
        <w:t>5个工作日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法定审批时限：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20个工作日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规定法定审批时限依据</w:t>
      </w:r>
    </w:p>
    <w:p>
      <w:pPr>
        <w:spacing w:line="600" w:lineRule="exact"/>
        <w:ind w:firstLine="560" w:firstLineChars="200"/>
        <w:rPr>
          <w:rFonts w:ascii="Times New Roman" w:hAnsi="Times New Roman" w:eastAsia="仿宋GB2312"/>
          <w:sz w:val="32"/>
          <w:szCs w:val="32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《国家外汇管理局行政许可实施办法》（国家外汇管理局公告2021年第1号）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承诺审批时限：</w:t>
      </w:r>
      <w:r>
        <w:rPr>
          <w:rFonts w:ascii="方正仿宋_GBK" w:hAnsi="方正仿宋_GBK" w:eastAsia="方正仿宋_GBK" w:cs="方正仿宋_GBK"/>
          <w:sz w:val="28"/>
          <w:szCs w:val="28"/>
        </w:rPr>
        <w:t>20个工作日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九、收费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办理行政许可是否收费：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收费项目的名称、收费项目的标准、设定收费项目的依据、规定收费标准的依据：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十、行政许可证件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审批结果类型：</w:t>
      </w:r>
      <w:r>
        <w:rPr>
          <w:rFonts w:ascii="方正仿宋_GBK" w:hAnsi="方正仿宋_GBK" w:eastAsia="方正仿宋_GBK" w:cs="方正仿宋_GBK"/>
          <w:sz w:val="28"/>
          <w:szCs w:val="28"/>
        </w:rPr>
        <w:t>批文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《国家外汇管理局资本项目外汇业务核准件》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审批结果的有效期限：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当次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规定审批结果有效期限的依据：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是否需要办理审批结果变更手续：</w:t>
      </w:r>
      <w:r>
        <w:rPr>
          <w:rFonts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办理审批结果变更手续的要求：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是否需要办理审批结果延续手续：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否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办理审批结果延续手续的要求：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（九）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审批结果的有效地域范围：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全国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（十）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规定审批结果有效地域范围的依据：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十一、行政许可数量限制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有无行政许可数量限制：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公布数量限制的方式：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公布数量限制的周期：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在数量限制条件下实施行政许可的方式：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jc w:val="left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规定在数量限制条件下实施行政许可方式的依据：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十二、行政许可后年检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有无年检要求：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设定年检要求的依据：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年检周期：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年检是否要求报送材料：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（五）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年检报送材料名称：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（六）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年检是否收费：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（七）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年检收费项目的名称、年检收费项目的标准、设定年检收费项目的依据、规定年检项目收费标准的依据：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（八）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通过年检的证明或者标志：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十三、行政许可后年报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（一）</w:t>
      </w:r>
      <w:r>
        <w:rPr>
          <w:rFonts w:ascii="Times New Roman" w:hAnsi="Times New Roman" w:eastAsia="仿宋GB2312"/>
          <w:b/>
          <w:bCs/>
          <w:sz w:val="28"/>
          <w:szCs w:val="28"/>
        </w:rPr>
        <w:t>有无年报要求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（二）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年报报送材料名称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ind w:firstLine="562" w:firstLineChars="200"/>
        <w:outlineLvl w:val="2"/>
        <w:rPr>
          <w:rFonts w:ascii="Times New Roman" w:hAnsi="Times New Roman" w:eastAsia="仿宋GB2312"/>
          <w:b/>
          <w:bCs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（三）</w:t>
      </w:r>
      <w:r>
        <w:rPr>
          <w:rFonts w:ascii="Times New Roman" w:hAnsi="Times New Roman" w:eastAsia="仿宋GB2312"/>
          <w:b/>
          <w:bCs/>
          <w:sz w:val="28"/>
          <w:szCs w:val="28"/>
        </w:rPr>
        <w:t>设定年报要求的依据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600" w:lineRule="exact"/>
        <w:ind w:firstLine="562" w:firstLineChars="200"/>
        <w:rPr>
          <w:rFonts w:ascii="Times New Roman" w:hAnsi="Times New Roman" w:eastAsia="仿宋GB2312"/>
          <w:sz w:val="28"/>
          <w:szCs w:val="28"/>
        </w:rPr>
      </w:pPr>
      <w:r>
        <w:rPr>
          <w:rFonts w:hint="eastAsia" w:ascii="Times New Roman" w:hAnsi="Times New Roman" w:eastAsia="仿宋GB2312"/>
          <w:b/>
          <w:bCs/>
          <w:sz w:val="28"/>
          <w:szCs w:val="28"/>
          <w:lang w:eastAsia="zh-CN"/>
        </w:rPr>
        <w:t>（四）</w:t>
      </w:r>
      <w:r>
        <w:rPr>
          <w:rFonts w:ascii="Times New Roman" w:hAnsi="Times New Roman" w:eastAsia="仿宋GB2312"/>
          <w:b/>
          <w:bCs/>
          <w:sz w:val="28"/>
          <w:szCs w:val="28"/>
        </w:rPr>
        <w:t>年报周期</w:t>
      </w:r>
      <w:r>
        <w:rPr>
          <w:rFonts w:hint="eastAsia" w:ascii="Times New Roman" w:hAnsi="Times New Roman" w:eastAsia="仿宋GB2312"/>
          <w:b/>
          <w:bCs/>
          <w:sz w:val="28"/>
          <w:szCs w:val="28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无</w:t>
      </w:r>
    </w:p>
    <w:p>
      <w:pPr>
        <w:spacing w:line="540" w:lineRule="exact"/>
        <w:outlineLvl w:val="1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/>
          <w:sz w:val="28"/>
          <w:szCs w:val="28"/>
        </w:rPr>
        <w:t>十四、监管主体</w:t>
      </w:r>
    </w:p>
    <w:p>
      <w:pPr>
        <w:spacing w:line="600" w:lineRule="exact"/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管理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局及其分局</w:t>
      </w:r>
    </w:p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十五、办理地址</w:t>
      </w:r>
    </w:p>
    <w:p>
      <w:pPr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国家外汇管理局宁波市分局：浙江省宁波市江东北路138号金融大厦23楼2314室（资本项目处）</w:t>
      </w:r>
    </w:p>
    <w:p>
      <w:pPr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国家外汇管理局宁波市分局北仑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营业管理部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：浙江省宁波市北仑区明州西路185号二楼服务大厅（外汇管理科）</w:t>
      </w:r>
    </w:p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十六、办公时间</w:t>
      </w:r>
    </w:p>
    <w:p>
      <w:pPr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法定工作日：5月-9月：上午8:30-11:30；下午14:00-17:30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10月-次年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月：上午8:30-11:30；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eastAsia="zh-CN"/>
        </w:rPr>
        <w:t>下午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13:30-17:00</w:t>
      </w:r>
    </w:p>
    <w:p>
      <w:pPr>
        <w:rPr>
          <w:rFonts w:hint="eastAsia" w:eastAsia="黑体"/>
          <w:sz w:val="28"/>
          <w:szCs w:val="28"/>
        </w:rPr>
      </w:pPr>
      <w:bookmarkStart w:id="0" w:name="_GoBack"/>
      <w:bookmarkEnd w:id="0"/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十七、咨询途径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国家外汇管理局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宁波市分局资本项目处，咨询</w:t>
      </w:r>
      <w:r>
        <w:rPr>
          <w:rFonts w:ascii="方正仿宋_GBK" w:hAnsi="方正仿宋_GBK" w:eastAsia="方正仿宋_GBK" w:cs="方正仿宋_GBK"/>
          <w:sz w:val="28"/>
          <w:szCs w:val="28"/>
        </w:rPr>
        <w:t>电话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</w:t>
      </w:r>
      <w:r>
        <w:rPr>
          <w:rFonts w:ascii="方正仿宋_GBK" w:hAnsi="方正仿宋_GBK" w:eastAsia="方正仿宋_GBK" w:cs="方正仿宋_GBK"/>
          <w:sz w:val="28"/>
          <w:szCs w:val="28"/>
        </w:rPr>
        <w:t>（0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574</w:t>
      </w:r>
      <w:r>
        <w:rPr>
          <w:rFonts w:ascii="方正仿宋_GBK" w:hAnsi="方正仿宋_GBK" w:eastAsia="方正仿宋_GBK" w:cs="方正仿宋_GBK"/>
          <w:sz w:val="28"/>
          <w:szCs w:val="28"/>
        </w:rPr>
        <w:t>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87058318、87058368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国家外汇管理局宁波市分局北仑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营业管理部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外汇管理科，咨询电话：（0574）86221936、86221822</w:t>
      </w:r>
    </w:p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十八、监督投诉渠道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中国人民银行宁波市分行：（0574）87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337569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中国人民银行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宁波市分行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北仑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营业管理部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：（0574）86221807</w:t>
      </w:r>
    </w:p>
    <w:p>
      <w:pPr>
        <w:spacing w:line="540" w:lineRule="exact"/>
        <w:outlineLvl w:val="1"/>
      </w:pPr>
    </w:p>
    <w:p>
      <w:pPr>
        <w:widowControl/>
        <w:jc w:val="left"/>
      </w:pPr>
      <w:r>
        <w:br w:type="page"/>
      </w:r>
    </w:p>
    <w:p>
      <w:pPr>
        <w:ind w:left="567" w:right="300" w:hanging="567" w:hangingChars="189"/>
        <w:jc w:val="center"/>
        <w:rPr>
          <w:rFonts w:hint="eastAsia"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/>
          <w:sz w:val="30"/>
          <w:szCs w:val="30"/>
        </w:rPr>
        <w:t>基本流程图</w:t>
      </w:r>
    </w:p>
    <w:p>
      <w:pPr>
        <w:ind w:left="567" w:right="300" w:hanging="567" w:hangingChars="189"/>
        <w:jc w:val="center"/>
        <w:rPr>
          <w:rFonts w:hint="eastAsia" w:ascii="Times New Roman" w:hAnsi="Times New Roman" w:eastAsia="黑体"/>
          <w:sz w:val="30"/>
          <w:szCs w:val="30"/>
        </w:rPr>
      </w:pPr>
    </w:p>
    <w:p>
      <w:pPr>
        <w:ind w:left="397" w:right="300" w:hanging="396" w:hangingChars="189"/>
        <w:jc w:val="center"/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i1025" o:spt="75" type="#_x0000_t75" style="height:544.7pt;width:415.3pt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GB2312">
    <w:altName w:val="仿宋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E0E96"/>
    <w:rsid w:val="000E0E96"/>
    <w:rsid w:val="000F79C3"/>
    <w:rsid w:val="00256482"/>
    <w:rsid w:val="00284F29"/>
    <w:rsid w:val="002B70D9"/>
    <w:rsid w:val="0030290D"/>
    <w:rsid w:val="003310CA"/>
    <w:rsid w:val="00493F1D"/>
    <w:rsid w:val="004B7612"/>
    <w:rsid w:val="004F38FC"/>
    <w:rsid w:val="00686529"/>
    <w:rsid w:val="00785D4E"/>
    <w:rsid w:val="00835FEF"/>
    <w:rsid w:val="00B17132"/>
    <w:rsid w:val="00B804F6"/>
    <w:rsid w:val="00BA1636"/>
    <w:rsid w:val="00C864B5"/>
    <w:rsid w:val="00D22BBC"/>
    <w:rsid w:val="00DE15AD"/>
    <w:rsid w:val="03110DF6"/>
    <w:rsid w:val="43070EB0"/>
    <w:rsid w:val="5454067F"/>
    <w:rsid w:val="60417D7B"/>
    <w:rsid w:val="7AD514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540</Words>
  <Characters>3081</Characters>
  <Lines>25</Lines>
  <Paragraphs>7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2023-09-28T09:50:00Z</dcterms:created>
  <dc:creator>kylin</dc:creator>
  <cp:lastModifiedBy>竹银莉</cp:lastModifiedBy>
  <dcterms:modified xsi:type="dcterms:W3CDTF">2025-09-30T06:51:12Z</dcterms:modified>
  <dc:title>省级分局和计划单列市分局办理的金融机构外债结汇核准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