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省级分局和计划单列市分局办理的外保内贷境外担保履约款结汇核准</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【000171110001】</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资本项目外汇资金结汇核准【00017111000Y】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省级分局和计划单列市分局办理的外保内贷境外担保履约款结汇核准【000171110001】</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省级分局和计划单列市分局办理的外保内贷境外担保履约款结汇核准(00017111000102)</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《跨境担保外汇管理规定》（汇发〔 2014〕29号</w:t>
      </w:r>
      <w:r>
        <w:rPr>
          <w:rFonts w:hint="eastAsia" w:ascii="方正仿宋_GBK" w:hAnsi="方正仿宋_GBK" w:eastAsia="方正仿宋_GBK" w:cs="方正仿宋_GBK"/>
          <w:sz w:val="28"/>
          <w:szCs w:val="28"/>
          <w:lang w:eastAsia="zh-CN"/>
        </w:rPr>
        <w:t>印发</w:t>
      </w:r>
      <w:r>
        <w:rPr>
          <w:rFonts w:ascii="方正仿宋_GBK" w:hAnsi="方正仿宋_GBK" w:eastAsia="方正仿宋_GBK" w:cs="方正仿宋_GBK"/>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《国家外汇管理局行政许可实施办法》（国家外汇管理局公告2021年第1号）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外保内贷境外担保履约款结汇核准</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《跨境担保外汇管理规定》（汇发〔2014〕29号</w:t>
      </w:r>
      <w:r>
        <w:rPr>
          <w:rFonts w:hint="eastAsia" w:ascii="方正仿宋_GBK" w:hAnsi="方正仿宋_GBK" w:eastAsia="方正仿宋_GBK" w:cs="方正仿宋_GBK"/>
          <w:sz w:val="28"/>
          <w:szCs w:val="28"/>
          <w:lang w:eastAsia="zh-CN"/>
        </w:rPr>
        <w:t>印发</w:t>
      </w:r>
      <w:r>
        <w:rPr>
          <w:rFonts w:ascii="方正仿宋_GBK" w:hAnsi="方正仿宋_GBK" w:eastAsia="方正仿宋_GBK" w:cs="方正仿宋_GBK"/>
          <w:sz w:val="28"/>
          <w:szCs w:val="28"/>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《跨境担保外汇管理规定》（汇发〔2014〕29号</w:t>
      </w:r>
      <w:r>
        <w:rPr>
          <w:rFonts w:hint="eastAsia" w:ascii="方正仿宋_GBK" w:hAnsi="方正仿宋_GBK" w:eastAsia="方正仿宋_GBK" w:cs="方正仿宋_GBK"/>
          <w:sz w:val="28"/>
          <w:szCs w:val="28"/>
          <w:lang w:eastAsia="zh-CN"/>
        </w:rPr>
        <w:t>印发</w:t>
      </w:r>
      <w:r>
        <w:rPr>
          <w:rFonts w:ascii="方正仿宋_GBK" w:hAnsi="方正仿宋_GBK" w:eastAsia="方正仿宋_GBK" w:cs="方正仿宋_GBK"/>
          <w:sz w:val="28"/>
          <w:szCs w:val="28"/>
        </w:rPr>
        <w:t>）</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开展“双随机、一公开”监管，依法查处违规行为，适时公开相关案例。</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依法及时处理投诉举报。</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加盖公章的书面申请原件1份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ab/>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外保内贷业务合同（或合同简明条款及内容）原件及加盖公章的复印件1份（验原件，留存复印件）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外保内贷境外担保履约/结汇资金来源相关真实性证明材料原件及加盖公章的复印件各1份（验原件，留存复印件）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营业执照（统一社会信用代码证）原件或加盖公章的复印件1份。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《跨境担保外汇管理规定》（汇发〔2014〕29号</w:t>
      </w:r>
      <w:r>
        <w:rPr>
          <w:rFonts w:hint="eastAsia" w:ascii="方正仿宋_GBK" w:hAnsi="方正仿宋_GBK" w:eastAsia="方正仿宋_GBK" w:cs="方正仿宋_GBK"/>
          <w:sz w:val="28"/>
          <w:szCs w:val="28"/>
          <w:lang w:eastAsia="zh-CN"/>
        </w:rPr>
        <w:t>印发</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《国家外汇管理局行政许可实施办法》（国家外汇管理局公告2021年第1号）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《国家外汇管理局行政许可实施办法》（国家外汇管理局公告2021年第1号）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《国家外汇管理局资本项目外汇业务核准件》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规定审批结果有效地域范围的依据：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hint="eastAsia" w:eastAsia="黑体"/>
          <w:sz w:val="28"/>
          <w:szCs w:val="28"/>
        </w:rPr>
      </w:pPr>
      <w:bookmarkStart w:id="0" w:name="_GoBack"/>
      <w:bookmarkEnd w:id="0"/>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87058318、87058368</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spacing w:line="540" w:lineRule="exact"/>
        <w:outlineLvl w:val="1"/>
      </w:pPr>
    </w:p>
    <w:p>
      <w:pPr>
        <w:widowControl/>
        <w:jc w:val="left"/>
      </w:pPr>
      <w:r>
        <w:br w:type="page"/>
      </w:r>
    </w:p>
    <w:p>
      <w:pPr>
        <w:ind w:left="567" w:right="300" w:hanging="567" w:hangingChars="189"/>
        <w:jc w:val="center"/>
        <w:rPr>
          <w:rFonts w:hint="eastAsia" w:ascii="Times New Roman" w:hAnsi="Times New Roman" w:eastAsia="黑体"/>
          <w:sz w:val="30"/>
          <w:szCs w:val="30"/>
        </w:rPr>
      </w:pPr>
      <w:r>
        <w:rPr>
          <w:rFonts w:ascii="Times New Roman" w:hAnsi="Times New Roman" w:eastAsia="黑体"/>
          <w:sz w:val="30"/>
          <w:szCs w:val="30"/>
        </w:rPr>
        <w:t>基本流程图</w:t>
      </w:r>
    </w:p>
    <w:p>
      <w:pPr>
        <w:ind w:left="567" w:right="300" w:hanging="567" w:hangingChars="189"/>
        <w:jc w:val="center"/>
        <w:rPr>
          <w:rFonts w:hint="eastAsia" w:ascii="Times New Roman" w:hAnsi="Times New Roman" w:eastAsia="黑体"/>
          <w:sz w:val="30"/>
          <w:szCs w:val="30"/>
        </w:rPr>
      </w:pPr>
    </w:p>
    <w:p>
      <w:pPr>
        <w:ind w:left="567" w:right="300" w:hanging="567" w:hangingChars="189"/>
        <w:jc w:val="center"/>
        <w:rPr>
          <w:rFonts w:ascii="Times New Roman" w:hAnsi="Times New Roman" w:eastAsia="黑体"/>
          <w:sz w:val="30"/>
          <w:szCs w:val="30"/>
        </w:rPr>
      </w:pPr>
      <w:r>
        <w:rPr>
          <w:rFonts w:ascii="Times New Roman" w:hAnsi="Times New Roman" w:eastAsia="黑体" w:cs="Times New Roman"/>
          <w:kern w:val="2"/>
          <w:sz w:val="30"/>
          <w:szCs w:val="30"/>
          <w:lang w:val="en-US" w:eastAsia="zh-CN" w:bidi="ar-SA"/>
        </w:rPr>
        <w:pict>
          <v:shape id="_x0000_i1025" o:spt="75" type="#_x0000_t75" style="height:544.7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CF4EE2"/>
    <w:rsid w:val="000378FC"/>
    <w:rsid w:val="001004BB"/>
    <w:rsid w:val="00314566"/>
    <w:rsid w:val="00541A71"/>
    <w:rsid w:val="005A2CC7"/>
    <w:rsid w:val="0071384A"/>
    <w:rsid w:val="007F3C10"/>
    <w:rsid w:val="008077F3"/>
    <w:rsid w:val="00A33BDE"/>
    <w:rsid w:val="00A5141A"/>
    <w:rsid w:val="00CF4EE2"/>
    <w:rsid w:val="00D26C17"/>
    <w:rsid w:val="00D27ACC"/>
    <w:rsid w:val="00D656A1"/>
    <w:rsid w:val="00E35F5E"/>
    <w:rsid w:val="00EF7763"/>
    <w:rsid w:val="00F21D8F"/>
    <w:rsid w:val="00FC0CAC"/>
    <w:rsid w:val="15F85544"/>
    <w:rsid w:val="296960FC"/>
    <w:rsid w:val="54D03E13"/>
    <w:rsid w:val="6402749D"/>
    <w:rsid w:val="75320F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598</Words>
  <Characters>3415</Characters>
  <Lines>28</Lines>
  <Paragraphs>8</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2023-09-28T09:48:00Z</dcterms:created>
  <dc:creator>kylin</dc:creator>
  <cp:lastModifiedBy>竹银莉</cp:lastModifiedBy>
  <dcterms:modified xsi:type="dcterms:W3CDTF">2025-09-30T06:51:02Z</dcterms:modified>
  <dc:title>省级分局和计划单列市分局办理的外保内贷境外担保履约款结汇核准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